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4EA39">
      <w:pPr>
        <w:wordWrap w:val="0"/>
        <w:jc w:val="right"/>
        <w:rPr>
          <w:rFonts w:hint="eastAsia" w:ascii="仿宋_GB2312" w:eastAsia="仿宋_GB2312"/>
          <w:color w:val="000000" w:themeColor="text1"/>
          <w:sz w:val="32"/>
          <w:lang w:eastAsia="zh-CN"/>
          <w14:textFill>
            <w14:solidFill>
              <w14:schemeClr w14:val="tx1"/>
            </w14:solidFill>
          </w14:textFill>
        </w:rPr>
      </w:pPr>
    </w:p>
    <w:p w14:paraId="16C97610">
      <w:pPr>
        <w:wordWrap/>
        <w:jc w:val="both"/>
        <w:rPr>
          <w:rFonts w:hint="eastAsia" w:ascii="仿宋_GB2312" w:eastAsia="仿宋_GB2312"/>
          <w:color w:val="000000" w:themeColor="text1"/>
          <w:sz w:val="32"/>
          <w:lang w:eastAsia="zh-CN"/>
          <w14:textFill>
            <w14:solidFill>
              <w14:schemeClr w14:val="tx1"/>
            </w14:solidFill>
          </w14:textFill>
        </w:rPr>
      </w:pPr>
    </w:p>
    <w:p w14:paraId="2325F36F">
      <w:pPr>
        <w:wordWrap w:val="0"/>
        <w:jc w:val="right"/>
        <w:rPr>
          <w:rFonts w:hint="eastAsia" w:ascii="仿宋_GB2312" w:eastAsia="仿宋_GB2312"/>
          <w:color w:val="000000" w:themeColor="text1"/>
          <w:sz w:val="32"/>
          <w:lang w:eastAsia="zh-CN"/>
          <w14:textFill>
            <w14:solidFill>
              <w14:schemeClr w14:val="tx1"/>
            </w14:solidFill>
          </w14:textFill>
        </w:rPr>
      </w:pPr>
    </w:p>
    <w:p w14:paraId="2F4A07B3">
      <w:pPr>
        <w:wordWrap w:val="0"/>
        <w:jc w:val="righ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同</w:t>
      </w:r>
      <w:r>
        <w:rPr>
          <w:rFonts w:hint="eastAsia" w:ascii="仿宋_GB2312" w:eastAsia="仿宋_GB2312"/>
          <w:color w:val="000000" w:themeColor="text1"/>
          <w:sz w:val="32"/>
          <w14:textFill>
            <w14:solidFill>
              <w14:schemeClr w14:val="tx1"/>
            </w14:solidFill>
          </w14:textFill>
        </w:rPr>
        <w:t>开</w:t>
      </w:r>
      <w:r>
        <w:rPr>
          <w:rFonts w:hint="eastAsia" w:ascii="仿宋_GB2312" w:eastAsia="仿宋_GB2312"/>
          <w:color w:val="000000" w:themeColor="text1"/>
          <w:sz w:val="32"/>
          <w:lang w:val="en-US" w:eastAsia="zh-CN"/>
          <w14:textFill>
            <w14:solidFill>
              <w14:schemeClr w14:val="tx1"/>
            </w14:solidFill>
          </w14:textFill>
        </w:rPr>
        <w:t>审批</w:t>
      </w:r>
      <w:r>
        <w:rPr>
          <w:rFonts w:hint="eastAsia" w:ascii="仿宋_GB2312" w:eastAsia="仿宋_GB2312"/>
          <w:color w:val="000000" w:themeColor="text1"/>
          <w:sz w:val="32"/>
          <w14:textFill>
            <w14:solidFill>
              <w14:schemeClr w14:val="tx1"/>
            </w14:solidFill>
          </w14:textFill>
        </w:rPr>
        <w:t>环函〔20</w:t>
      </w:r>
      <w:r>
        <w:rPr>
          <w:rFonts w:hint="eastAsia" w:ascii="仿宋_GB2312" w:eastAsia="仿宋_GB2312"/>
          <w:color w:val="000000" w:themeColor="text1"/>
          <w:sz w:val="32"/>
          <w:lang w:val="en-US" w:eastAsia="zh-CN"/>
          <w14:textFill>
            <w14:solidFill>
              <w14:schemeClr w14:val="tx1"/>
            </w14:solidFill>
          </w14:textFill>
        </w:rPr>
        <w:t>25</w:t>
      </w:r>
      <w:r>
        <w:rPr>
          <w:rFonts w:hint="eastAsia" w:ascii="仿宋_GB2312" w:eastAsia="仿宋_GB2312"/>
          <w:color w:val="000000" w:themeColor="text1"/>
          <w:sz w:val="32"/>
          <w14:textFill>
            <w14:solidFill>
              <w14:schemeClr w14:val="tx1"/>
            </w14:solidFill>
          </w14:textFill>
        </w:rPr>
        <w:t>〕</w:t>
      </w:r>
      <w:r>
        <w:rPr>
          <w:rFonts w:hint="eastAsia" w:ascii="仿宋_GB2312" w:eastAsia="仿宋_GB2312"/>
          <w:color w:val="000000" w:themeColor="text1"/>
          <w:sz w:val="32"/>
          <w:lang w:val="en-US" w:eastAsia="zh-CN"/>
          <w14:textFill>
            <w14:solidFill>
              <w14:schemeClr w14:val="tx1"/>
            </w14:solidFill>
          </w14:textFill>
        </w:rPr>
        <w:t>9</w:t>
      </w:r>
      <w:r>
        <w:rPr>
          <w:rFonts w:hint="eastAsia" w:ascii="仿宋_GB2312" w:eastAsia="仿宋_GB2312"/>
          <w:color w:val="000000" w:themeColor="text1"/>
          <w:sz w:val="32"/>
          <w14:textFill>
            <w14:solidFill>
              <w14:schemeClr w14:val="tx1"/>
            </w14:solidFill>
          </w14:textFill>
        </w:rPr>
        <w:t>号</w:t>
      </w:r>
    </w:p>
    <w:p w14:paraId="717A548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sz w:val="44"/>
          <w:szCs w:val="44"/>
        </w:rPr>
        <w:t>关于</w:t>
      </w:r>
      <w:r>
        <w:rPr>
          <w:rFonts w:hint="eastAsia" w:ascii="宋体" w:hAnsi="宋体" w:eastAsia="宋体" w:cs="宋体"/>
          <w:b/>
          <w:bCs/>
          <w:color w:val="auto"/>
          <w:sz w:val="44"/>
          <w:szCs w:val="44"/>
        </w:rPr>
        <w:t>国药集团威奇达药业有限公司</w:t>
      </w:r>
      <w:r>
        <w:rPr>
          <w:rFonts w:hint="eastAsia" w:ascii="宋体" w:hAnsi="宋体" w:eastAsia="宋体" w:cs="宋体"/>
          <w:b/>
          <w:bCs/>
          <w:color w:val="000000"/>
          <w:kern w:val="0"/>
          <w:sz w:val="44"/>
          <w:szCs w:val="44"/>
          <w:lang w:val="en-US" w:eastAsia="zh-CN" w:bidi="ar"/>
        </w:rPr>
        <w:t>青霉素</w:t>
      </w:r>
    </w:p>
    <w:p w14:paraId="482656C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sz w:val="44"/>
          <w:szCs w:val="44"/>
        </w:rPr>
      </w:pPr>
      <w:r>
        <w:rPr>
          <w:rFonts w:hint="eastAsia" w:ascii="宋体" w:hAnsi="宋体" w:eastAsia="宋体" w:cs="宋体"/>
          <w:b/>
          <w:bCs/>
          <w:color w:val="000000"/>
          <w:kern w:val="0"/>
          <w:sz w:val="44"/>
          <w:szCs w:val="44"/>
          <w:lang w:val="en-US" w:eastAsia="zh-CN" w:bidi="ar"/>
        </w:rPr>
        <w:t>事业部青霉素钾盐口服生产线优化升级项</w:t>
      </w:r>
      <w:r>
        <w:rPr>
          <w:rFonts w:hint="eastAsia" w:ascii="宋体" w:hAnsi="宋体" w:eastAsia="宋体" w:cs="宋体"/>
          <w:b/>
          <w:bCs/>
          <w:color w:val="auto"/>
          <w:sz w:val="44"/>
          <w:szCs w:val="44"/>
        </w:rPr>
        <w:t>目</w:t>
      </w:r>
    </w:p>
    <w:p w14:paraId="15D9788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lang w:val="en-US" w:eastAsia="zh-CN"/>
        </w:rPr>
      </w:pPr>
      <w:r>
        <w:rPr>
          <w:rFonts w:hint="eastAsia" w:asciiTheme="minorEastAsia" w:hAnsiTheme="minorEastAsia" w:eastAsiaTheme="minorEastAsia" w:cstheme="minorEastAsia"/>
          <w:b/>
          <w:bCs w:val="0"/>
          <w:sz w:val="44"/>
          <w:szCs w:val="44"/>
        </w:rPr>
        <w:t>环境影响</w:t>
      </w:r>
      <w:r>
        <w:rPr>
          <w:rFonts w:hint="eastAsia" w:asciiTheme="minorEastAsia" w:hAnsiTheme="minorEastAsia" w:eastAsiaTheme="minorEastAsia" w:cstheme="minorEastAsia"/>
          <w:b/>
          <w:bCs w:val="0"/>
          <w:color w:val="2B2B2B"/>
          <w:kern w:val="0"/>
          <w:sz w:val="44"/>
          <w:szCs w:val="44"/>
        </w:rPr>
        <w:t>报告</w:t>
      </w:r>
      <w:r>
        <w:rPr>
          <w:rFonts w:hint="eastAsia" w:asciiTheme="minorEastAsia" w:hAnsiTheme="minorEastAsia" w:eastAsiaTheme="minorEastAsia" w:cstheme="minorEastAsia"/>
          <w:b/>
          <w:bCs w:val="0"/>
          <w:color w:val="2B2B2B"/>
          <w:kern w:val="0"/>
          <w:sz w:val="44"/>
          <w:szCs w:val="44"/>
          <w:lang w:val="en-US" w:eastAsia="zh-CN"/>
        </w:rPr>
        <w:t>书</w:t>
      </w:r>
      <w:r>
        <w:rPr>
          <w:rFonts w:hint="eastAsia" w:asciiTheme="minorEastAsia" w:hAnsiTheme="minorEastAsia" w:eastAsiaTheme="minorEastAsia" w:cstheme="minorEastAsia"/>
          <w:b/>
          <w:bCs w:val="0"/>
          <w:color w:val="2B2B2B"/>
          <w:kern w:val="0"/>
          <w:sz w:val="44"/>
          <w:szCs w:val="44"/>
        </w:rPr>
        <w:t>的批复</w:t>
      </w:r>
    </w:p>
    <w:p w14:paraId="31A6B39A">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b w:val="0"/>
          <w:bCs/>
          <w:sz w:val="32"/>
          <w:szCs w:val="32"/>
        </w:rPr>
      </w:pPr>
    </w:p>
    <w:p w14:paraId="52BDA95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国药集团威奇达药业有限公司</w:t>
      </w:r>
      <w:r>
        <w:rPr>
          <w:rFonts w:hint="eastAsia" w:ascii="仿宋" w:hAnsi="仿宋" w:eastAsia="仿宋" w:cs="仿宋"/>
          <w:sz w:val="32"/>
          <w:szCs w:val="32"/>
        </w:rPr>
        <w:t>：</w:t>
      </w:r>
    </w:p>
    <w:p w14:paraId="5DD68851">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你公司报送的《</w:t>
      </w:r>
      <w:r>
        <w:rPr>
          <w:rFonts w:hint="eastAsia" w:ascii="仿宋" w:hAnsi="仿宋" w:eastAsia="仿宋" w:cs="仿宋"/>
          <w:b w:val="0"/>
          <w:bCs/>
          <w:sz w:val="32"/>
          <w:szCs w:val="32"/>
        </w:rPr>
        <w:t>国药集团威奇达药业有限公司</w:t>
      </w:r>
      <w:r>
        <w:rPr>
          <w:rFonts w:hint="eastAsia" w:ascii="仿宋" w:hAnsi="仿宋" w:eastAsia="仿宋" w:cs="仿宋"/>
          <w:b w:val="0"/>
          <w:bCs/>
          <w:sz w:val="32"/>
          <w:szCs w:val="32"/>
          <w:lang w:val="en-US" w:eastAsia="zh-CN"/>
        </w:rPr>
        <w:t>青霉素事业部青霉素钾盐口服生产线优化升级项目</w:t>
      </w:r>
      <w:r>
        <w:rPr>
          <w:rFonts w:hint="eastAsia" w:ascii="仿宋" w:hAnsi="仿宋" w:eastAsia="仿宋" w:cs="仿宋"/>
          <w:sz w:val="32"/>
          <w:szCs w:val="32"/>
        </w:rPr>
        <w:t>环境影响报告</w:t>
      </w:r>
      <w:r>
        <w:rPr>
          <w:rFonts w:hint="eastAsia" w:ascii="仿宋" w:hAnsi="仿宋" w:eastAsia="仿宋" w:cs="仿宋"/>
          <w:sz w:val="32"/>
          <w:szCs w:val="32"/>
          <w:lang w:val="en-US" w:eastAsia="zh-CN"/>
        </w:rPr>
        <w:t>书</w:t>
      </w:r>
      <w:r>
        <w:rPr>
          <w:rFonts w:hint="eastAsia" w:ascii="仿宋" w:hAnsi="仿宋" w:eastAsia="仿宋" w:cs="仿宋"/>
          <w:sz w:val="32"/>
          <w:szCs w:val="32"/>
        </w:rPr>
        <w:t>》（以下简称</w:t>
      </w:r>
      <w:r>
        <w:rPr>
          <w:rFonts w:hint="eastAsia" w:ascii="仿宋" w:hAnsi="仿宋" w:eastAsia="仿宋" w:cs="仿宋"/>
          <w:sz w:val="32"/>
          <w:szCs w:val="32"/>
          <w:lang w:eastAsia="zh-CN"/>
        </w:rPr>
        <w:t>“</w:t>
      </w:r>
      <w:r>
        <w:rPr>
          <w:rFonts w:hint="eastAsia" w:ascii="仿宋" w:hAnsi="仿宋" w:eastAsia="仿宋" w:cs="仿宋"/>
          <w:sz w:val="32"/>
          <w:szCs w:val="32"/>
        </w:rPr>
        <w:t>报告</w:t>
      </w:r>
      <w:r>
        <w:rPr>
          <w:rFonts w:hint="eastAsia" w:ascii="仿宋" w:hAnsi="仿宋" w:eastAsia="仿宋" w:cs="仿宋"/>
          <w:sz w:val="32"/>
          <w:szCs w:val="32"/>
          <w:lang w:val="en-US" w:eastAsia="zh-CN"/>
        </w:rPr>
        <w:t>书</w:t>
      </w:r>
      <w:r>
        <w:rPr>
          <w:rFonts w:hint="eastAsia" w:ascii="仿宋" w:hAnsi="仿宋" w:eastAsia="仿宋" w:cs="仿宋"/>
          <w:sz w:val="32"/>
          <w:szCs w:val="32"/>
          <w:lang w:eastAsia="zh-CN"/>
        </w:rPr>
        <w:t>”</w:t>
      </w:r>
      <w:r>
        <w:rPr>
          <w:rFonts w:hint="eastAsia" w:ascii="仿宋" w:hAnsi="仿宋" w:eastAsia="仿宋" w:cs="仿宋"/>
          <w:sz w:val="32"/>
          <w:szCs w:val="32"/>
        </w:rPr>
        <w:t>）收悉，经研究，批复如下：</w:t>
      </w:r>
    </w:p>
    <w:p w14:paraId="377C7919">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b w:val="0"/>
          <w:bCs/>
          <w:sz w:val="32"/>
          <w:szCs w:val="32"/>
        </w:rPr>
        <w:t>国药集团威奇达药业有限公司</w:t>
      </w:r>
      <w:r>
        <w:rPr>
          <w:rFonts w:hint="eastAsia" w:ascii="仿宋" w:hAnsi="仿宋" w:eastAsia="仿宋" w:cs="仿宋"/>
          <w:b w:val="0"/>
          <w:bCs/>
          <w:sz w:val="32"/>
          <w:szCs w:val="32"/>
          <w:lang w:val="en-US" w:eastAsia="zh-CN"/>
        </w:rPr>
        <w:t>青霉素事业部青霉素钾盐口服生产线优化升级项目</w:t>
      </w:r>
      <w:r>
        <w:rPr>
          <w:rFonts w:hint="eastAsia" w:ascii="仿宋" w:hAnsi="仿宋" w:eastAsia="仿宋" w:cs="仿宋"/>
          <w:sz w:val="32"/>
          <w:szCs w:val="32"/>
        </w:rPr>
        <w:t>位于大同经开区</w:t>
      </w:r>
      <w:r>
        <w:rPr>
          <w:rFonts w:hint="eastAsia" w:ascii="仿宋" w:hAnsi="仿宋" w:eastAsia="仿宋" w:cs="仿宋"/>
          <w:sz w:val="32"/>
          <w:szCs w:val="32"/>
          <w:lang w:val="en-US" w:eastAsia="zh-CN"/>
        </w:rPr>
        <w:t>高新技术产业基地</w:t>
      </w:r>
      <w:r>
        <w:rPr>
          <w:rFonts w:hint="eastAsia" w:ascii="仿宋" w:hAnsi="仿宋" w:eastAsia="仿宋" w:cs="仿宋"/>
          <w:sz w:val="32"/>
          <w:szCs w:val="32"/>
          <w:lang w:eastAsia="zh-CN"/>
        </w:rPr>
        <w:t>。</w:t>
      </w:r>
      <w:r>
        <w:rPr>
          <w:rFonts w:hint="eastAsia" w:ascii="仿宋" w:hAnsi="仿宋" w:eastAsia="仿宋" w:cs="仿宋"/>
          <w:sz w:val="32"/>
          <w:szCs w:val="32"/>
        </w:rPr>
        <w:t>大同经济技术开发区行政审批</w:t>
      </w:r>
      <w:r>
        <w:rPr>
          <w:rFonts w:hint="eastAsia" w:ascii="仿宋" w:hAnsi="仿宋" w:eastAsia="仿宋" w:cs="仿宋"/>
          <w:sz w:val="32"/>
          <w:szCs w:val="32"/>
          <w:lang w:val="en-US" w:eastAsia="zh-CN"/>
        </w:rPr>
        <w:t>服务管理</w:t>
      </w:r>
      <w:r>
        <w:rPr>
          <w:rFonts w:hint="eastAsia" w:ascii="仿宋" w:hAnsi="仿宋" w:eastAsia="仿宋" w:cs="仿宋"/>
          <w:sz w:val="32"/>
          <w:szCs w:val="32"/>
        </w:rPr>
        <w:t>局于202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日对本项目予以备案，</w:t>
      </w:r>
      <w:r>
        <w:rPr>
          <w:rFonts w:hint="eastAsia" w:ascii="仿宋" w:hAnsi="仿宋" w:eastAsia="仿宋" w:cs="仿宋"/>
          <w:sz w:val="32"/>
          <w:szCs w:val="32"/>
          <w:lang w:val="en-US" w:eastAsia="zh-CN"/>
        </w:rPr>
        <w:t>项目</w:t>
      </w:r>
      <w:r>
        <w:rPr>
          <w:rFonts w:hint="eastAsia" w:ascii="仿宋" w:hAnsi="仿宋" w:eastAsia="仿宋" w:cs="仿宋"/>
          <w:sz w:val="32"/>
          <w:szCs w:val="32"/>
        </w:rPr>
        <w:t>代码为2</w:t>
      </w:r>
      <w:r>
        <w:rPr>
          <w:rFonts w:hint="eastAsia" w:ascii="仿宋" w:hAnsi="仿宋" w:eastAsia="仿宋" w:cs="仿宋"/>
          <w:sz w:val="32"/>
          <w:szCs w:val="32"/>
          <w:lang w:val="en-US" w:eastAsia="zh-CN"/>
        </w:rPr>
        <w:t>308</w:t>
      </w:r>
      <w:r>
        <w:rPr>
          <w:rFonts w:hint="eastAsia" w:ascii="仿宋" w:hAnsi="仿宋" w:eastAsia="仿宋" w:cs="仿宋"/>
          <w:sz w:val="32"/>
          <w:szCs w:val="32"/>
        </w:rPr>
        <w:t>-140251-89-0</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117131</w:t>
      </w:r>
      <w:r>
        <w:rPr>
          <w:rFonts w:hint="eastAsia" w:ascii="仿宋" w:hAnsi="仿宋" w:eastAsia="仿宋" w:cs="仿宋"/>
          <w:sz w:val="32"/>
          <w:szCs w:val="32"/>
        </w:rPr>
        <w:t>。</w:t>
      </w:r>
      <w:r>
        <w:rPr>
          <w:rFonts w:hint="eastAsia" w:ascii="仿宋" w:hAnsi="仿宋" w:eastAsia="仿宋" w:cs="仿宋"/>
          <w:sz w:val="32"/>
          <w:szCs w:val="32"/>
          <w:lang w:val="en-US" w:eastAsia="zh-CN"/>
        </w:rPr>
        <w:t>本工程</w:t>
      </w:r>
      <w:r>
        <w:rPr>
          <w:rFonts w:hint="eastAsia" w:ascii="仿宋" w:hAnsi="仿宋" w:eastAsia="仿宋" w:cs="仿宋"/>
          <w:sz w:val="32"/>
          <w:szCs w:val="32"/>
        </w:rPr>
        <w:t>总投资</w:t>
      </w:r>
      <w:r>
        <w:rPr>
          <w:rFonts w:hint="eastAsia" w:ascii="仿宋" w:hAnsi="仿宋" w:eastAsia="仿宋" w:cs="仿宋"/>
          <w:b w:val="0"/>
          <w:bCs/>
          <w:sz w:val="32"/>
          <w:szCs w:val="32"/>
          <w:lang w:val="en-US" w:eastAsia="zh-CN"/>
        </w:rPr>
        <w:t>976.1</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其中环保投资100万元。</w:t>
      </w:r>
      <w:r>
        <w:rPr>
          <w:rFonts w:hint="eastAsia" w:ascii="仿宋" w:hAnsi="仿宋" w:eastAsia="仿宋" w:cs="仿宋"/>
          <w:sz w:val="32"/>
          <w:szCs w:val="32"/>
        </w:rPr>
        <w:t>建设内容</w:t>
      </w:r>
      <w:r>
        <w:rPr>
          <w:rFonts w:hint="eastAsia" w:ascii="仿宋" w:hAnsi="仿宋" w:eastAsia="仿宋" w:cs="仿宋"/>
          <w:sz w:val="32"/>
          <w:szCs w:val="32"/>
          <w:lang w:val="en-US" w:eastAsia="zh-CN"/>
        </w:rPr>
        <w:t>及规模</w:t>
      </w:r>
      <w:r>
        <w:rPr>
          <w:rFonts w:hint="eastAsia" w:ascii="仿宋" w:hAnsi="仿宋" w:eastAsia="仿宋" w:cs="仿宋"/>
          <w:sz w:val="32"/>
          <w:szCs w:val="32"/>
          <w:lang w:eastAsia="zh-CN"/>
        </w:rPr>
        <w:t>：</w:t>
      </w:r>
      <w:r>
        <w:rPr>
          <w:rFonts w:hint="eastAsia" w:ascii="仿宋" w:hAnsi="仿宋" w:eastAsia="仿宋" w:cs="仿宋"/>
          <w:b w:val="0"/>
          <w:bCs/>
          <w:sz w:val="32"/>
          <w:szCs w:val="32"/>
        </w:rPr>
        <w:t>对青霉素提炼车间原有的青霉素G钾口服原料药生产线进行升级改造，新增 l台离心机、2台母液打料泵、2台防爆衬氟磁力泵、1台电动堆垛叉车等设备设施，使其具备生产青霉素V钾（25 吨/月）、双氯青霉素钠(15 吨/月）口服药品的生产能力</w:t>
      </w:r>
      <w:r>
        <w:rPr>
          <w:rFonts w:hint="eastAsia" w:ascii="仿宋" w:hAnsi="仿宋" w:eastAsia="仿宋" w:cs="仿宋"/>
          <w:b w:val="0"/>
          <w:bCs/>
          <w:sz w:val="32"/>
          <w:szCs w:val="32"/>
          <w:lang w:eastAsia="zh-CN"/>
        </w:rPr>
        <w:t>。</w:t>
      </w:r>
      <w:r>
        <w:rPr>
          <w:rFonts w:hint="eastAsia" w:ascii="仿宋" w:hAnsi="仿宋" w:eastAsia="仿宋" w:cs="仿宋"/>
          <w:sz w:val="32"/>
          <w:szCs w:val="32"/>
          <w:lang w:val="en-US" w:eastAsia="zh-CN"/>
        </w:rPr>
        <w:t>在严格落实“报告书”提出的各项环境保护对策措施的情况下，做到污染物达标排放，满足污染物排放总量控制指标的前提下，我单位原则同意该项目按专家评审意见修改后的“报告书”及评估报告所确认的项目性质、规模、地点、采取的生产工艺、污染防治措施进行建设。</w:t>
      </w:r>
    </w:p>
    <w:p w14:paraId="21B1FBF3">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在</w:t>
      </w:r>
      <w:r>
        <w:rPr>
          <w:rFonts w:hint="eastAsia" w:ascii="仿宋" w:hAnsi="仿宋" w:eastAsia="仿宋" w:cs="仿宋"/>
          <w:sz w:val="32"/>
          <w:szCs w:val="32"/>
        </w:rPr>
        <w:t>项目设计、建设和运行管理中</w:t>
      </w:r>
      <w:r>
        <w:rPr>
          <w:rFonts w:hint="eastAsia" w:ascii="仿宋" w:hAnsi="仿宋" w:eastAsia="仿宋" w:cs="仿宋"/>
          <w:sz w:val="32"/>
          <w:szCs w:val="32"/>
          <w:lang w:val="en-US" w:eastAsia="zh-CN"/>
        </w:rPr>
        <w:t>要</w:t>
      </w:r>
      <w:r>
        <w:rPr>
          <w:rFonts w:hint="eastAsia" w:ascii="仿宋" w:hAnsi="仿宋" w:eastAsia="仿宋" w:cs="仿宋"/>
          <w:sz w:val="32"/>
          <w:szCs w:val="32"/>
        </w:rPr>
        <w:t>重点做好以下工作：</w:t>
      </w:r>
    </w:p>
    <w:p w14:paraId="24EA9D81">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认真做好施工期环境保护工作，加强环境管理，落实</w:t>
      </w:r>
      <w:r>
        <w:rPr>
          <w:rFonts w:hint="eastAsia" w:ascii="仿宋" w:hAnsi="仿宋" w:eastAsia="仿宋" w:cs="仿宋"/>
          <w:sz w:val="32"/>
          <w:szCs w:val="32"/>
        </w:rPr>
        <w:t>“报告</w:t>
      </w:r>
      <w:r>
        <w:rPr>
          <w:rFonts w:hint="eastAsia" w:ascii="仿宋" w:hAnsi="仿宋" w:eastAsia="仿宋" w:cs="仿宋"/>
          <w:sz w:val="32"/>
          <w:szCs w:val="32"/>
          <w:lang w:val="en-US" w:eastAsia="zh-CN"/>
        </w:rPr>
        <w:t>书</w:t>
      </w:r>
      <w:r>
        <w:rPr>
          <w:rFonts w:hint="eastAsia" w:ascii="仿宋" w:hAnsi="仿宋" w:eastAsia="仿宋" w:cs="仿宋"/>
          <w:sz w:val="32"/>
          <w:szCs w:val="32"/>
        </w:rPr>
        <w:t>”</w:t>
      </w:r>
      <w:r>
        <w:rPr>
          <w:rFonts w:hint="eastAsia" w:ascii="仿宋" w:hAnsi="仿宋" w:eastAsia="仿宋" w:cs="仿宋"/>
          <w:sz w:val="32"/>
          <w:szCs w:val="32"/>
          <w:lang w:eastAsia="zh-CN"/>
        </w:rPr>
        <w:t>提出的各项污染防治措施，降低对周边环境的影响。</w:t>
      </w:r>
    </w:p>
    <w:p w14:paraId="3A26D213">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2）大气污染治理措施。</w:t>
      </w:r>
      <w:r>
        <w:rPr>
          <w:rFonts w:hint="eastAsia" w:ascii="仿宋" w:hAnsi="仿宋" w:eastAsia="仿宋" w:cs="仿宋"/>
          <w:b w:val="0"/>
          <w:bCs/>
          <w:sz w:val="32"/>
          <w:szCs w:val="32"/>
        </w:rPr>
        <w:t>生产装置设冷凝回收器，工艺酸碱废气和有机废气经冷凝后接入废气管路统一进入车间VOCs处理装置，处理工艺为“酸洗+碱洗+水洗+多级深冷系统+二级活性炭吸附/脱附”，</w:t>
      </w:r>
      <w:r>
        <w:rPr>
          <w:rFonts w:hint="eastAsia" w:ascii="仿宋" w:hAnsi="仿宋" w:eastAsia="仿宋" w:cs="仿宋"/>
          <w:b w:val="0"/>
          <w:bCs/>
          <w:sz w:val="32"/>
          <w:szCs w:val="32"/>
          <w:lang w:val="en-US" w:eastAsia="zh-CN"/>
        </w:rPr>
        <w:t>处理后废气</w:t>
      </w:r>
      <w:r>
        <w:rPr>
          <w:rFonts w:hint="eastAsia" w:ascii="仿宋" w:hAnsi="仿宋" w:eastAsia="仿宋" w:cs="仿宋"/>
          <w:b w:val="0"/>
          <w:bCs/>
          <w:kern w:val="0"/>
          <w:sz w:val="32"/>
          <w:szCs w:val="32"/>
        </w:rPr>
        <w:t>经</w:t>
      </w:r>
      <w:r>
        <w:rPr>
          <w:rFonts w:hint="eastAsia" w:ascii="仿宋" w:hAnsi="仿宋" w:eastAsia="仿宋" w:cs="仿宋"/>
          <w:b w:val="0"/>
          <w:bCs/>
          <w:kern w:val="0"/>
          <w:sz w:val="32"/>
          <w:szCs w:val="32"/>
          <w:lang w:val="en-US" w:eastAsia="zh-CN"/>
        </w:rPr>
        <w:t>20米高</w:t>
      </w:r>
      <w:r>
        <w:rPr>
          <w:rFonts w:hint="eastAsia" w:ascii="仿宋" w:hAnsi="仿宋" w:eastAsia="仿宋" w:cs="仿宋"/>
          <w:b w:val="0"/>
          <w:bCs/>
          <w:kern w:val="0"/>
          <w:sz w:val="32"/>
          <w:szCs w:val="32"/>
        </w:rPr>
        <w:t>排气筒排放</w:t>
      </w:r>
      <w:r>
        <w:rPr>
          <w:rFonts w:hint="eastAsia" w:ascii="仿宋" w:hAnsi="仿宋" w:eastAsia="仿宋" w:cs="仿宋"/>
          <w:b w:val="0"/>
          <w:bCs/>
          <w:kern w:val="0"/>
          <w:sz w:val="32"/>
          <w:szCs w:val="32"/>
          <w:lang w:eastAsia="zh-CN"/>
        </w:rPr>
        <w:t>。</w:t>
      </w:r>
      <w:r>
        <w:rPr>
          <w:rFonts w:hint="eastAsia" w:ascii="仿宋" w:hAnsi="仿宋" w:eastAsia="仿宋" w:cs="仿宋"/>
          <w:b w:val="0"/>
          <w:bCs/>
          <w:spacing w:val="4"/>
          <w:sz w:val="32"/>
          <w:szCs w:val="32"/>
        </w:rPr>
        <w:t>废气中TVOC等执行《制药工业大气污染物排放标准》（GB37823-2019）表2大气污染物特别排放限值；丙酮执行《山西省重点行业挥发性有机物（VOCs）2017年专项治理方案》晋气防办〔2017〕32 号标准限制的要求；厂区内无组织排放有机废气中的污染物执行《挥发性有机物无组织排放控制标准》（GB37822-2019）附录A表A.1厂区内VOCs无组织特别排放限值</w:t>
      </w:r>
      <w:r>
        <w:rPr>
          <w:rFonts w:hint="eastAsia" w:ascii="仿宋" w:hAnsi="仿宋" w:eastAsia="仿宋" w:cs="仿宋"/>
          <w:b w:val="0"/>
          <w:bCs/>
          <w:sz w:val="32"/>
          <w:szCs w:val="32"/>
          <w:lang w:val="en-US" w:eastAsia="zh-CN"/>
        </w:rPr>
        <w:t xml:space="preserve"> 。         </w:t>
      </w:r>
      <w:r>
        <w:rPr>
          <w:rFonts w:hint="eastAsia" w:ascii="仿宋" w:hAnsi="仿宋" w:eastAsia="仿宋" w:cs="仿宋"/>
          <w:sz w:val="32"/>
          <w:szCs w:val="32"/>
          <w:lang w:val="en-US" w:eastAsia="zh-CN"/>
        </w:rPr>
        <w:t xml:space="preserve">   </w:t>
      </w:r>
    </w:p>
    <w:p w14:paraId="5E56F44E">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（3）水污染治理措施。</w:t>
      </w:r>
      <w:r>
        <w:rPr>
          <w:rFonts w:hint="eastAsia" w:ascii="仿宋" w:hAnsi="仿宋" w:eastAsia="仿宋" w:cs="仿宋"/>
          <w:sz w:val="32"/>
          <w:szCs w:val="32"/>
        </w:rPr>
        <w:t>根据废水水质不同，</w:t>
      </w:r>
      <w:r>
        <w:rPr>
          <w:rFonts w:hint="eastAsia" w:ascii="仿宋" w:hAnsi="仿宋" w:eastAsia="仿宋" w:cs="仿宋"/>
          <w:sz w:val="32"/>
          <w:szCs w:val="32"/>
          <w:lang w:val="en-US" w:eastAsia="zh-CN"/>
        </w:rPr>
        <w:t>将高</w:t>
      </w:r>
      <w:r>
        <w:rPr>
          <w:rFonts w:hint="eastAsia" w:ascii="仿宋" w:hAnsi="仿宋" w:eastAsia="仿宋" w:cs="仿宋"/>
          <w:sz w:val="32"/>
          <w:szCs w:val="32"/>
        </w:rPr>
        <w:t>浓</w:t>
      </w:r>
      <w:r>
        <w:rPr>
          <w:rFonts w:hint="eastAsia" w:ascii="仿宋" w:hAnsi="仿宋" w:eastAsia="仿宋" w:cs="仿宋"/>
          <w:sz w:val="32"/>
          <w:szCs w:val="32"/>
          <w:lang w:val="en-US" w:eastAsia="zh-CN"/>
        </w:rPr>
        <w:t>度</w:t>
      </w:r>
      <w:r>
        <w:rPr>
          <w:rFonts w:hint="eastAsia" w:ascii="仿宋" w:hAnsi="仿宋" w:eastAsia="仿宋" w:cs="仿宋"/>
          <w:sz w:val="32"/>
          <w:szCs w:val="32"/>
        </w:rPr>
        <w:t>废水和低浓</w:t>
      </w:r>
      <w:r>
        <w:rPr>
          <w:rFonts w:hint="eastAsia" w:ascii="仿宋" w:hAnsi="仿宋" w:eastAsia="仿宋" w:cs="仿宋"/>
          <w:sz w:val="32"/>
          <w:szCs w:val="32"/>
          <w:lang w:val="en-US" w:eastAsia="zh-CN"/>
        </w:rPr>
        <w:t>度</w:t>
      </w:r>
      <w:r>
        <w:rPr>
          <w:rFonts w:hint="eastAsia" w:ascii="仿宋" w:hAnsi="仿宋" w:eastAsia="仿宋" w:cs="仿宋"/>
          <w:sz w:val="32"/>
          <w:szCs w:val="32"/>
        </w:rPr>
        <w:t>废水分别收集，收集后的高浓</w:t>
      </w:r>
      <w:r>
        <w:rPr>
          <w:rFonts w:hint="eastAsia" w:ascii="仿宋" w:hAnsi="仿宋" w:eastAsia="仿宋" w:cs="仿宋"/>
          <w:sz w:val="32"/>
          <w:szCs w:val="32"/>
          <w:lang w:val="en-US" w:eastAsia="zh-CN"/>
        </w:rPr>
        <w:t>度</w:t>
      </w:r>
      <w:r>
        <w:rPr>
          <w:rFonts w:hint="eastAsia" w:ascii="仿宋" w:hAnsi="仿宋" w:eastAsia="仿宋" w:cs="仿宋"/>
          <w:sz w:val="32"/>
          <w:szCs w:val="32"/>
        </w:rPr>
        <w:t>废水送公司现有预处理系统，预处理后</w:t>
      </w:r>
      <w:r>
        <w:rPr>
          <w:rFonts w:hint="eastAsia" w:ascii="仿宋" w:hAnsi="仿宋" w:eastAsia="仿宋" w:cs="仿宋"/>
          <w:sz w:val="32"/>
          <w:szCs w:val="32"/>
          <w:lang w:val="en-US" w:eastAsia="zh-CN"/>
        </w:rPr>
        <w:t>的高浓度废水与低浓度废水混合，进入现有污水处理站处理后进入园区污水管网，最终进入大同市御东污水处理有限责任公司集中处理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废水排放标准执行与大同市御东污水处理有限责任公司签订的污水处理协议中的相关标准要求</w:t>
      </w:r>
      <w:r>
        <w:rPr>
          <w:rFonts w:hint="eastAsia" w:ascii="仿宋" w:hAnsi="仿宋" w:eastAsia="仿宋" w:cs="仿宋"/>
          <w:sz w:val="32"/>
          <w:szCs w:val="32"/>
          <w:lang w:eastAsia="zh-CN"/>
        </w:rPr>
        <w:t>。</w:t>
      </w:r>
      <w:r>
        <w:rPr>
          <w:rFonts w:hint="eastAsia" w:ascii="仿宋" w:hAnsi="仿宋" w:eastAsia="仿宋" w:cs="仿宋"/>
          <w:sz w:val="32"/>
          <w:szCs w:val="32"/>
        </w:rPr>
        <w:t>严格落实《报告书》提出的防渗分区及防渗要求，建立地下水监控体系，完善监测制度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防止地下水、土壤环境污染。</w:t>
      </w:r>
    </w:p>
    <w:p w14:paraId="1BE720D8">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b w:val="0"/>
          <w:bCs/>
          <w:sz w:val="32"/>
          <w:szCs w:val="32"/>
        </w:rPr>
      </w:pPr>
      <w:r>
        <w:rPr>
          <w:rFonts w:hint="eastAsia" w:ascii="仿宋" w:hAnsi="仿宋" w:eastAsia="仿宋" w:cs="仿宋"/>
          <w:sz w:val="32"/>
          <w:szCs w:val="32"/>
          <w:lang w:val="en-US" w:eastAsia="zh-CN"/>
        </w:rPr>
        <w:t>（4）固体废弃物污染治理措施。</w:t>
      </w:r>
      <w:r>
        <w:rPr>
          <w:rFonts w:hint="eastAsia" w:ascii="仿宋" w:hAnsi="仿宋" w:eastAsia="仿宋" w:cs="仿宋"/>
          <w:b w:val="0"/>
          <w:bCs/>
          <w:sz w:val="32"/>
          <w:szCs w:val="32"/>
        </w:rPr>
        <w:t>原料废包装桶、废活性炭、母液蒸馏系统浓残液均属于危险废物，在厂内现有危废贮存库（容积约 3600m</w:t>
      </w:r>
      <w:r>
        <w:rPr>
          <w:rFonts w:hint="eastAsia" w:ascii="仿宋" w:hAnsi="仿宋" w:eastAsia="仿宋" w:cs="仿宋"/>
          <w:b w:val="0"/>
          <w:bCs/>
          <w:sz w:val="32"/>
          <w:szCs w:val="32"/>
          <w:vertAlign w:val="superscript"/>
        </w:rPr>
        <w:t>3</w:t>
      </w:r>
      <w:r>
        <w:rPr>
          <w:rFonts w:hint="eastAsia" w:ascii="仿宋" w:hAnsi="仿宋" w:eastAsia="仿宋" w:cs="仿宋"/>
          <w:b w:val="0"/>
          <w:bCs/>
          <w:sz w:val="32"/>
          <w:szCs w:val="32"/>
        </w:rPr>
        <w:t>）内分区暂存，定期委托广灵金隅水泥有限公司定期转运、处置。一般工业固体废物执行《一般工业固体废物贮存和填埋污染控制标准》（GB 18599-2020），危险废物执行《危险废物贮存污染控制标准》（GB18597-2023）。</w:t>
      </w:r>
    </w:p>
    <w:p w14:paraId="65894D48">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（5）噪声污染治理措施。</w:t>
      </w:r>
      <w:r>
        <w:rPr>
          <w:rFonts w:hint="eastAsia" w:ascii="仿宋" w:hAnsi="仿宋" w:eastAsia="仿宋" w:cs="仿宋"/>
          <w:sz w:val="32"/>
          <w:szCs w:val="32"/>
        </w:rPr>
        <w:t>选用低噪声设备</w:t>
      </w:r>
      <w:r>
        <w:rPr>
          <w:rFonts w:hint="eastAsia" w:ascii="仿宋" w:hAnsi="仿宋" w:eastAsia="仿宋" w:cs="仿宋"/>
          <w:sz w:val="32"/>
          <w:szCs w:val="32"/>
          <w:lang w:val="en-US" w:eastAsia="zh-CN"/>
        </w:rPr>
        <w:t>，合理布局；对产噪设备进行</w:t>
      </w:r>
      <w:r>
        <w:rPr>
          <w:rFonts w:hint="eastAsia" w:ascii="仿宋" w:hAnsi="仿宋" w:eastAsia="仿宋" w:cs="仿宋"/>
          <w:sz w:val="32"/>
          <w:szCs w:val="32"/>
        </w:rPr>
        <w:t>基础</w:t>
      </w:r>
      <w:r>
        <w:rPr>
          <w:rFonts w:hint="eastAsia" w:ascii="仿宋" w:hAnsi="仿宋" w:eastAsia="仿宋" w:cs="仿宋"/>
          <w:sz w:val="32"/>
          <w:szCs w:val="32"/>
          <w:lang w:val="en-US" w:eastAsia="zh-CN"/>
        </w:rPr>
        <w:t>减振处理；加强厂区绿化，减少噪声对</w:t>
      </w:r>
      <w:r>
        <w:rPr>
          <w:rFonts w:hint="eastAsia" w:ascii="仿宋" w:hAnsi="仿宋" w:eastAsia="仿宋" w:cs="仿宋"/>
          <w:sz w:val="32"/>
          <w:szCs w:val="32"/>
        </w:rPr>
        <w:t>周围环境的影响。厂界噪声执行《工业企业厂界环境噪声排放标准》（GB12348-2008）中</w:t>
      </w:r>
      <w:r>
        <w:rPr>
          <w:rFonts w:hint="eastAsia" w:ascii="仿宋" w:hAnsi="仿宋" w:eastAsia="仿宋" w:cs="仿宋"/>
          <w:sz w:val="32"/>
          <w:szCs w:val="32"/>
          <w:lang w:val="en-US" w:eastAsia="zh-CN"/>
        </w:rPr>
        <w:t>3</w:t>
      </w:r>
      <w:r>
        <w:rPr>
          <w:rFonts w:hint="eastAsia" w:ascii="仿宋" w:hAnsi="仿宋" w:eastAsia="仿宋" w:cs="仿宋"/>
          <w:sz w:val="32"/>
          <w:szCs w:val="32"/>
        </w:rPr>
        <w:t>类标准。</w:t>
      </w:r>
    </w:p>
    <w:p w14:paraId="4E6F9753">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三、严格落实“报告书”提出的环境管理和环境监测计划，加强区域环境质量的监测。</w:t>
      </w:r>
      <w:r>
        <w:rPr>
          <w:rFonts w:hint="eastAsia" w:ascii="仿宋" w:hAnsi="仿宋" w:eastAsia="仿宋" w:cs="仿宋"/>
          <w:sz w:val="32"/>
          <w:szCs w:val="32"/>
        </w:rPr>
        <w:t>制定环境保护</w:t>
      </w:r>
      <w:r>
        <w:rPr>
          <w:rFonts w:hint="eastAsia" w:ascii="仿宋" w:hAnsi="仿宋" w:eastAsia="仿宋" w:cs="仿宋"/>
          <w:sz w:val="32"/>
          <w:szCs w:val="32"/>
          <w:lang w:val="en-US" w:eastAsia="zh-CN"/>
        </w:rPr>
        <w:t>相关</w:t>
      </w:r>
      <w:r>
        <w:rPr>
          <w:rFonts w:hint="eastAsia" w:ascii="仿宋" w:hAnsi="仿宋" w:eastAsia="仿宋" w:cs="仿宋"/>
          <w:sz w:val="32"/>
          <w:szCs w:val="32"/>
        </w:rPr>
        <w:t>制度和防止污染事故应急措施</w:t>
      </w:r>
      <w:r>
        <w:rPr>
          <w:rFonts w:hint="eastAsia" w:ascii="仿宋" w:hAnsi="仿宋" w:eastAsia="仿宋" w:cs="仿宋"/>
          <w:sz w:val="32"/>
          <w:szCs w:val="32"/>
          <w:lang w:eastAsia="zh-CN"/>
        </w:rPr>
        <w:t>，</w:t>
      </w:r>
      <w:r>
        <w:rPr>
          <w:rFonts w:hint="eastAsia" w:ascii="仿宋" w:hAnsi="仿宋" w:eastAsia="仿宋" w:cs="仿宋"/>
          <w:sz w:val="32"/>
          <w:szCs w:val="32"/>
        </w:rPr>
        <w:t>制定规范有效的突发环境事件应急预案并加以落实</w:t>
      </w:r>
      <w:r>
        <w:rPr>
          <w:rFonts w:hint="eastAsia" w:ascii="仿宋" w:hAnsi="仿宋" w:eastAsia="仿宋" w:cs="仿宋"/>
          <w:sz w:val="32"/>
          <w:szCs w:val="32"/>
          <w:lang w:eastAsia="zh-CN"/>
        </w:rPr>
        <w:t>，</w:t>
      </w:r>
      <w:r>
        <w:rPr>
          <w:rFonts w:hint="eastAsia" w:ascii="仿宋" w:hAnsi="仿宋" w:eastAsia="仿宋" w:cs="仿宋"/>
          <w:sz w:val="32"/>
          <w:szCs w:val="32"/>
          <w:lang w:val="zh-CN"/>
        </w:rPr>
        <w:t>确保环境风险降至最低。</w:t>
      </w:r>
    </w:p>
    <w:p w14:paraId="20B127FD">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、建立健全项目信息公开机制，按照《建设项目环境影响评价信息公开机制方案》等要求，及时、如实向社会公开项目相关信息，并主动接受社会监督。</w:t>
      </w:r>
    </w:p>
    <w:p w14:paraId="0654B3E8">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、应将以上意见和“</w:t>
      </w:r>
      <w:r>
        <w:rPr>
          <w:rFonts w:hint="eastAsia" w:ascii="仿宋" w:hAnsi="仿宋" w:eastAsia="仿宋" w:cs="仿宋"/>
          <w:sz w:val="32"/>
          <w:szCs w:val="32"/>
          <w:lang w:eastAsia="zh-CN"/>
        </w:rPr>
        <w:t>报告</w:t>
      </w:r>
      <w:r>
        <w:rPr>
          <w:rFonts w:hint="eastAsia" w:ascii="仿宋" w:hAnsi="仿宋" w:eastAsia="仿宋" w:cs="仿宋"/>
          <w:sz w:val="32"/>
          <w:szCs w:val="32"/>
          <w:lang w:val="en-US" w:eastAsia="zh-CN"/>
        </w:rPr>
        <w:t>书</w:t>
      </w:r>
      <w:r>
        <w:rPr>
          <w:rFonts w:hint="eastAsia" w:ascii="仿宋" w:hAnsi="仿宋" w:eastAsia="仿宋" w:cs="仿宋"/>
          <w:sz w:val="32"/>
          <w:szCs w:val="32"/>
        </w:rPr>
        <w:t>”规定的保护措施落实到设计与施工中。严格执行环境保护“三同时”制度</w:t>
      </w:r>
      <w:r>
        <w:rPr>
          <w:rFonts w:hint="eastAsia" w:ascii="仿宋" w:hAnsi="仿宋" w:eastAsia="仿宋" w:cs="仿宋"/>
          <w:sz w:val="32"/>
          <w:szCs w:val="32"/>
          <w:lang w:eastAsia="zh-CN"/>
        </w:rPr>
        <w:t>，</w:t>
      </w:r>
      <w:r>
        <w:rPr>
          <w:rFonts w:hint="eastAsia" w:ascii="仿宋" w:hAnsi="仿宋" w:eastAsia="仿宋" w:cs="仿宋"/>
          <w:sz w:val="32"/>
          <w:szCs w:val="32"/>
        </w:rPr>
        <w:t>按照国家排污许可有关管理规定，申请排污许可证，按证排污；须按照国家规定的标准和程序实施竣工环境保护验收，验收合格后方可投入生产或者使用；如项目的性质、规模、地点、工艺或者防治污染、防止生态破坏的措施发生重大变动的，应当重新报批建设项目环境影响评价文件。</w:t>
      </w:r>
    </w:p>
    <w:p w14:paraId="29498FCC">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六</w:t>
      </w:r>
      <w:r>
        <w:rPr>
          <w:rFonts w:hint="eastAsia" w:ascii="仿宋" w:hAnsi="仿宋" w:eastAsia="仿宋" w:cs="仿宋"/>
          <w:sz w:val="32"/>
          <w:szCs w:val="32"/>
        </w:rPr>
        <w:t>、</w:t>
      </w:r>
      <w:r>
        <w:rPr>
          <w:rFonts w:hint="eastAsia" w:ascii="仿宋" w:hAnsi="仿宋" w:eastAsia="仿宋" w:cs="仿宋"/>
          <w:sz w:val="32"/>
          <w:szCs w:val="32"/>
          <w:lang w:val="en-US" w:eastAsia="zh-CN"/>
        </w:rPr>
        <w:t>大同市生态环境局开发区分局</w:t>
      </w:r>
      <w:r>
        <w:rPr>
          <w:rFonts w:hint="eastAsia" w:ascii="仿宋" w:hAnsi="仿宋" w:eastAsia="仿宋" w:cs="仿宋"/>
          <w:sz w:val="32"/>
          <w:szCs w:val="32"/>
        </w:rPr>
        <w:t>负责本项目的日常监督、管理工作。</w:t>
      </w:r>
      <w:r>
        <w:rPr>
          <w:rFonts w:hint="eastAsia" w:ascii="仿宋" w:hAnsi="仿宋" w:eastAsia="仿宋" w:cs="仿宋"/>
          <w:sz w:val="32"/>
          <w:szCs w:val="32"/>
          <w:lang w:val="en-US" w:eastAsia="zh-CN"/>
        </w:rPr>
        <w:t xml:space="preserve"> </w:t>
      </w:r>
    </w:p>
    <w:p w14:paraId="1894B123">
      <w:pPr>
        <w:keepNext w:val="0"/>
        <w:keepLines w:val="0"/>
        <w:pageBreakBefore w:val="0"/>
        <w:widowControl w:val="0"/>
        <w:kinsoku/>
        <w:wordWrap w:val="0"/>
        <w:overflowPunct/>
        <w:topLinePunct w:val="0"/>
        <w:autoSpaceDE/>
        <w:autoSpaceDN/>
        <w:bidi w:val="0"/>
        <w:adjustRightInd/>
        <w:snapToGrid/>
        <w:spacing w:line="520" w:lineRule="exact"/>
        <w:ind w:firstLine="2560" w:firstLineChars="800"/>
        <w:textAlignment w:val="auto"/>
        <w:rPr>
          <w:rFonts w:hint="eastAsia" w:ascii="仿宋" w:hAnsi="仿宋" w:eastAsia="仿宋" w:cs="仿宋"/>
          <w:sz w:val="32"/>
          <w:szCs w:val="32"/>
          <w:lang w:eastAsia="zh-CN"/>
        </w:rPr>
      </w:pPr>
      <w:bookmarkStart w:id="0" w:name="_GoBack"/>
      <w:bookmarkEnd w:id="0"/>
    </w:p>
    <w:p w14:paraId="6461B88A">
      <w:pPr>
        <w:keepNext w:val="0"/>
        <w:keepLines w:val="0"/>
        <w:pageBreakBefore w:val="0"/>
        <w:widowControl w:val="0"/>
        <w:kinsoku/>
        <w:wordWrap w:val="0"/>
        <w:overflowPunct/>
        <w:topLinePunct w:val="0"/>
        <w:autoSpaceDE/>
        <w:autoSpaceDN/>
        <w:bidi w:val="0"/>
        <w:adjustRightInd/>
        <w:snapToGrid/>
        <w:spacing w:line="520" w:lineRule="exact"/>
        <w:ind w:firstLine="2560" w:firstLineChars="800"/>
        <w:textAlignment w:val="auto"/>
        <w:rPr>
          <w:rFonts w:hint="eastAsia" w:ascii="仿宋" w:hAnsi="仿宋" w:eastAsia="仿宋" w:cs="仿宋"/>
          <w:sz w:val="32"/>
          <w:szCs w:val="32"/>
          <w:lang w:eastAsia="zh-CN"/>
        </w:rPr>
      </w:pPr>
    </w:p>
    <w:p w14:paraId="58DD0420">
      <w:pPr>
        <w:keepNext w:val="0"/>
        <w:keepLines w:val="0"/>
        <w:pageBreakBefore w:val="0"/>
        <w:widowControl w:val="0"/>
        <w:kinsoku/>
        <w:wordWrap w:val="0"/>
        <w:overflowPunct/>
        <w:topLinePunct w:val="0"/>
        <w:autoSpaceDE/>
        <w:autoSpaceDN/>
        <w:bidi w:val="0"/>
        <w:adjustRightInd/>
        <w:snapToGrid/>
        <w:spacing w:line="520" w:lineRule="exact"/>
        <w:ind w:firstLine="2560" w:firstLineChars="8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大同经济技术开发区</w:t>
      </w:r>
      <w:r>
        <w:rPr>
          <w:rFonts w:hint="eastAsia" w:ascii="仿宋" w:hAnsi="仿宋" w:eastAsia="仿宋" w:cs="仿宋"/>
          <w:sz w:val="32"/>
          <w:szCs w:val="32"/>
          <w:lang w:val="en-US" w:eastAsia="zh-CN"/>
        </w:rPr>
        <w:t xml:space="preserve">发展与行政审批部   </w:t>
      </w:r>
    </w:p>
    <w:p w14:paraId="5BF6DE02">
      <w:pPr>
        <w:keepNext w:val="0"/>
        <w:keepLines w:val="0"/>
        <w:pageBreakBefore w:val="0"/>
        <w:widowControl w:val="0"/>
        <w:kinsoku/>
        <w:wordWrap w:val="0"/>
        <w:overflowPunct/>
        <w:topLinePunct w:val="0"/>
        <w:autoSpaceDE/>
        <w:autoSpaceDN/>
        <w:bidi w:val="0"/>
        <w:adjustRightInd/>
        <w:snapToGrid/>
        <w:spacing w:line="520" w:lineRule="exact"/>
        <w:ind w:left="0" w:leftChars="0" w:firstLine="2880" w:firstLineChars="9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 xml:space="preserve">         2025年7月10日</w:t>
      </w:r>
    </w:p>
    <w:p w14:paraId="640472EA">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仿宋" w:hAnsi="仿宋" w:eastAsia="仿宋" w:cs="仿宋"/>
          <w:color w:val="auto"/>
          <w:sz w:val="32"/>
          <w:szCs w:val="32"/>
          <w:lang w:val="en-US" w:eastAsia="zh-CN"/>
        </w:rPr>
      </w:pPr>
    </w:p>
    <w:p w14:paraId="553C2CC4">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308610</wp:posOffset>
                </wp:positionV>
                <wp:extent cx="5958205" cy="31750"/>
                <wp:effectExtent l="0" t="4445" r="4445" b="20955"/>
                <wp:wrapNone/>
                <wp:docPr id="1" name="直接连接符 1"/>
                <wp:cNvGraphicFramePr/>
                <a:graphic xmlns:a="http://schemas.openxmlformats.org/drawingml/2006/main">
                  <a:graphicData uri="http://schemas.microsoft.com/office/word/2010/wordprocessingShape">
                    <wps:wsp>
                      <wps:cNvCnPr/>
                      <wps:spPr>
                        <a:xfrm>
                          <a:off x="875030" y="8623935"/>
                          <a:ext cx="5958205" cy="31750"/>
                        </a:xfrm>
                        <a:prstGeom prst="line">
                          <a:avLst/>
                        </a:prstGeom>
                        <a:noFill/>
                        <a:ln w="6350" cap="flat" cmpd="sng" algn="ctr">
                          <a:solidFill>
                            <a:sysClr val="windowText" lastClr="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pt;margin-top:24.3pt;height:2.5pt;width:469.15pt;z-index:251659264;mso-width-relative:page;mso-height-relative:page;" filled="f" stroked="t" coordsize="21600,21600" o:gfxdata="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5T0GNcAAAAHAQAADwAAAAAAAAABACAAAAAiAAAAZHJzL2Rv&#10;d25yZXYueG1sUEsBAhQAFAAAAAgAh07iQPbexocCAgAA4gMAAA4AAAAAAAAAAQAgAAAAJgEAAGRy&#10;cy9lMm9Eb2MueG1sUEsFBgAAAAAGAAYAWQEAAJoFAAAAAA==&#10;">
                <v:fill on="f" focussize="0,0"/>
                <v:stroke weight="0.5pt" color="#000000 [3204]" miterlimit="8" joinstyle="miter"/>
                <v:imagedata o:title=""/>
                <o:lock v:ext="edit" aspectratio="f"/>
              </v:line>
            </w:pict>
          </mc:Fallback>
        </mc:AlternateContent>
      </w:r>
    </w:p>
    <w:p w14:paraId="0DE90474">
      <w:pPr>
        <w:keepNext w:val="0"/>
        <w:keepLines w:val="0"/>
        <w:pageBreakBefore w:val="0"/>
        <w:widowControl w:val="0"/>
        <w:kinsoku/>
        <w:wordWrap w:val="0"/>
        <w:overflowPunct/>
        <w:topLinePunct w:val="0"/>
        <w:autoSpaceDE/>
        <w:autoSpaceDN/>
        <w:bidi w:val="0"/>
        <w:adjustRightInd/>
        <w:snapToGrid/>
        <w:spacing w:line="520" w:lineRule="exact"/>
        <w:ind w:left="857" w:leftChars="0" w:hanging="857" w:hangingChars="268"/>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抄送：</w:t>
      </w:r>
      <w:r>
        <w:rPr>
          <w:rFonts w:hint="eastAsia" w:ascii="仿宋" w:hAnsi="仿宋" w:eastAsia="仿宋" w:cs="仿宋"/>
          <w:b w:val="0"/>
          <w:bCs/>
          <w:sz w:val="32"/>
          <w:szCs w:val="32"/>
        </w:rPr>
        <w:t>山西</w:t>
      </w:r>
      <w:r>
        <w:rPr>
          <w:rFonts w:hint="eastAsia" w:ascii="仿宋" w:hAnsi="仿宋" w:eastAsia="仿宋" w:cs="仿宋"/>
          <w:b w:val="0"/>
          <w:bCs/>
          <w:sz w:val="32"/>
          <w:szCs w:val="32"/>
          <w:lang w:val="en-US" w:eastAsia="zh-CN"/>
        </w:rPr>
        <w:t>清沐</w:t>
      </w:r>
      <w:r>
        <w:rPr>
          <w:rFonts w:hint="eastAsia" w:ascii="仿宋" w:hAnsi="仿宋" w:eastAsia="仿宋" w:cs="仿宋"/>
          <w:b w:val="0"/>
          <w:bCs/>
          <w:sz w:val="32"/>
          <w:szCs w:val="32"/>
        </w:rPr>
        <w:t>环保科技有限</w:t>
      </w:r>
      <w:r>
        <w:rPr>
          <w:rFonts w:hint="eastAsia" w:ascii="仿宋" w:hAnsi="仿宋" w:eastAsia="仿宋" w:cs="仿宋"/>
          <w:b w:val="0"/>
          <w:bCs/>
          <w:sz w:val="32"/>
          <w:szCs w:val="32"/>
          <w:lang w:val="en-US" w:eastAsia="zh-CN"/>
        </w:rPr>
        <w:t>责任</w:t>
      </w:r>
      <w:r>
        <w:rPr>
          <w:rFonts w:hint="eastAsia" w:ascii="仿宋" w:hAnsi="仿宋" w:eastAsia="仿宋" w:cs="仿宋"/>
          <w:b w:val="0"/>
          <w:bCs/>
          <w:sz w:val="32"/>
          <w:szCs w:val="32"/>
        </w:rPr>
        <w:t>公司</w:t>
      </w:r>
      <w:r>
        <w:rPr>
          <w:rFonts w:hint="eastAsia" w:ascii="仿宋" w:hAnsi="仿宋" w:eastAsia="仿宋" w:cs="仿宋"/>
          <w:sz w:val="32"/>
          <w:szCs w:val="32"/>
          <w:lang w:val="en-US" w:eastAsia="zh-CN"/>
        </w:rPr>
        <w:t>、大同市生态环境局开发区分局</w:t>
      </w:r>
    </w:p>
    <w:p w14:paraId="6C0D48AC">
      <w:pPr>
        <w:pStyle w:val="5"/>
        <w:keepNext w:val="0"/>
        <w:keepLines w:val="0"/>
        <w:pageBreakBefore w:val="0"/>
        <w:widowControl w:val="0"/>
        <w:kinsoku/>
        <w:overflowPunct/>
        <w:topLinePunct w:val="0"/>
        <w:autoSpaceDE/>
        <w:autoSpaceDN/>
        <w:bidi w:val="0"/>
        <w:adjustRightInd/>
        <w:snapToGrid/>
        <w:spacing w:line="520" w:lineRule="exact"/>
        <w:ind w:left="0" w:leftChars="0"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44450</wp:posOffset>
                </wp:positionH>
                <wp:positionV relativeFrom="paragraph">
                  <wp:posOffset>428625</wp:posOffset>
                </wp:positionV>
                <wp:extent cx="6029325" cy="38100"/>
                <wp:effectExtent l="0" t="4445" r="9525" b="14605"/>
                <wp:wrapNone/>
                <wp:docPr id="2" name="直接连接符 2"/>
                <wp:cNvGraphicFramePr/>
                <a:graphic xmlns:a="http://schemas.openxmlformats.org/drawingml/2006/main">
                  <a:graphicData uri="http://schemas.microsoft.com/office/word/2010/wordprocessingShape">
                    <wps:wsp>
                      <wps:cNvCnPr/>
                      <wps:spPr>
                        <a:xfrm>
                          <a:off x="884555" y="9233535"/>
                          <a:ext cx="6029325" cy="38100"/>
                        </a:xfrm>
                        <a:prstGeom prst="line">
                          <a:avLst/>
                        </a:prstGeom>
                        <a:noFill/>
                        <a:ln w="6350" cap="flat" cmpd="sng" algn="ctr">
                          <a:solidFill>
                            <a:sysClr val="windowText" lastClr="000000">
                              <a:lumMod val="85000"/>
                              <a:lumOff val="15000"/>
                            </a:sysClr>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5pt;margin-top:33.75pt;height:3pt;width:474.75pt;z-index:251660288;mso-width-relative:page;mso-height-relative:page;" filled="f" stroked="t" coordsize="21600,21600" o:gfxdata="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sW999UAAAAH&#10;AQAADwAAAAAAAAABACAAAAAiAAAAZHJzL2Rvd25yZXYueG1sUEsBAhQAFAAAAAgAh07iQOoePhIf&#10;AgAAGgQAAA4AAAAAAAAAAQAgAAAAJAEAAGRycy9lMm9Eb2MueG1sUEsFBgAAAAAGAAYAWQEAALUF&#10;AAAAAA==&#10;">
                <v:fill on="f" focussize="0,0"/>
                <v:stroke weight="0.5pt" color="#262626 [2740]" miterlimit="8" joinstyle="miter"/>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41910</wp:posOffset>
                </wp:positionV>
                <wp:extent cx="6045835" cy="34925"/>
                <wp:effectExtent l="0" t="4445" r="12065" b="17780"/>
                <wp:wrapNone/>
                <wp:docPr id="3" name="直接连接符 3"/>
                <wp:cNvGraphicFramePr/>
                <a:graphic xmlns:a="http://schemas.openxmlformats.org/drawingml/2006/main">
                  <a:graphicData uri="http://schemas.microsoft.com/office/word/2010/wordprocessingShape">
                    <wps:wsp>
                      <wps:cNvCnPr/>
                      <wps:spPr>
                        <a:xfrm>
                          <a:off x="0" y="0"/>
                          <a:ext cx="6045835" cy="34925"/>
                        </a:xfrm>
                        <a:prstGeom prst="line">
                          <a:avLst/>
                        </a:prstGeom>
                        <a:noFill/>
                        <a:ln w="6350" cap="flat" cmpd="sng" algn="ctr">
                          <a:solidFill>
                            <a:sysClr val="windowText" lastClr="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3pt;height:2.75pt;width:476.05pt;z-index:251661312;mso-width-relative:page;mso-height-relative:page;" filled="f" stroked="t" coordsize="21600,21600" o:gfxdata="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8e+UNQAAAAGAQAADwAAAAAAAAABACAAAAAiAAAAZHJzL2Rvd25yZXYueG1sUEsB&#10;AhQAFAAAAAgAh07iQFLe1eT5AQAA1wMAAA4AAAAAAAAAAQAgAAAAIwEAAGRycy9lMm9Eb2MueG1s&#10;UEsFBgAAAAAGAAYAWQEAAI4FAAAAAA==&#10;">
                <v:fill on="f" focussize="0,0"/>
                <v:stroke weight="0.5pt" color="#000000 [3204]" miterlimit="8" joinstyle="miter"/>
                <v:imagedata o:title=""/>
                <o:lock v:ext="edit" aspectratio="f"/>
              </v:line>
            </w:pict>
          </mc:Fallback>
        </mc:AlternateContent>
      </w:r>
      <w:r>
        <w:rPr>
          <w:rFonts w:hint="eastAsia" w:ascii="仿宋" w:hAnsi="仿宋" w:eastAsia="仿宋" w:cs="仿宋"/>
          <w:sz w:val="32"/>
          <w:szCs w:val="32"/>
          <w:lang w:val="en-US" w:eastAsia="zh-CN"/>
        </w:rPr>
        <w:t>大同经济技术开发区发展与行政审批部     2025年7月10日印发</w:t>
      </w:r>
    </w:p>
    <w:sectPr>
      <w:pgSz w:w="11906" w:h="16838"/>
      <w:pgMar w:top="1157" w:right="1293" w:bottom="1497" w:left="129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NmE3YjQ3MjE4YzE2YmJiNGUzZDUwNTc4N2JhYzgifQ=="/>
  </w:docVars>
  <w:rsids>
    <w:rsidRoot w:val="2C90281C"/>
    <w:rsid w:val="00621C19"/>
    <w:rsid w:val="006B4EF0"/>
    <w:rsid w:val="01D6466C"/>
    <w:rsid w:val="02104022"/>
    <w:rsid w:val="025D59DB"/>
    <w:rsid w:val="0281296F"/>
    <w:rsid w:val="03887BE8"/>
    <w:rsid w:val="043C56EE"/>
    <w:rsid w:val="046C3066"/>
    <w:rsid w:val="051C790C"/>
    <w:rsid w:val="05E7263A"/>
    <w:rsid w:val="06657823"/>
    <w:rsid w:val="0692411A"/>
    <w:rsid w:val="084F6F27"/>
    <w:rsid w:val="08761E35"/>
    <w:rsid w:val="0A5D3F16"/>
    <w:rsid w:val="0A8A65A2"/>
    <w:rsid w:val="0B0977D5"/>
    <w:rsid w:val="0B592171"/>
    <w:rsid w:val="0D4F61B9"/>
    <w:rsid w:val="0D666226"/>
    <w:rsid w:val="0DB03F54"/>
    <w:rsid w:val="0E377A47"/>
    <w:rsid w:val="0EF3685E"/>
    <w:rsid w:val="10637714"/>
    <w:rsid w:val="110A7E8F"/>
    <w:rsid w:val="14BB0D3C"/>
    <w:rsid w:val="14C94ACE"/>
    <w:rsid w:val="162C249A"/>
    <w:rsid w:val="16482779"/>
    <w:rsid w:val="16732E22"/>
    <w:rsid w:val="168F6E32"/>
    <w:rsid w:val="1761336F"/>
    <w:rsid w:val="18062417"/>
    <w:rsid w:val="1AB9499C"/>
    <w:rsid w:val="1B2C5DD7"/>
    <w:rsid w:val="1BE22134"/>
    <w:rsid w:val="1D4D5CD3"/>
    <w:rsid w:val="1EA37C96"/>
    <w:rsid w:val="1F240CB5"/>
    <w:rsid w:val="1F457924"/>
    <w:rsid w:val="203B0065"/>
    <w:rsid w:val="21442F49"/>
    <w:rsid w:val="21FF1070"/>
    <w:rsid w:val="24C121EE"/>
    <w:rsid w:val="25585215"/>
    <w:rsid w:val="257E488E"/>
    <w:rsid w:val="26FF6A0B"/>
    <w:rsid w:val="28C95B9F"/>
    <w:rsid w:val="2A6F54DA"/>
    <w:rsid w:val="2B3202B6"/>
    <w:rsid w:val="2B470CE0"/>
    <w:rsid w:val="2B78314D"/>
    <w:rsid w:val="2B82123D"/>
    <w:rsid w:val="2C90281C"/>
    <w:rsid w:val="2D7F56A6"/>
    <w:rsid w:val="2E206B20"/>
    <w:rsid w:val="2E690493"/>
    <w:rsid w:val="2F862D22"/>
    <w:rsid w:val="31A84EB5"/>
    <w:rsid w:val="32084224"/>
    <w:rsid w:val="321575E2"/>
    <w:rsid w:val="32AB29E5"/>
    <w:rsid w:val="337C208F"/>
    <w:rsid w:val="33864572"/>
    <w:rsid w:val="33BB6E2E"/>
    <w:rsid w:val="374A2560"/>
    <w:rsid w:val="37A95DA4"/>
    <w:rsid w:val="3A9D40B7"/>
    <w:rsid w:val="3C917532"/>
    <w:rsid w:val="3CD63197"/>
    <w:rsid w:val="3E5973EA"/>
    <w:rsid w:val="3EC126C5"/>
    <w:rsid w:val="3F3E4AED"/>
    <w:rsid w:val="405D067C"/>
    <w:rsid w:val="43FC693C"/>
    <w:rsid w:val="443072E8"/>
    <w:rsid w:val="44423B1B"/>
    <w:rsid w:val="44F85C75"/>
    <w:rsid w:val="4605689B"/>
    <w:rsid w:val="47770A02"/>
    <w:rsid w:val="47AF4D0E"/>
    <w:rsid w:val="4835414F"/>
    <w:rsid w:val="48B258AE"/>
    <w:rsid w:val="4A8D30CF"/>
    <w:rsid w:val="4BFE1DC3"/>
    <w:rsid w:val="4C094875"/>
    <w:rsid w:val="4C1641DB"/>
    <w:rsid w:val="4C2C5D63"/>
    <w:rsid w:val="4E1D31E0"/>
    <w:rsid w:val="4E402B66"/>
    <w:rsid w:val="4EB1136E"/>
    <w:rsid w:val="51FC6DA4"/>
    <w:rsid w:val="53B45A28"/>
    <w:rsid w:val="53C65D8A"/>
    <w:rsid w:val="540102F4"/>
    <w:rsid w:val="54D33FDA"/>
    <w:rsid w:val="55D53AE1"/>
    <w:rsid w:val="58BE0AA7"/>
    <w:rsid w:val="59FB0D0F"/>
    <w:rsid w:val="5A9948D8"/>
    <w:rsid w:val="5D704AEA"/>
    <w:rsid w:val="5E2D414A"/>
    <w:rsid w:val="5F881C77"/>
    <w:rsid w:val="60AD6BBE"/>
    <w:rsid w:val="60C278C3"/>
    <w:rsid w:val="60EF5D26"/>
    <w:rsid w:val="61002705"/>
    <w:rsid w:val="6175447D"/>
    <w:rsid w:val="62CB0FE2"/>
    <w:rsid w:val="643001A7"/>
    <w:rsid w:val="64C93A93"/>
    <w:rsid w:val="64DF4A2F"/>
    <w:rsid w:val="65354C0E"/>
    <w:rsid w:val="683B4677"/>
    <w:rsid w:val="69056444"/>
    <w:rsid w:val="6A4238D8"/>
    <w:rsid w:val="6C353D3B"/>
    <w:rsid w:val="6FE0340A"/>
    <w:rsid w:val="71D84CE0"/>
    <w:rsid w:val="72C963D7"/>
    <w:rsid w:val="738C151C"/>
    <w:rsid w:val="73AA6208"/>
    <w:rsid w:val="73C27A32"/>
    <w:rsid w:val="74275AAB"/>
    <w:rsid w:val="74751836"/>
    <w:rsid w:val="77143A5D"/>
    <w:rsid w:val="78063B24"/>
    <w:rsid w:val="79081668"/>
    <w:rsid w:val="7A220AEE"/>
    <w:rsid w:val="7B5C3ECB"/>
    <w:rsid w:val="7BEB54C7"/>
    <w:rsid w:val="7CE3382C"/>
    <w:rsid w:val="7D8F646F"/>
    <w:rsid w:val="7F09156C"/>
    <w:rsid w:val="7F6E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line="540" w:lineRule="exact"/>
      <w:jc w:val="center"/>
    </w:pPr>
    <w:rPr>
      <w:rFonts w:ascii="Times New Roman" w:hAnsi="Times New Roman" w:eastAsia="华文中宋" w:cs="Times New Roman"/>
      <w:kern w:val="2"/>
      <w:sz w:val="40"/>
      <w:szCs w:val="24"/>
      <w:lang w:val="en-US" w:eastAsia="zh-CN" w:bidi="ar-SA"/>
    </w:rPr>
  </w:style>
  <w:style w:type="paragraph" w:styleId="3">
    <w:name w:val="Body Text Indent"/>
    <w:basedOn w:val="1"/>
    <w:qFormat/>
    <w:uiPriority w:val="0"/>
    <w:pPr>
      <w:spacing w:after="120"/>
      <w:ind w:left="420" w:leftChars="200"/>
    </w:pPr>
  </w:style>
  <w:style w:type="paragraph" w:styleId="4">
    <w:name w:val="Body Text First Indent"/>
    <w:basedOn w:val="1"/>
    <w:qFormat/>
    <w:uiPriority w:val="99"/>
    <w:pPr>
      <w:ind w:firstLine="420" w:firstLineChars="100"/>
    </w:pPr>
  </w:style>
  <w:style w:type="paragraph" w:styleId="5">
    <w:name w:val="Body Text First Indent 2"/>
    <w:basedOn w:val="1"/>
    <w:next w:val="3"/>
    <w:qFormat/>
    <w:uiPriority w:val="0"/>
    <w:pPr>
      <w:widowControl w:val="0"/>
      <w:spacing w:after="120" w:line="240" w:lineRule="auto"/>
      <w:ind w:left="420" w:leftChars="200" w:firstLine="420"/>
      <w:jc w:val="both"/>
    </w:pPr>
    <w:rPr>
      <w:rFonts w:ascii="Times New Roman" w:hAnsi="Times New Roman" w:eastAsia="宋体" w:cs="Times New Roman"/>
      <w:kern w:val="2"/>
      <w:sz w:val="21"/>
      <w:szCs w:val="24"/>
      <w:lang w:val="en-US" w:eastAsia="zh-CN" w:bidi="ar-SA"/>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
    <w:name w:val="报告正文"/>
    <w:basedOn w:val="1"/>
    <w:qFormat/>
    <w:uiPriority w:val="0"/>
    <w:pPr>
      <w:autoSpaceDE w:val="0"/>
      <w:autoSpaceDN w:val="0"/>
      <w:adjustRightInd w:val="0"/>
      <w:spacing w:line="560" w:lineRule="atLeast"/>
      <w:ind w:firstLine="200" w:firstLineChars="200"/>
      <w:textAlignment w:val="baseline"/>
    </w:pPr>
    <w:rPr>
      <w:rFonts w:ascii="宋体"/>
      <w:kern w:val="0"/>
      <w:sz w:val="24"/>
      <w:szCs w:val="20"/>
    </w:rPr>
  </w:style>
  <w:style w:type="paragraph" w:customStyle="1" w:styleId="10">
    <w:name w:val="封面-3"/>
    <w:basedOn w:val="1"/>
    <w:qFormat/>
    <w:uiPriority w:val="99"/>
    <w:pPr>
      <w:spacing w:line="360" w:lineRule="auto"/>
      <w:jc w:val="center"/>
    </w:pPr>
    <w:rPr>
      <w:rFonts w:eastAsia="黑体"/>
      <w:bCs/>
      <w:spacing w:val="-20"/>
      <w:sz w:val="32"/>
      <w:szCs w:val="32"/>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1725</Words>
  <Characters>1853</Characters>
  <Lines>0</Lines>
  <Paragraphs>0</Paragraphs>
  <TotalTime>11</TotalTime>
  <ScaleCrop>false</ScaleCrop>
  <LinksUpToDate>false</LinksUpToDate>
  <CharactersWithSpaces>1890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2022-01-13T06:51:00Z</dcterms:created>
  <dc:creator>lenovo</dc:creator>
  <cp:lastModifiedBy>lenovo</cp:lastModifiedBy>
  <cp:lastPrinted>2025-07-08T01:16:26Z</cp:lastPrinted>
  <dcterms:modified xsi:type="dcterms:W3CDTF">2025-07-08T01:17:06Z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55CCB84A68354B4DAB69BCAC69D83637</vt:lpwstr>
  </property>
  <property fmtid="{D5CDD505-2E9C-101B-9397-08002B2CF9AE}" pid="4" name="commondata">
    <vt:lpwstr>eyJoZGlkIjoiZTBmNmE3YjQ3MjE4YzE2YmJiNGUzZDUwNTc4N2JhYzgifQ==</vt:lpwstr>
  </property>
  <property fmtid="{D5CDD505-2E9C-101B-9397-08002B2CF9AE}" pid="5" name="KSOTemplateDocerSaveRecord">
    <vt:lpwstr>eyJoZGlkIjoiNzA3ODEyZGMxODYyMTM1OGM4NmE0YTY0YTk1ODVlMGEifQ==</vt:lpwstr>
  </property>
</Properties>
</file>