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31DC9">
      <w:pPr>
        <w:wordWrap w:val="0"/>
        <w:jc w:val="right"/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 w14:paraId="1469E196">
      <w:pPr>
        <w:wordWrap/>
        <w:jc w:val="both"/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 w14:paraId="701CC68A">
      <w:pPr>
        <w:wordWrap w:val="0"/>
        <w:jc w:val="right"/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 w14:paraId="3B271A1E">
      <w:pPr>
        <w:wordWrap w:val="0"/>
        <w:jc w:val="righ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同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审批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环函〔20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 w14:paraId="4300E4D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2B2B2B"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山西云泰新材料有限公司生物基纤维材料</w:t>
      </w:r>
    </w:p>
    <w:p w14:paraId="26DD52E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低碳智能制造产业园项目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环境影响</w:t>
      </w:r>
      <w:r>
        <w:rPr>
          <w:rFonts w:hint="eastAsia" w:asciiTheme="minorEastAsia" w:hAnsiTheme="minorEastAsia" w:eastAsiaTheme="minorEastAsia" w:cstheme="minorEastAsia"/>
          <w:b/>
          <w:bCs w:val="0"/>
          <w:color w:val="2B2B2B"/>
          <w:kern w:val="0"/>
          <w:sz w:val="44"/>
          <w:szCs w:val="44"/>
        </w:rPr>
        <w:t>报告</w:t>
      </w:r>
      <w:r>
        <w:rPr>
          <w:rFonts w:hint="eastAsia" w:asciiTheme="minorEastAsia" w:hAnsiTheme="minorEastAsia" w:eastAsiaTheme="minorEastAsia" w:cstheme="minorEastAsia"/>
          <w:b/>
          <w:bCs w:val="0"/>
          <w:color w:val="2B2B2B"/>
          <w:kern w:val="0"/>
          <w:sz w:val="44"/>
          <w:szCs w:val="44"/>
          <w:lang w:val="en-US" w:eastAsia="zh-CN"/>
        </w:rPr>
        <w:t>书</w:t>
      </w:r>
      <w:r>
        <w:rPr>
          <w:rFonts w:hint="eastAsia" w:asciiTheme="minorEastAsia" w:hAnsiTheme="minorEastAsia" w:eastAsiaTheme="minorEastAsia" w:cstheme="minorEastAsia"/>
          <w:b/>
          <w:bCs w:val="0"/>
          <w:color w:val="2B2B2B"/>
          <w:kern w:val="0"/>
          <w:sz w:val="44"/>
          <w:szCs w:val="44"/>
        </w:rPr>
        <w:t>的批复</w:t>
      </w:r>
    </w:p>
    <w:p w14:paraId="1C6CBA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12800F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山西云泰新材料有限公司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39036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你公司报送的《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山西云泰新材料有限公司生物基纤维材料低碳智能制造产业园项目</w:t>
      </w:r>
      <w:r>
        <w:rPr>
          <w:rFonts w:hint="eastAsia" w:ascii="仿宋" w:hAnsi="仿宋" w:eastAsia="仿宋" w:cs="仿宋"/>
          <w:sz w:val="32"/>
          <w:szCs w:val="32"/>
        </w:rPr>
        <w:t>环境影响报告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》（以下简称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）收悉，经研究，批复如下：</w:t>
      </w:r>
    </w:p>
    <w:p w14:paraId="1E4F152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山西云泰新材料有限公司生物基纤维材料低碳智能制造产业园项目</w:t>
      </w:r>
      <w:r>
        <w:rPr>
          <w:rFonts w:hint="eastAsia" w:ascii="仿宋" w:hAnsi="仿宋" w:eastAsia="仿宋" w:cs="仿宋"/>
          <w:sz w:val="32"/>
          <w:szCs w:val="32"/>
        </w:rPr>
        <w:t>位于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大同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开区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高新产业基地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大同经济技术开发区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发展与</w:t>
      </w:r>
      <w:r>
        <w:rPr>
          <w:rFonts w:hint="eastAsia" w:ascii="仿宋" w:hAnsi="仿宋" w:eastAsia="仿宋" w:cs="仿宋"/>
          <w:sz w:val="32"/>
          <w:szCs w:val="32"/>
        </w:rPr>
        <w:t>行政审批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2025年4月29日</w:t>
      </w:r>
      <w:r>
        <w:rPr>
          <w:rFonts w:hint="eastAsia" w:ascii="仿宋" w:hAnsi="仿宋" w:eastAsia="仿宋" w:cs="仿宋"/>
          <w:sz w:val="32"/>
          <w:szCs w:val="32"/>
        </w:rPr>
        <w:t>对本项目进行了备案，项目代码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2504-140251-89-01-926656。</w:t>
      </w:r>
      <w:r>
        <w:rPr>
          <w:rFonts w:hint="eastAsia" w:ascii="仿宋" w:hAnsi="仿宋" w:eastAsia="仿宋" w:cs="仿宋"/>
          <w:sz w:val="32"/>
          <w:szCs w:val="32"/>
        </w:rPr>
        <w:t>项目总投资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101899.1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其中环保投资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1348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目建设用地总面积约254.66亩，其中工业建设用地面积200.14亩，年产高档生活用纸36万吨，主要建设厂房、生产线、库房、办公设施、水处理及其他附属配套设施；规划热源建设用地面积54.52亩，主要建设动力车间 、2×90t/h高温高压循环流化床燃煤锅炉及其他配套设施。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分两期建设；一期主要建设内容包括：1#湿式造纸联合厂房4台纸机、2#湿式造纸联合厂房2台纸机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年生产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178840吨高档生活用纸（15.5g/m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卫生纸卷纸）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新建 1×90t/h高温高压循环流化床锅炉以及配套辅助设施；二期主要建设内容包括：2#湿式造纸联合厂房2台纸机、3#湿式造纸联合厂房4台纸机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3#独立成品库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年生产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178840吨高档生活用纸（其中13g/m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面巾纸53720吨/年、15.5g/m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卫生纸卷125120吨/年）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新建1×90t/h高温高压循环流化床锅炉以及配套辅助设施。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严格落实“报告书”提出的各项环境保护对策措施的情况下，做到污染物达标排放，满足污染物排放总量控制指标的前提下，我单位原则同意该项目按专家评审意见修改后的“报告书”及评估报告所确认的项目性质、规模、地点、采取的生产工艺、污染防治措施进行建设。</w:t>
      </w:r>
    </w:p>
    <w:p w14:paraId="4E2828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项目设计、建设和运行管理中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重点做好以下工作：</w:t>
      </w:r>
    </w:p>
    <w:p w14:paraId="1780BF0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认真做好施工期环境保护工作，加强环境管理，落实</w:t>
      </w:r>
      <w:r>
        <w:rPr>
          <w:rFonts w:hint="eastAsia" w:ascii="仿宋" w:hAnsi="仿宋" w:eastAsia="仿宋" w:cs="仿宋"/>
          <w:sz w:val="32"/>
          <w:szCs w:val="32"/>
        </w:rPr>
        <w:t>“报告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提出的各项污染防治措施，降低对周边环境的影响。</w:t>
      </w:r>
    </w:p>
    <w:p w14:paraId="69F929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2）大气污染治理措施。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原煤堆场全封闭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车间地面全部硬化，并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设置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覆盖整个煤堆表面的喷淋洒水设施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原煤输送设输煤栈桥，输送皮带全封闭，并在转载跌落点安装喷淋洒水装置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复合分切机运行废气自带喷雾装置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石灰石粉仓废气配套1台布袋除尘器，废气处理后由仓顶1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m高排气筒排放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粉煤灰仓废气配套1台布袋除尘器，废气处理后由仓顶1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m高排气筒排放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渣库废气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配套1台布袋除尘器，废气处理后由仓顶1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m高排气筒排放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燃煤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锅炉废气釆用“低氮燃烧+炉内喷钙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+半干法烟气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脱硫+SNCR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+SCR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脱硝+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电袋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除尘”处理工艺，锅炉烟气经处理后经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m高烟囱排放；污水处理站恶臭采取及时清理浮渣和污泥、喷洒除臭剂、加强污水处理站周边绿化等措施，减少恶臭无组织排放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生产过程中产生的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颗粒物执行《大气污染物综合排放标准》（GB16297-1996）中二级标准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；燃煤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蒸汽锅炉废气中的污染物颗粒物、SO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、NOx等执行山西省地方标准《锅炉大气污染物排放标准》（DB14/1929-2019）表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中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燃煤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锅炉大气污染物排放浓度限值中的有关要求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                      </w:t>
      </w:r>
    </w:p>
    <w:p w14:paraId="199CD4A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48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（3）水污染治理措施。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食堂废水经隔油池处理后与办公生活污水一起进入厂区污水管网，最终进入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大同市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御东污水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处理有限责任公司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进行进一步处理，不直接外排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生产废水主要是抄纸过程产生的废水及锅炉排水。锅炉排污水为洁净排水，经厂区污水管网进入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大同市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御东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污水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处理有限责任公司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进行进一步处理，不直接外排；抄纸废水经多圆盘过滤器过滤后可分为回收浆、超清水、清白水和浊白水四部分。其中回收浆返回碎浆工序；超清水回用于纸机毛布冲洗水；清白水一部分回用于纸机冲网，剩余部分进入白水塔；浊白水进入厂区污水处理站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pacing w:val="4"/>
          <w:sz w:val="32"/>
          <w:szCs w:val="32"/>
          <w:highlight w:val="none"/>
        </w:rPr>
        <w:t>超浅层气浮处理工艺，处理能力</w:t>
      </w:r>
      <w:r>
        <w:rPr>
          <w:rFonts w:hint="eastAsia" w:ascii="仿宋" w:hAnsi="仿宋" w:eastAsia="仿宋" w:cs="仿宋"/>
          <w:b w:val="0"/>
          <w:bCs w:val="0"/>
          <w:color w:val="000000"/>
          <w:spacing w:val="4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" w:hAnsi="仿宋" w:eastAsia="仿宋" w:cs="仿宋"/>
          <w:b w:val="0"/>
          <w:bCs w:val="0"/>
          <w:color w:val="000000"/>
          <w:spacing w:val="4"/>
          <w:sz w:val="32"/>
          <w:szCs w:val="32"/>
          <w:highlight w:val="none"/>
        </w:rPr>
        <w:t>m</w:t>
      </w:r>
      <w:r>
        <w:rPr>
          <w:rFonts w:hint="eastAsia" w:ascii="仿宋" w:hAnsi="仿宋" w:eastAsia="仿宋" w:cs="仿宋"/>
          <w:b w:val="0"/>
          <w:bCs w:val="0"/>
          <w:color w:val="000000"/>
          <w:spacing w:val="4"/>
          <w:sz w:val="32"/>
          <w:szCs w:val="32"/>
          <w:highlight w:val="none"/>
          <w:vertAlign w:val="superscript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pacing w:val="4"/>
          <w:sz w:val="32"/>
          <w:szCs w:val="32"/>
          <w:highlight w:val="none"/>
        </w:rPr>
        <w:t>/h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处理后进入清白水池，然后由泵打入白水塔，再经高压水过滤器过滤后回用于纸机毛布冲洗用水，剩余部分进入厂区污水管网，最终进入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大同市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御东污水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处理有限责任公司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进行进一步处理。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厂区建设一座2200m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的初期雨水收集池，用于收集初期雨水；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建设一座600m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事故池。</w:t>
      </w:r>
      <w:r>
        <w:rPr>
          <w:rFonts w:hint="eastAsia" w:ascii="仿宋" w:hAnsi="仿宋" w:eastAsia="仿宋" w:cs="仿宋"/>
          <w:sz w:val="32"/>
          <w:szCs w:val="32"/>
        </w:rPr>
        <w:t>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</w:t>
      </w:r>
      <w:r>
        <w:rPr>
          <w:rFonts w:hint="eastAsia" w:ascii="仿宋" w:hAnsi="仿宋" w:eastAsia="仿宋" w:cs="仿宋"/>
          <w:sz w:val="32"/>
          <w:szCs w:val="32"/>
        </w:rPr>
        <w:t>水质应满足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与大同市御东污水处理有限责任公司签订的污水处理协议要求。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严格落实《报告书》提出的防渗分区及防渗要求，建立地下水监控体系，完善监测制度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防止地下水、土壤环境污染。</w:t>
      </w:r>
    </w:p>
    <w:p w14:paraId="719A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2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（4）固体废弃物污染治理措施。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抄纸机网前筛废渣经收集后送当地垃圾填埋场处置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锅炉炉渣暂存于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渣库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粉煤灰暂存于粉煤灰仓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全部送大同市云州区汇达建材有限公司综合利用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粉煤灰脱硫渣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送锅炉焚烧，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不外排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分切机损纸经收集后返回碎浆工序作为原料，不外排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废包装材料经收集后外售其他物资回收部门进行综合利用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污水处理站污泥经压滤脱水处理，处理后污泥自然晾干后送至厂区锅炉房焚烧</w:t>
      </w:r>
      <w:r>
        <w:rPr>
          <w:rFonts w:hint="eastAsia" w:ascii="仿宋" w:hAnsi="仿宋" w:eastAsia="仿宋" w:cs="仿宋"/>
          <w:b w:val="0"/>
          <w:bCs/>
          <w:color w:val="000000"/>
          <w:kern w:val="18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废矿物油、废脱硝催化剂采用专用的容器收集后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在厂区内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危废贮存库（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20m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进行暂存，最后由有资质的单位进行收集处置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生活垃圾设置生活垃圾箱，收集后运至环卫部门指定地点处置。危险废物收集、贮存及运输等过程执行《危险废物贮存污染控制标准》（GB18597-2023）中的有关规定；</w:t>
      </w:r>
      <w:r>
        <w:rPr>
          <w:rFonts w:hint="eastAsia" w:ascii="仿宋" w:hAnsi="仿宋" w:eastAsia="仿宋" w:cs="仿宋"/>
          <w:b w:val="0"/>
          <w:bCs/>
          <w:color w:val="000000"/>
          <w:spacing w:val="4"/>
          <w:sz w:val="32"/>
          <w:szCs w:val="32"/>
          <w:highlight w:val="none"/>
        </w:rPr>
        <w:t>危险废物收集、贮存、运输过程执行《危险废物收集 贮存 运输技术规范》（HJ2025-2012）等相关要求</w:t>
      </w:r>
      <w:r>
        <w:rPr>
          <w:rFonts w:hint="eastAsia" w:ascii="仿宋" w:hAnsi="仿宋" w:eastAsia="仿宋" w:cs="仿宋"/>
          <w:b w:val="0"/>
          <w:bCs/>
          <w:color w:val="000000"/>
          <w:spacing w:val="4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其他一般工业固体废物处置执行《一般工业固体废物贮存和填埋污染控制标准》（GB18599-2020）中的有关规定。</w:t>
      </w:r>
    </w:p>
    <w:p w14:paraId="2A401A4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68" w:firstLineChars="20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噪声污染防治措施。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选用低噪声设备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；合理布局，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高噪声设备置于厂房内，进行密闭、隔声、减振，安装消声器等措施；对厂区及道路两旁进行绿化，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降低噪声传播。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厂界噪声排放标准执行《工业企业厂界环境噪声排放标准》（GB12348-2008）中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类标准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1DCA4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三、严格落实“报告书”提出的环境管理和环境监测计划，加强区域环境质量的监测。</w:t>
      </w:r>
      <w:r>
        <w:rPr>
          <w:rFonts w:hint="eastAsia" w:ascii="仿宋" w:hAnsi="仿宋" w:eastAsia="仿宋" w:cs="仿宋"/>
          <w:sz w:val="32"/>
          <w:szCs w:val="32"/>
        </w:rPr>
        <w:t>制定环境保护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制度和防止污染事故应急措施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制定规范有效的突发环境事件应急预案并加以落实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确保环境风险降至最低。</w:t>
      </w:r>
    </w:p>
    <w:p w14:paraId="09D2921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本项目主要污染物排放总量控制指标为：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颗粒物28.62t/a、二氧化硫74.7t/a、氮氧化物106.7t/a、COD 43.2t/a、氨氮2.16t/a。</w:t>
      </w:r>
    </w:p>
    <w:p w14:paraId="3BB82A3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项目验收前，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排污权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交易获取排放总量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颗粒物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颗粒物28.62t/a、二氧化硫74.7t/a、氮氧化物106.7t/a、COD 43.2t/a、氨氮2.16t/a。</w:t>
      </w:r>
    </w:p>
    <w:p w14:paraId="4C77E0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、建立健全项目信息公开机制，按照《建设项目环境影响评价信息公开机制方案》等要求，及时、如实向社会公开项目相关信息，并主动接受社会监督。</w:t>
      </w:r>
    </w:p>
    <w:p w14:paraId="520212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、应将以上意见和“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”规定的保护措施落实到设计与施工中。严格执行环境保护“三同时”制度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国家排污许可有关管理规定，申请排污许可证，按证排污；须按照国家规定的标准和程序实施竣工环境保护验收，验收合格后方可投入生产或者使用；如项目的性质、规模、地点、工艺或者防治污染、防止生态破坏的措施发生重大变动的，应当重新报批建设项目环境影响评价文件。</w:t>
      </w:r>
    </w:p>
    <w:p w14:paraId="51B7AF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大同市生态环境局开发区分局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负责本项目的日常监督、管理工作。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B4A21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4B420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92CA2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大同经济技术开发区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发展与行政审批部     </w:t>
      </w:r>
    </w:p>
    <w:p w14:paraId="1227FB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2025年11月13日</w:t>
      </w:r>
    </w:p>
    <w:p w14:paraId="7E06D5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FA40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C936A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0BD6B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8F0F3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CC6CE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EAD86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0AD14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4956A2E"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D93E6C8"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01598A3">
      <w:pPr>
        <w:pStyle w:val="2"/>
        <w:rPr>
          <w:rFonts w:hint="eastAsia" w:ascii="仿宋" w:hAnsi="仿宋" w:eastAsia="仿宋" w:cs="仿宋"/>
          <w:color w:val="auto"/>
          <w:sz w:val="15"/>
          <w:szCs w:val="15"/>
          <w:lang w:val="en-US" w:eastAsia="zh-CN"/>
        </w:rPr>
      </w:pPr>
      <w:bookmarkStart w:id="0" w:name="_GoBack"/>
      <w:bookmarkEnd w:id="0"/>
    </w:p>
    <w:p w14:paraId="41815D61">
      <w:pPr>
        <w:pStyle w:val="2"/>
        <w:rPr>
          <w:rFonts w:hint="eastAsia" w:ascii="仿宋" w:hAnsi="仿宋" w:eastAsia="仿宋" w:cs="仿宋"/>
          <w:color w:val="auto"/>
          <w:sz w:val="15"/>
          <w:szCs w:val="15"/>
          <w:lang w:val="en-US" w:eastAsia="zh-CN"/>
        </w:rPr>
      </w:pPr>
    </w:p>
    <w:p w14:paraId="07E863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4ADC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308610</wp:posOffset>
                </wp:positionV>
                <wp:extent cx="5958205" cy="31750"/>
                <wp:effectExtent l="0" t="4445" r="444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5030" y="8623935"/>
                          <a:ext cx="5958205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pt;margin-top:24.3pt;height:2.5pt;width:469.15pt;z-index:251659264;mso-width-relative:page;mso-height-relative:page;" filled="f" stroked="t" coordsize="21600,21600" o:gfxdata="UEsDBAoAAAAAAIdO4kAAAAAAAAAAAAAAAAAEAAAAZHJzL1BLAwQUAAAACACHTuJAy5T0GNcAAAAH&#10;AQAADwAAAGRycy9kb3ducmV2LnhtbE2PTU/DMAyG70j8h8hI3Fi6D7quNN0BiQMSElA47Jg1XltI&#10;nNJkbfn3mBOcLOt99fhxsZ+dFSMOofOkYLlIQCDV3nTUKHh/e7jJQISoyWjrCRV8Y4B9eXlR6Nz4&#10;iV5xrGIjGEIh1wraGPtcylC36HRY+B6Js5MfnI68Do00g54Y7qxcJUkqne6IL7S6x/sW68/q7JhC&#10;26/TbIfDy/NTm1XTBz6OW1Tq+mqZ3IGIOMe/MvzqszqU7HT0ZzJBWAUb/iTyyFIQHO82qzWIo4Lb&#10;dQqyLOR///IHUEsDBBQAAAAIAIdO4kD23saHAgIAAOIDAAAOAAAAZHJzL2Uyb0RvYy54bWytU82O&#10;0zAQviPxDpbvNGmjlm7UdA9bLRcElVgeYNZxEkv+k8fbtC/BCyBxgxNH7rwNy2MwTsJSlsseyMEZ&#10;e2Y+z/fly+byaDQ7yIDK2YrPZzln0gpXK9tW/P3N9Ys1ZxjB1qCdlRU/SeSX2+fPNr0v5cJ1Ttcy&#10;MAKxWPa+4l2MvswyFJ00gDPnpaVk44KBSNvQZnWAntCNzhZ5vsp6F2ofnJCIdLobk3xCDE8BdE2j&#10;hNw5cWekjSNqkBoiUcJOeeTbYdqmkSK+bRqUkemKE9M4rHQJxbdpzbYbKNsAvlNiGgGeMsIjTgaU&#10;pUsfoHYQgd0F9Q+UUSI4dE2cCWeykcigCLGY54+0edeBlwMXkhr9g+j4/2DFm8M+MFWTEzizYOiD&#10;33/89uPD55/fP9F6//ULmyeReo8l1V7ZfZh26PchMT42waQ3cWHHiq9fLvOC1D1RuFoUF8Vy1Fge&#10;IxOUX14s14t8yZmgimJO1Smf/cHxAeMr6QxLQcW1skkCKOHwGuNY+rskHVt3rbSmcyi1ZX3FVwVB&#10;MgFkzYYsQaHxRA9tyxnoljwvYhgQ0WlVp+7UjCe80oEdgIxCbq1df0Mjc6YBIyXIK8MzDftXaxpn&#10;B9iNzUNq5GxUpF9FK0NanHdrm26Ugz0nUknfUdEU3br6NAidpR19+kGhyabJW+d7is9/ze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5T0GNcAAAAHAQAADwAAAAAAAAABACAAAAAiAAAAZHJzL2Rv&#10;d25yZXYueG1sUEsBAhQAFAAAAAgAh07iQPbexocCAgAA4gMAAA4AAAAAAAAAAQAgAAAAJgEAAGRy&#10;cy9lMm9Eb2MueG1sUEsFBgAAAAAGAAYAWQEAAJoFAAAAAA=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8C6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354965</wp:posOffset>
                </wp:positionV>
                <wp:extent cx="6045835" cy="34925"/>
                <wp:effectExtent l="0" t="4445" r="12065" b="177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34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7.95pt;height:2.75pt;width:476.05pt;z-index:251661312;mso-width-relative:page;mso-height-relative:page;" filled="f" stroked="t" coordsize="21600,21600" o:gfxdata="UEsDBAoAAAAAAIdO4kAAAAAAAAAAAAAAAAAEAAAAZHJzL1BLAwQUAAAACACHTuJARuun4dUAAAAH&#10;AQAADwAAAGRycy9kb3ducmV2LnhtbE2OwU7DMBBE70j8g7VI3KgTIGkb4vSAxAEJCRo4cHSTbRKw&#10;18F2k/D3LCc4jmb05pW7xRoxoQ+DIwXpKgGB1Lh2oE7B2+vD1QZEiJpabRyhgm8MsKvOz0pdtG6m&#10;PU517ARDKBRaQR/jWEgZmh6tDis3InF3dN7qyNF3svV6Zrg18jpJcmn1QPzQ6xHve2w+65NlCq2/&#10;jovx7y/PT/2mnj/wcVqjUpcXaXIHIuIS/8bwq8/qULHTwZ2oDcJwznioIMu2ILjeZjc5iIOCPL0F&#10;WZXyv3/1A1BLAwQUAAAACACHTuJAmzcpJPoBAADXAwAADgAAAGRycy9lMm9Eb2MueG1srVPNbhMx&#10;EL4j8Q6W72S3SVOFVTY9NCoXBJEoDzD1erOW/CePm01eghdA4gYnjtx5G8pjMPZu01AuPZCDM/Z4&#10;vpnv87fLy73RbCcDKmdrfjYpOZNWuEbZbc0/3ly/WnCGEWwD2llZ84NEfrl6+WLZ+0pOXed0IwMj&#10;EItV72vexeirokDRSQM4cV5aSrYuGIi0DduiCdATutHFtCwvit6FxgcnJCKdrockHxHDcwBd2yoh&#10;107cGWnjgBqkhkiUsFMe+SpP27ZSxPdtizIyXXNiGvNKTSi+TWuxWkK1DeA7JcYR4DkjPOFkQFlq&#10;eoRaQwR2F9Q/UEaJ4NC1cSKcKQYiWRFicVY+0eZDB15mLiQ1+qPo+P9gxbvdJjDV1HzOmQVDD37/&#10;+cevT19///xC6/33b2yeROo9VnT3ym7CuEO/CYnxvg0m/RMXts/CHo7Cyn1kgg4vyvP5YkYdBOVm&#10;56+nGbN4LPYB4xvpDEtBzbWyiTdUsHuLkRrS1Ycr6di6a6V1fjttWU8NZnN6UQHkx5Z8QKHxxAnt&#10;ljPQWzK6iCEjotOqSdUJBw94pQPbAbmDLNq4/oZG5kwDRkoQj/xLAtAEf5WmcdaA3VCcU4OZjIr0&#10;fWhlar44rdY2dZTZkyOpJOogY4puXXPI6hZpR++dm47eTIY63VN8+j2u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66fh1QAAAAcBAAAPAAAAAAAAAAEAIAAAACIAAABkcnMvZG93bnJldi54bWxQ&#10;SwECFAAUAAAACACHTuJAmzcpJPoBAADXAwAADgAAAAAAAAABACAAAAAkAQAAZHJzL2Uyb0RvYy54&#10;bWxQSwUGAAAAAAYABgBZAQAAkA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</w:t>
      </w:r>
      <w:r>
        <w:rPr>
          <w:rFonts w:hint="eastAsia" w:ascii="仿宋" w:hAnsi="仿宋" w:eastAsia="仿宋" w:cs="仿宋"/>
          <w:b w:val="0"/>
          <w:bCs/>
          <w:i w:val="0"/>
          <w:color w:val="auto"/>
          <w:kern w:val="2"/>
          <w:sz w:val="32"/>
          <w:szCs w:val="32"/>
          <w:u w:val="none"/>
          <w:lang w:val="en-US" w:eastAsia="zh-CN" w:bidi="ar-SA"/>
        </w:rPr>
        <w:t>山西清韵环保科技有限公司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、大同市生态环境局开发区分局</w:t>
      </w:r>
    </w:p>
    <w:p w14:paraId="1398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354965</wp:posOffset>
                </wp:positionV>
                <wp:extent cx="6029325" cy="38100"/>
                <wp:effectExtent l="0" t="4445" r="9525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9233535"/>
                          <a:ext cx="60293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27.95pt;height:3pt;width:474.75pt;z-index:251660288;mso-width-relative:page;mso-height-relative:page;" filled="f" stroked="t" coordsize="21600,21600" o:gfxdata="UEsDBAoAAAAAAIdO4kAAAAAAAAAAAAAAAAAEAAAAZHJzL1BLAwQUAAAACACHTuJAdXcf0NMAAAAH&#10;AQAADwAAAGRycy9kb3ducmV2LnhtbE3OMU/DMBAF4B2J/2AdEht1TJuKhDgVigQzFBY2Jz6SqPY5&#10;it2k/HuOCcand3r3VYeLd2LBOY6BNKhNBgKpC3akXsPH+/PdA4iYDFnjAqGGb4xwqK+vKlPasNIb&#10;LsfUCx6hWBoNQ0pTKWXsBvQmbsKExN1XmL1JHOde2tmsPO6dvM+yvfRmJP4wmAmbAbvT8ew1jE1q&#10;d9nL7tR4v6yvT59Kua3T+vZGZY8gEl7S3zH88pkONZvacCYbhePM8KQhzwsQXBe52oJoNexVAbKu&#10;5H9//QNQSwMEFAAAAAgAh07iQNL+HdYgAgAAGgQAAA4AAABkcnMvZTJvRG9jLnhtbK1TS27bMBDd&#10;F+gdCO5ryZYVOILlLGKkm34MND0AQ1EWAf7AoS37Er1Age7aVZfd9zZJj9Eh6aRpusmiXtDDmeGb&#10;eTNPy4uDVmQvPEhrWjqdlJQIw20nzbalH6+vXi0ogcBMx5Q1oqVHAfRi9fLFcnSNmNnBqk54giAG&#10;mtG1dAjBNUUBfBCawcQ6YTDYW69ZwKvfFp1nI6JrVczK8qwYre+ct1wAoHedg/SE6J8DaPtecrG2&#10;fKeFCRnVC8UCUoJBOqCr1G3fCx7e9z2IQFRLkWlIJxZB+yaexWrJmq1nbpD81AJ7TgtPOGkmDRZ9&#10;gFqzwMjOy3+gtOTegu3DhFtdZCJpIshiWj6ZzYeBOZG44KjBPQwd/h8sf7ffeCK7ls4pMUzjwu8+&#10;/7j99PXXzy943n3/RuZxSKODBnMvzcafbuA2PjI+9F7Hf+RCDi1dLOZ1XVNybOn5rKrqqs4zFodA&#10;OMbPytl5NcMEjhnVYlqmHRR/cJyH8FpYTaLRUiVNHAFr2P4NBKyNqfcp0W3slVQqrVEZMmKBqsbl&#10;cobS7FESaGqH9MBsKWFqi5rnwSdEsEp28XXEgSNcKk/2DIWCau3seI0tU6IYBAygVtIvPVQ7/dZ2&#10;OXdRoz9TRDeKLbun925sN0Onzv8qGWmsGQz5RQplIC0DfmJKahxnrpp5KxM7FUnWp2HEveRNROvG&#10;dse0oCLeUDKp6EneUZOP72g//qR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1dx/Q0wAAAAcB&#10;AAAPAAAAAAAAAAEAIAAAACIAAABkcnMvZG93bnJldi54bWxQSwECFAAUAAAACACHTuJA0v4d1iAC&#10;AAAaBAAADgAAAAAAAAABACAAAAAiAQAAZHJzL2Uyb0RvYy54bWxQSwUGAAAAAAYABgBZAQAAtAUA&#10;AAAA&#10;">
                <v:fill on="f" focussize="0,0"/>
                <v:stroke weight="0.5pt" color="#262626 [274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大同经济技术开发区发展与行政审批部    2025年11月13日印发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270" w:right="1293" w:bottom="127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mE3YjQ3MjE4YzE2YmJiNGUzZDUwNTc4N2JhYzgifQ=="/>
  </w:docVars>
  <w:rsids>
    <w:rsidRoot w:val="2C90281C"/>
    <w:rsid w:val="000B6281"/>
    <w:rsid w:val="00621C19"/>
    <w:rsid w:val="006B4EF0"/>
    <w:rsid w:val="00B92181"/>
    <w:rsid w:val="01F40F97"/>
    <w:rsid w:val="025D59DB"/>
    <w:rsid w:val="0281296F"/>
    <w:rsid w:val="043C56EE"/>
    <w:rsid w:val="051C790C"/>
    <w:rsid w:val="05E7263A"/>
    <w:rsid w:val="06A411DD"/>
    <w:rsid w:val="08761E35"/>
    <w:rsid w:val="0A5D3F16"/>
    <w:rsid w:val="0A8A65A2"/>
    <w:rsid w:val="0B0977D5"/>
    <w:rsid w:val="0B592171"/>
    <w:rsid w:val="0D666226"/>
    <w:rsid w:val="0DB03F54"/>
    <w:rsid w:val="0E8B4669"/>
    <w:rsid w:val="14BB0D3C"/>
    <w:rsid w:val="14C94ACE"/>
    <w:rsid w:val="162C249A"/>
    <w:rsid w:val="16732E22"/>
    <w:rsid w:val="168F6E32"/>
    <w:rsid w:val="18062417"/>
    <w:rsid w:val="1AB9499C"/>
    <w:rsid w:val="1B2C5DD7"/>
    <w:rsid w:val="1BF5780F"/>
    <w:rsid w:val="1C7E1115"/>
    <w:rsid w:val="1D8D4321"/>
    <w:rsid w:val="1ED91BB1"/>
    <w:rsid w:val="1EFA7794"/>
    <w:rsid w:val="1F240CB5"/>
    <w:rsid w:val="1F457924"/>
    <w:rsid w:val="20EB1A8B"/>
    <w:rsid w:val="21442F49"/>
    <w:rsid w:val="21A41F12"/>
    <w:rsid w:val="21FF1070"/>
    <w:rsid w:val="23A61C99"/>
    <w:rsid w:val="24C121EE"/>
    <w:rsid w:val="25585215"/>
    <w:rsid w:val="26600825"/>
    <w:rsid w:val="26FF6A0B"/>
    <w:rsid w:val="2B78314D"/>
    <w:rsid w:val="2C90281C"/>
    <w:rsid w:val="2D7F56A6"/>
    <w:rsid w:val="2E690493"/>
    <w:rsid w:val="2EBD258D"/>
    <w:rsid w:val="318B6437"/>
    <w:rsid w:val="31A84EB5"/>
    <w:rsid w:val="32AB29E5"/>
    <w:rsid w:val="332F6B23"/>
    <w:rsid w:val="337C208F"/>
    <w:rsid w:val="33864572"/>
    <w:rsid w:val="33A930DF"/>
    <w:rsid w:val="356E6C02"/>
    <w:rsid w:val="371A057C"/>
    <w:rsid w:val="37A95DA4"/>
    <w:rsid w:val="385E093C"/>
    <w:rsid w:val="386D0B7F"/>
    <w:rsid w:val="3CD63197"/>
    <w:rsid w:val="3EC126C5"/>
    <w:rsid w:val="3F3E4AED"/>
    <w:rsid w:val="3F982986"/>
    <w:rsid w:val="40380F6A"/>
    <w:rsid w:val="405D067C"/>
    <w:rsid w:val="42982C9D"/>
    <w:rsid w:val="43FC693C"/>
    <w:rsid w:val="443072E8"/>
    <w:rsid w:val="44423B1B"/>
    <w:rsid w:val="45921C25"/>
    <w:rsid w:val="45C339ED"/>
    <w:rsid w:val="4605689B"/>
    <w:rsid w:val="47AF4D0E"/>
    <w:rsid w:val="4C094875"/>
    <w:rsid w:val="4C1641DB"/>
    <w:rsid w:val="4D16138E"/>
    <w:rsid w:val="4E1D31E0"/>
    <w:rsid w:val="4E402B66"/>
    <w:rsid w:val="53B45A28"/>
    <w:rsid w:val="53C65D8A"/>
    <w:rsid w:val="54D33FDA"/>
    <w:rsid w:val="55D53AE1"/>
    <w:rsid w:val="58BE0AA7"/>
    <w:rsid w:val="5ACB306E"/>
    <w:rsid w:val="5D704AEA"/>
    <w:rsid w:val="5DEE3610"/>
    <w:rsid w:val="5E2D414A"/>
    <w:rsid w:val="5F881C77"/>
    <w:rsid w:val="60AD6BBE"/>
    <w:rsid w:val="60C278C3"/>
    <w:rsid w:val="61002705"/>
    <w:rsid w:val="61ED6709"/>
    <w:rsid w:val="620822DD"/>
    <w:rsid w:val="63F81364"/>
    <w:rsid w:val="64C93A93"/>
    <w:rsid w:val="64DF4A2F"/>
    <w:rsid w:val="65354C0E"/>
    <w:rsid w:val="667D6B8A"/>
    <w:rsid w:val="69056444"/>
    <w:rsid w:val="6A176B29"/>
    <w:rsid w:val="6BFC26E7"/>
    <w:rsid w:val="6C353D3B"/>
    <w:rsid w:val="6D8F68C7"/>
    <w:rsid w:val="6FE0340A"/>
    <w:rsid w:val="702E6882"/>
    <w:rsid w:val="738C151C"/>
    <w:rsid w:val="73C27A32"/>
    <w:rsid w:val="74275AAB"/>
    <w:rsid w:val="75FE0A8D"/>
    <w:rsid w:val="766A7ED1"/>
    <w:rsid w:val="77143A5D"/>
    <w:rsid w:val="78063B24"/>
    <w:rsid w:val="79081668"/>
    <w:rsid w:val="7BEB54C7"/>
    <w:rsid w:val="7CE3382C"/>
    <w:rsid w:val="7F09156C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华文中宋" w:cs="Times New Roman"/>
      <w:kern w:val="2"/>
      <w:sz w:val="40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"/>
    <w:basedOn w:val="1"/>
    <w:qFormat/>
    <w:uiPriority w:val="99"/>
    <w:pPr>
      <w:ind w:firstLine="420" w:firstLineChars="100"/>
    </w:pPr>
  </w:style>
  <w:style w:type="paragraph" w:styleId="7">
    <w:name w:val="Body Text First Indent 2"/>
    <w:basedOn w:val="5"/>
    <w:next w:val="2"/>
    <w:qFormat/>
    <w:uiPriority w:val="0"/>
    <w:pPr>
      <w:widowControl w:val="0"/>
      <w:spacing w:after="120" w:line="240" w:lineRule="auto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报告正文"/>
    <w:basedOn w:val="1"/>
    <w:qFormat/>
    <w:uiPriority w:val="0"/>
    <w:pPr>
      <w:autoSpaceDE w:val="0"/>
      <w:autoSpaceDN w:val="0"/>
      <w:adjustRightInd w:val="0"/>
      <w:spacing w:line="560" w:lineRule="atLeast"/>
      <w:ind w:firstLine="200" w:firstLineChars="200"/>
      <w:textAlignment w:val="baseline"/>
    </w:pPr>
    <w:rPr>
      <w:rFonts w:ascii="宋体"/>
      <w:kern w:val="0"/>
      <w:sz w:val="24"/>
      <w:szCs w:val="20"/>
    </w:rPr>
  </w:style>
  <w:style w:type="paragraph" w:customStyle="1" w:styleId="11">
    <w:name w:val="封面-3"/>
    <w:basedOn w:val="1"/>
    <w:qFormat/>
    <w:uiPriority w:val="99"/>
    <w:pPr>
      <w:spacing w:line="360" w:lineRule="auto"/>
      <w:jc w:val="center"/>
    </w:pPr>
    <w:rPr>
      <w:rFonts w:eastAsia="黑体"/>
      <w:bCs/>
      <w:spacing w:val="-2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2654</Words>
  <Characters>2949</Characters>
  <Lines>0</Lines>
  <Paragraphs>0</Paragraphs>
  <TotalTime>17</TotalTime>
  <ScaleCrop>false</ScaleCrop>
  <LinksUpToDate>false</LinksUpToDate>
  <CharactersWithSpaces>3693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2022-01-13T06:51:00Z</dcterms:created>
  <dc:creator>lenovo</dc:creator>
  <cp:lastModifiedBy>呂师</cp:lastModifiedBy>
  <cp:lastPrinted>2025-11-12T00:46:52Z</cp:lastPrinted>
  <dcterms:modified xsi:type="dcterms:W3CDTF">2025-11-12T00:47:28Z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55CCB84A68354B4DAB69BCAC69D83637</vt:lpwstr>
  </property>
  <property fmtid="{D5CDD505-2E9C-101B-9397-08002B2CF9AE}" pid="4" name="commondata">
    <vt:lpwstr>eyJoZGlkIjoiZTBmNmE3YjQ3MjE4YzE2YmJiNGUzZDUwNTc4N2JhYzgifQ==</vt:lpwstr>
  </property>
  <property fmtid="{D5CDD505-2E9C-101B-9397-08002B2CF9AE}" pid="5" name="KSOTemplateDocerSaveRecord">
    <vt:lpwstr>eyJoZGlkIjoiNzA3ODEyZGMxODYyMTM1OGM4NmE0YTY0YTk1ODVlMGEiLCJ1c2VySWQiOiI2NTUxODU5MDkifQ==</vt:lpwstr>
  </property>
</Properties>
</file>