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6D96650">
      <w:pPr>
        <w:rPr>
          <w:rFonts w:hint="eastAsia" w:eastAsia="仿宋_GB2312"/>
          <w:sz w:val="36"/>
          <w:szCs w:val="36"/>
          <w:lang w:eastAsia="zh-CN"/>
        </w:rPr>
      </w:pPr>
      <w:r>
        <w:rPr>
          <w:rFonts w:hint="eastAsia" w:eastAsia="仿宋_GB2312"/>
          <w:sz w:val="36"/>
          <w:szCs w:val="36"/>
          <w:lang w:eastAsia="zh-CN"/>
        </w:rPr>
        <w:drawing>
          <wp:inline distT="0" distB="0" distL="114300" distR="114300">
            <wp:extent cx="5610860" cy="8328660"/>
            <wp:effectExtent l="0" t="0" r="8890" b="15240"/>
            <wp:docPr id="39" name="图片 39" descr="封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封皮"/>
                    <pic:cNvPicPr>
                      <a:picLocks noChangeAspect="1"/>
                    </pic:cNvPicPr>
                  </pic:nvPicPr>
                  <pic:blipFill>
                    <a:blip r:embed="rId8"/>
                    <a:stretch>
                      <a:fillRect/>
                    </a:stretch>
                  </pic:blipFill>
                  <pic:spPr>
                    <a:xfrm>
                      <a:off x="0" y="0"/>
                      <a:ext cx="5610860" cy="8328660"/>
                    </a:xfrm>
                    <a:prstGeom prst="rect">
                      <a:avLst/>
                    </a:prstGeom>
                  </pic:spPr>
                </pic:pic>
              </a:graphicData>
            </a:graphic>
          </wp:inline>
        </w:drawing>
      </w:r>
      <w:r>
        <w:rPr>
          <w:rFonts w:hint="eastAsia" w:eastAsia="仿宋_GB2312"/>
          <w:sz w:val="36"/>
          <w:szCs w:val="36"/>
          <w:lang w:eastAsia="zh-CN"/>
        </w:rPr>
        <w:drawing>
          <wp:inline distT="0" distB="0" distL="114300" distR="114300">
            <wp:extent cx="5611495" cy="7717790"/>
            <wp:effectExtent l="0" t="0" r="8255" b="16510"/>
            <wp:docPr id="40" name="图片 40" descr="扉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扉页"/>
                    <pic:cNvPicPr>
                      <a:picLocks noChangeAspect="1"/>
                    </pic:cNvPicPr>
                  </pic:nvPicPr>
                  <pic:blipFill>
                    <a:blip r:embed="rId9"/>
                    <a:stretch>
                      <a:fillRect/>
                    </a:stretch>
                  </pic:blipFill>
                  <pic:spPr>
                    <a:xfrm>
                      <a:off x="0" y="0"/>
                      <a:ext cx="5611495" cy="7717790"/>
                    </a:xfrm>
                    <a:prstGeom prst="rect">
                      <a:avLst/>
                    </a:prstGeom>
                  </pic:spPr>
                </pic:pic>
              </a:graphicData>
            </a:graphic>
          </wp:inline>
        </w:drawing>
      </w:r>
    </w:p>
    <w:p w14:paraId="7BE7AE01">
      <w:pPr>
        <w:rPr>
          <w:rFonts w:eastAsia="仿宋_GB2312"/>
          <w:sz w:val="36"/>
          <w:szCs w:val="36"/>
        </w:rPr>
      </w:pPr>
    </w:p>
    <w:p w14:paraId="357E496A">
      <w:pPr>
        <w:rPr>
          <w:rFonts w:eastAsia="仿宋_GB2312"/>
          <w:sz w:val="36"/>
          <w:szCs w:val="36"/>
        </w:rPr>
      </w:pPr>
    </w:p>
    <w:p w14:paraId="009B434F">
      <w:pPr>
        <w:rPr>
          <w:rFonts w:eastAsia="仿宋_GB2312"/>
          <w:sz w:val="36"/>
          <w:szCs w:val="36"/>
        </w:rPr>
      </w:pPr>
    </w:p>
    <w:p w14:paraId="548C313F">
      <w:pPr>
        <w:rPr>
          <w:rFonts w:hint="eastAsia" w:eastAsia="宋体"/>
          <w:lang w:eastAsia="zh-CN"/>
        </w:rPr>
        <w:sectPr>
          <w:footerReference r:id="rId3" w:type="default"/>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p>
    <w:sdt>
      <w:sdtPr>
        <w:rPr>
          <w:rFonts w:ascii="宋体" w:hAnsi="宋体" w:eastAsia="宋体" w:cs="Times New Roman"/>
          <w:kern w:val="2"/>
          <w:sz w:val="21"/>
          <w:szCs w:val="24"/>
          <w:lang w:val="en-US" w:eastAsia="zh-CN" w:bidi="ar-SA"/>
        </w:rPr>
        <w:id w:val="147480370"/>
        <w15:color w:val="DBDBDB"/>
        <w:docPartObj>
          <w:docPartGallery w:val="Table of Contents"/>
          <w:docPartUnique/>
        </w:docPartObj>
      </w:sdtPr>
      <w:sdtEndPr>
        <w:rPr>
          <w:rFonts w:hint="default" w:ascii="Times New Roman" w:hAnsi="Times New Roman" w:eastAsia="宋体" w:cs="Times New Roman"/>
          <w:kern w:val="2"/>
          <w:sz w:val="21"/>
          <w:szCs w:val="24"/>
          <w:lang w:val="en-US" w:eastAsia="zh-CN" w:bidi="ar-SA"/>
        </w:rPr>
      </w:sdtEndPr>
      <w:sdtContent>
        <w:p w14:paraId="7B1CF3B7">
          <w:pPr>
            <w:spacing w:before="0" w:beforeLines="0" w:after="0" w:afterLines="0" w:line="240" w:lineRule="auto"/>
            <w:ind w:left="0" w:leftChars="0" w:right="0" w:rightChars="0" w:firstLine="0" w:firstLineChars="0"/>
            <w:jc w:val="center"/>
          </w:pPr>
          <w:r>
            <w:rPr>
              <w:rFonts w:ascii="宋体" w:hAnsi="宋体" w:eastAsia="宋体"/>
              <w:sz w:val="21"/>
            </w:rPr>
            <w:t>目录</w:t>
          </w:r>
        </w:p>
        <w:p w14:paraId="57F32DA4">
          <w:pPr>
            <w:pStyle w:val="32"/>
            <w:tabs>
              <w:tab w:val="right" w:leader="dot" w:pos="8844"/>
            </w:tabs>
          </w:pPr>
          <w:r>
            <w:rPr>
              <w:rFonts w:hint="default" w:ascii="Times New Roman" w:hAnsi="Times New Roman" w:eastAsia="宋体" w:cs="Times New Roman"/>
              <w:lang w:val="en-US" w:eastAsia="zh-CN"/>
            </w:rPr>
            <w:fldChar w:fldCharType="begin"/>
          </w:r>
          <w:r>
            <w:rPr>
              <w:rFonts w:hint="default" w:ascii="Times New Roman" w:hAnsi="Times New Roman" w:eastAsia="宋体" w:cs="Times New Roman"/>
              <w:lang w:val="en-US" w:eastAsia="zh-CN"/>
            </w:rPr>
            <w:instrText xml:space="preserve">TOC \o "1-1" \h \u </w:instrText>
          </w:r>
          <w:r>
            <w:rPr>
              <w:rFonts w:hint="default" w:ascii="Times New Roman" w:hAnsi="Times New Roman" w:eastAsia="宋体" w:cs="Times New Roman"/>
              <w:lang w:val="en-US" w:eastAsia="zh-CN"/>
            </w:rPr>
            <w:fldChar w:fldCharType="separate"/>
          </w:r>
          <w:r>
            <w:rPr>
              <w:rFonts w:hint="default" w:ascii="Times New Roman" w:hAnsi="Times New Roman" w:eastAsia="宋体" w:cs="Times New Roman"/>
              <w:lang w:val="en-US" w:eastAsia="zh-CN"/>
            </w:rPr>
            <w:fldChar w:fldCharType="begin"/>
          </w:r>
          <w:r>
            <w:rPr>
              <w:rFonts w:hint="default" w:ascii="Times New Roman" w:hAnsi="Times New Roman" w:eastAsia="宋体" w:cs="Times New Roman"/>
              <w:lang w:val="en-US" w:eastAsia="zh-CN"/>
            </w:rPr>
            <w:instrText xml:space="preserve"> HYPERLINK \l _Toc25983 </w:instrText>
          </w:r>
          <w:r>
            <w:rPr>
              <w:rFonts w:hint="default" w:ascii="Times New Roman" w:hAnsi="Times New Roman" w:eastAsia="宋体" w:cs="Times New Roman"/>
              <w:lang w:val="en-US" w:eastAsia="zh-CN"/>
            </w:rPr>
            <w:fldChar w:fldCharType="separate"/>
          </w:r>
          <w:r>
            <w:rPr>
              <w:rFonts w:ascii="Times New Roman" w:hAnsi="Times New Roman" w:eastAsia="黑体"/>
              <w:snapToGrid w:val="0"/>
              <w:szCs w:val="30"/>
            </w:rPr>
            <w:t>一、建设项目基本情况</w:t>
          </w:r>
          <w:r>
            <w:tab/>
          </w:r>
          <w:r>
            <w:fldChar w:fldCharType="begin"/>
          </w:r>
          <w:r>
            <w:instrText xml:space="preserve"> PAGEREF _Toc25983 \h </w:instrText>
          </w:r>
          <w:r>
            <w:fldChar w:fldCharType="separate"/>
          </w:r>
          <w:r>
            <w:t>1</w:t>
          </w:r>
          <w:r>
            <w:fldChar w:fldCharType="end"/>
          </w:r>
          <w:r>
            <w:rPr>
              <w:rFonts w:hint="default" w:ascii="Times New Roman" w:hAnsi="Times New Roman" w:eastAsia="宋体" w:cs="Times New Roman"/>
              <w:lang w:val="en-US" w:eastAsia="zh-CN"/>
            </w:rPr>
            <w:fldChar w:fldCharType="end"/>
          </w:r>
        </w:p>
        <w:p w14:paraId="2584BCEB">
          <w:pPr>
            <w:pStyle w:val="32"/>
            <w:tabs>
              <w:tab w:val="right" w:leader="dot" w:pos="8844"/>
            </w:tabs>
          </w:pPr>
          <w:r>
            <w:rPr>
              <w:rFonts w:hint="default" w:ascii="Times New Roman" w:hAnsi="Times New Roman" w:eastAsia="宋体" w:cs="Times New Roman"/>
              <w:lang w:val="en-US" w:eastAsia="zh-CN"/>
            </w:rPr>
            <w:fldChar w:fldCharType="begin"/>
          </w:r>
          <w:r>
            <w:rPr>
              <w:rFonts w:hint="default" w:ascii="Times New Roman" w:hAnsi="Times New Roman" w:eastAsia="宋体" w:cs="Times New Roman"/>
              <w:lang w:val="en-US" w:eastAsia="zh-CN"/>
            </w:rPr>
            <w:instrText xml:space="preserve"> HYPERLINK \l _Toc11592 </w:instrText>
          </w:r>
          <w:r>
            <w:rPr>
              <w:rFonts w:hint="default" w:ascii="Times New Roman" w:hAnsi="Times New Roman" w:eastAsia="宋体" w:cs="Times New Roman"/>
              <w:lang w:val="en-US" w:eastAsia="zh-CN"/>
            </w:rPr>
            <w:fldChar w:fldCharType="separate"/>
          </w:r>
          <w:r>
            <w:rPr>
              <w:rFonts w:ascii="Times New Roman" w:hAnsi="Times New Roman" w:eastAsia="黑体"/>
              <w:snapToGrid w:val="0"/>
              <w:szCs w:val="30"/>
            </w:rPr>
            <w:t>二、建设项目工程分析</w:t>
          </w:r>
          <w:r>
            <w:tab/>
          </w:r>
          <w:r>
            <w:fldChar w:fldCharType="begin"/>
          </w:r>
          <w:r>
            <w:instrText xml:space="preserve"> PAGEREF _Toc11592 \h </w:instrText>
          </w:r>
          <w:r>
            <w:fldChar w:fldCharType="separate"/>
          </w:r>
          <w:r>
            <w:t>12</w:t>
          </w:r>
          <w:r>
            <w:fldChar w:fldCharType="end"/>
          </w:r>
          <w:r>
            <w:rPr>
              <w:rFonts w:hint="default" w:ascii="Times New Roman" w:hAnsi="Times New Roman" w:eastAsia="宋体" w:cs="Times New Roman"/>
              <w:lang w:val="en-US" w:eastAsia="zh-CN"/>
            </w:rPr>
            <w:fldChar w:fldCharType="end"/>
          </w:r>
        </w:p>
        <w:p w14:paraId="1779D185">
          <w:pPr>
            <w:pStyle w:val="32"/>
            <w:tabs>
              <w:tab w:val="right" w:leader="dot" w:pos="8844"/>
            </w:tabs>
          </w:pPr>
          <w:r>
            <w:rPr>
              <w:rFonts w:hint="default" w:ascii="Times New Roman" w:hAnsi="Times New Roman" w:eastAsia="宋体" w:cs="Times New Roman"/>
              <w:lang w:val="en-US" w:eastAsia="zh-CN"/>
            </w:rPr>
            <w:fldChar w:fldCharType="begin"/>
          </w:r>
          <w:r>
            <w:rPr>
              <w:rFonts w:hint="default" w:ascii="Times New Roman" w:hAnsi="Times New Roman" w:eastAsia="宋体" w:cs="Times New Roman"/>
              <w:lang w:val="en-US" w:eastAsia="zh-CN"/>
            </w:rPr>
            <w:instrText xml:space="preserve"> HYPERLINK \l _Toc24880 </w:instrText>
          </w:r>
          <w:r>
            <w:rPr>
              <w:rFonts w:hint="default" w:ascii="Times New Roman" w:hAnsi="Times New Roman" w:eastAsia="宋体" w:cs="Times New Roman"/>
              <w:lang w:val="en-US" w:eastAsia="zh-CN"/>
            </w:rPr>
            <w:fldChar w:fldCharType="separate"/>
          </w:r>
          <w:r>
            <w:rPr>
              <w:rFonts w:ascii="Times New Roman" w:hAnsi="Times New Roman" w:eastAsia="黑体"/>
              <w:snapToGrid w:val="0"/>
              <w:szCs w:val="30"/>
            </w:rPr>
            <w:t>三、区域环境质量现状、环境保护目标及评价标准</w:t>
          </w:r>
          <w:r>
            <w:tab/>
          </w:r>
          <w:r>
            <w:fldChar w:fldCharType="begin"/>
          </w:r>
          <w:r>
            <w:instrText xml:space="preserve"> PAGEREF _Toc24880 \h </w:instrText>
          </w:r>
          <w:r>
            <w:fldChar w:fldCharType="separate"/>
          </w:r>
          <w:r>
            <w:t>21</w:t>
          </w:r>
          <w:r>
            <w:fldChar w:fldCharType="end"/>
          </w:r>
          <w:r>
            <w:rPr>
              <w:rFonts w:hint="default" w:ascii="Times New Roman" w:hAnsi="Times New Roman" w:eastAsia="宋体" w:cs="Times New Roman"/>
              <w:lang w:val="en-US" w:eastAsia="zh-CN"/>
            </w:rPr>
            <w:fldChar w:fldCharType="end"/>
          </w:r>
        </w:p>
        <w:p w14:paraId="4A735A33">
          <w:pPr>
            <w:pStyle w:val="32"/>
            <w:tabs>
              <w:tab w:val="right" w:leader="dot" w:pos="8844"/>
            </w:tabs>
          </w:pPr>
          <w:r>
            <w:rPr>
              <w:rFonts w:hint="default" w:ascii="Times New Roman" w:hAnsi="Times New Roman" w:eastAsia="宋体" w:cs="Times New Roman"/>
              <w:lang w:val="en-US" w:eastAsia="zh-CN"/>
            </w:rPr>
            <w:fldChar w:fldCharType="begin"/>
          </w:r>
          <w:r>
            <w:rPr>
              <w:rFonts w:hint="default" w:ascii="Times New Roman" w:hAnsi="Times New Roman" w:eastAsia="宋体" w:cs="Times New Roman"/>
              <w:lang w:val="en-US" w:eastAsia="zh-CN"/>
            </w:rPr>
            <w:instrText xml:space="preserve"> HYPERLINK \l _Toc16543 </w:instrText>
          </w:r>
          <w:r>
            <w:rPr>
              <w:rFonts w:hint="default" w:ascii="Times New Roman" w:hAnsi="Times New Roman" w:eastAsia="宋体" w:cs="Times New Roman"/>
              <w:lang w:val="en-US" w:eastAsia="zh-CN"/>
            </w:rPr>
            <w:fldChar w:fldCharType="separate"/>
          </w:r>
          <w:r>
            <w:rPr>
              <w:rFonts w:ascii="Times New Roman" w:hAnsi="Times New Roman" w:eastAsia="黑体"/>
              <w:snapToGrid w:val="0"/>
              <w:szCs w:val="30"/>
            </w:rPr>
            <w:t>四、主要环境影响和保护措施</w:t>
          </w:r>
          <w:r>
            <w:tab/>
          </w:r>
          <w:r>
            <w:fldChar w:fldCharType="begin"/>
          </w:r>
          <w:r>
            <w:instrText xml:space="preserve"> PAGEREF _Toc16543 \h </w:instrText>
          </w:r>
          <w:r>
            <w:fldChar w:fldCharType="separate"/>
          </w:r>
          <w:r>
            <w:t>27</w:t>
          </w:r>
          <w:r>
            <w:fldChar w:fldCharType="end"/>
          </w:r>
          <w:r>
            <w:rPr>
              <w:rFonts w:hint="default" w:ascii="Times New Roman" w:hAnsi="Times New Roman" w:eastAsia="宋体" w:cs="Times New Roman"/>
              <w:lang w:val="en-US" w:eastAsia="zh-CN"/>
            </w:rPr>
            <w:fldChar w:fldCharType="end"/>
          </w:r>
        </w:p>
        <w:p w14:paraId="5A9E8381">
          <w:pPr>
            <w:pStyle w:val="32"/>
            <w:tabs>
              <w:tab w:val="right" w:leader="dot" w:pos="8844"/>
            </w:tabs>
          </w:pPr>
          <w:r>
            <w:rPr>
              <w:rFonts w:hint="default" w:ascii="Times New Roman" w:hAnsi="Times New Roman" w:eastAsia="宋体" w:cs="Times New Roman"/>
              <w:lang w:val="en-US" w:eastAsia="zh-CN"/>
            </w:rPr>
            <w:fldChar w:fldCharType="begin"/>
          </w:r>
          <w:r>
            <w:rPr>
              <w:rFonts w:hint="default" w:ascii="Times New Roman" w:hAnsi="Times New Roman" w:eastAsia="宋体" w:cs="Times New Roman"/>
              <w:lang w:val="en-US" w:eastAsia="zh-CN"/>
            </w:rPr>
            <w:instrText xml:space="preserve"> HYPERLINK \l _Toc6666 </w:instrText>
          </w:r>
          <w:r>
            <w:rPr>
              <w:rFonts w:hint="default" w:ascii="Times New Roman" w:hAnsi="Times New Roman" w:eastAsia="宋体" w:cs="Times New Roman"/>
              <w:lang w:val="en-US" w:eastAsia="zh-CN"/>
            </w:rPr>
            <w:fldChar w:fldCharType="separate"/>
          </w:r>
          <w:r>
            <w:rPr>
              <w:rFonts w:ascii="Times New Roman" w:hAnsi="Times New Roman" w:eastAsia="黑体"/>
              <w:snapToGrid w:val="0"/>
              <w:szCs w:val="30"/>
            </w:rPr>
            <w:t>五、环境保护措施监督检查清单</w:t>
          </w:r>
          <w:r>
            <w:tab/>
          </w:r>
          <w:r>
            <w:fldChar w:fldCharType="begin"/>
          </w:r>
          <w:r>
            <w:instrText xml:space="preserve"> PAGEREF _Toc6666 \h </w:instrText>
          </w:r>
          <w:r>
            <w:fldChar w:fldCharType="separate"/>
          </w:r>
          <w:r>
            <w:t>46</w:t>
          </w:r>
          <w:r>
            <w:fldChar w:fldCharType="end"/>
          </w:r>
          <w:r>
            <w:rPr>
              <w:rFonts w:hint="default" w:ascii="Times New Roman" w:hAnsi="Times New Roman" w:eastAsia="宋体" w:cs="Times New Roman"/>
              <w:lang w:val="en-US" w:eastAsia="zh-CN"/>
            </w:rPr>
            <w:fldChar w:fldCharType="end"/>
          </w:r>
        </w:p>
        <w:p w14:paraId="39E9BE61">
          <w:pPr>
            <w:pStyle w:val="32"/>
            <w:tabs>
              <w:tab w:val="right" w:leader="dot" w:pos="8844"/>
            </w:tabs>
          </w:pPr>
          <w:r>
            <w:rPr>
              <w:rFonts w:hint="default" w:ascii="Times New Roman" w:hAnsi="Times New Roman" w:eastAsia="宋体" w:cs="Times New Roman"/>
              <w:lang w:val="en-US" w:eastAsia="zh-CN"/>
            </w:rPr>
            <w:fldChar w:fldCharType="begin"/>
          </w:r>
          <w:r>
            <w:rPr>
              <w:rFonts w:hint="default" w:ascii="Times New Roman" w:hAnsi="Times New Roman" w:eastAsia="宋体" w:cs="Times New Roman"/>
              <w:lang w:val="en-US" w:eastAsia="zh-CN"/>
            </w:rPr>
            <w:instrText xml:space="preserve"> HYPERLINK \l _Toc11029 </w:instrText>
          </w:r>
          <w:r>
            <w:rPr>
              <w:rFonts w:hint="default" w:ascii="Times New Roman" w:hAnsi="Times New Roman" w:eastAsia="宋体" w:cs="Times New Roman"/>
              <w:lang w:val="en-US" w:eastAsia="zh-CN"/>
            </w:rPr>
            <w:fldChar w:fldCharType="separate"/>
          </w:r>
          <w:r>
            <w:rPr>
              <w:rFonts w:ascii="Times New Roman" w:hAnsi="Times New Roman" w:eastAsia="黑体"/>
              <w:snapToGrid w:val="0"/>
              <w:szCs w:val="30"/>
            </w:rPr>
            <w:t>六、结论</w:t>
          </w:r>
          <w:r>
            <w:tab/>
          </w:r>
          <w:r>
            <w:fldChar w:fldCharType="begin"/>
          </w:r>
          <w:r>
            <w:instrText xml:space="preserve"> PAGEREF _Toc11029 \h </w:instrText>
          </w:r>
          <w:r>
            <w:fldChar w:fldCharType="separate"/>
          </w:r>
          <w:r>
            <w:t>50</w:t>
          </w:r>
          <w:r>
            <w:fldChar w:fldCharType="end"/>
          </w:r>
          <w:r>
            <w:rPr>
              <w:rFonts w:hint="default" w:ascii="Times New Roman" w:hAnsi="Times New Roman" w:eastAsia="宋体" w:cs="Times New Roman"/>
              <w:lang w:val="en-US" w:eastAsia="zh-CN"/>
            </w:rPr>
            <w:fldChar w:fldCharType="end"/>
          </w:r>
        </w:p>
        <w:p w14:paraId="135F7300">
          <w:pPr>
            <w:pStyle w:val="32"/>
            <w:tabs>
              <w:tab w:val="right" w:leader="dot" w:pos="8844"/>
            </w:tabs>
          </w:pPr>
          <w:r>
            <w:rPr>
              <w:rFonts w:hint="default" w:ascii="Times New Roman" w:hAnsi="Times New Roman" w:eastAsia="宋体" w:cs="Times New Roman"/>
              <w:lang w:val="en-US" w:eastAsia="zh-CN"/>
            </w:rPr>
            <w:fldChar w:fldCharType="begin"/>
          </w:r>
          <w:r>
            <w:rPr>
              <w:rFonts w:hint="default" w:ascii="Times New Roman" w:hAnsi="Times New Roman" w:eastAsia="宋体" w:cs="Times New Roman"/>
              <w:lang w:val="en-US" w:eastAsia="zh-CN"/>
            </w:rPr>
            <w:instrText xml:space="preserve"> HYPERLINK \l _Toc21181 </w:instrText>
          </w:r>
          <w:r>
            <w:rPr>
              <w:rFonts w:hint="default" w:ascii="Times New Roman" w:hAnsi="Times New Roman" w:eastAsia="宋体" w:cs="Times New Roman"/>
              <w:lang w:val="en-US" w:eastAsia="zh-CN"/>
            </w:rPr>
            <w:fldChar w:fldCharType="separate"/>
          </w:r>
          <w:r>
            <w:rPr>
              <w:rFonts w:ascii="Times New Roman" w:hAnsi="Times New Roman" w:eastAsia="方正小标宋_GBK"/>
              <w:snapToGrid w:val="0"/>
              <w:szCs w:val="38"/>
            </w:rPr>
            <w:t>附表</w:t>
          </w:r>
          <w:r>
            <w:tab/>
          </w:r>
          <w:r>
            <w:fldChar w:fldCharType="begin"/>
          </w:r>
          <w:r>
            <w:instrText xml:space="preserve"> PAGEREF _Toc21181 \h </w:instrText>
          </w:r>
          <w:r>
            <w:fldChar w:fldCharType="separate"/>
          </w:r>
          <w:r>
            <w:t>51</w:t>
          </w:r>
          <w:r>
            <w:fldChar w:fldCharType="end"/>
          </w:r>
          <w:r>
            <w:rPr>
              <w:rFonts w:hint="default" w:ascii="Times New Roman" w:hAnsi="Times New Roman" w:eastAsia="宋体" w:cs="Times New Roman"/>
              <w:lang w:val="en-US" w:eastAsia="zh-CN"/>
            </w:rPr>
            <w:fldChar w:fldCharType="end"/>
          </w:r>
        </w:p>
        <w:p w14:paraId="375D8EE6">
          <w:pPr>
            <w:pStyle w:val="32"/>
            <w:tabs>
              <w:tab w:val="right" w:leader="dot" w:pos="8844"/>
            </w:tabs>
          </w:pPr>
          <w:r>
            <w:rPr>
              <w:rFonts w:hint="default" w:ascii="Times New Roman" w:hAnsi="Times New Roman" w:eastAsia="宋体" w:cs="Times New Roman"/>
              <w:lang w:val="en-US" w:eastAsia="zh-CN"/>
            </w:rPr>
            <w:fldChar w:fldCharType="begin"/>
          </w:r>
          <w:r>
            <w:rPr>
              <w:rFonts w:hint="default" w:ascii="Times New Roman" w:hAnsi="Times New Roman" w:eastAsia="宋体" w:cs="Times New Roman"/>
              <w:lang w:val="en-US" w:eastAsia="zh-CN"/>
            </w:rPr>
            <w:instrText xml:space="preserve"> HYPERLINK \l _Toc29531 </w:instrText>
          </w:r>
          <w:r>
            <w:rPr>
              <w:rFonts w:hint="default" w:ascii="Times New Roman" w:hAnsi="Times New Roman" w:eastAsia="宋体" w:cs="Times New Roman"/>
              <w:lang w:val="en-US" w:eastAsia="zh-CN"/>
            </w:rPr>
            <w:fldChar w:fldCharType="separate"/>
          </w:r>
          <w:r>
            <w:rPr>
              <w:rFonts w:ascii="Times New Roman" w:hAnsi="Times New Roman" w:eastAsia="宋体" w:cs="Times New Roman"/>
              <w:kern w:val="2"/>
              <w:szCs w:val="36"/>
              <w:lang w:val="zh-CN" w:eastAsia="zh-CN" w:bidi="ar-SA"/>
            </w:rPr>
            <w:t>建设项目污染物排放量汇总表</w:t>
          </w:r>
          <w:r>
            <w:tab/>
          </w:r>
          <w:r>
            <w:fldChar w:fldCharType="begin"/>
          </w:r>
          <w:r>
            <w:instrText xml:space="preserve"> PAGEREF _Toc29531 \h </w:instrText>
          </w:r>
          <w:r>
            <w:fldChar w:fldCharType="separate"/>
          </w:r>
          <w:r>
            <w:t>51</w:t>
          </w:r>
          <w:r>
            <w:fldChar w:fldCharType="end"/>
          </w:r>
          <w:r>
            <w:rPr>
              <w:rFonts w:hint="default" w:ascii="Times New Roman" w:hAnsi="Times New Roman" w:eastAsia="宋体" w:cs="Times New Roman"/>
              <w:lang w:val="en-US" w:eastAsia="zh-CN"/>
            </w:rPr>
            <w:fldChar w:fldCharType="end"/>
          </w:r>
        </w:p>
        <w:p w14:paraId="386157A8">
          <w:pPr>
            <w:pStyle w:val="32"/>
            <w:tabs>
              <w:tab w:val="right" w:leader="dot" w:pos="8844"/>
            </w:tabs>
          </w:pPr>
          <w:r>
            <w:rPr>
              <w:rFonts w:hint="default" w:ascii="Times New Roman" w:hAnsi="Times New Roman" w:eastAsia="宋体" w:cs="Times New Roman"/>
              <w:lang w:val="en-US" w:eastAsia="zh-CN"/>
            </w:rPr>
            <w:fldChar w:fldCharType="begin"/>
          </w:r>
          <w:r>
            <w:rPr>
              <w:rFonts w:hint="default" w:ascii="Times New Roman" w:hAnsi="Times New Roman" w:eastAsia="宋体" w:cs="Times New Roman"/>
              <w:lang w:val="en-US" w:eastAsia="zh-CN"/>
            </w:rPr>
            <w:instrText xml:space="preserve"> HYPERLINK \l _Toc4851 </w:instrText>
          </w:r>
          <w:r>
            <w:rPr>
              <w:rFonts w:hint="default" w:ascii="Times New Roman" w:hAnsi="Times New Roman" w:eastAsia="宋体" w:cs="Times New Roman"/>
              <w:lang w:val="en-US" w:eastAsia="zh-CN"/>
            </w:rPr>
            <w:fldChar w:fldCharType="separate"/>
          </w:r>
          <w:r>
            <w:rPr>
              <w:rFonts w:ascii="Times New Roman" w:hAnsi="Times New Roman" w:eastAsia="黑体"/>
              <w:snapToGrid w:val="0"/>
              <w:szCs w:val="32"/>
            </w:rPr>
            <w:t>附图</w:t>
          </w:r>
          <w:r>
            <w:tab/>
          </w:r>
          <w:r>
            <w:fldChar w:fldCharType="begin"/>
          </w:r>
          <w:r>
            <w:instrText xml:space="preserve"> PAGEREF _Toc4851 \h </w:instrText>
          </w:r>
          <w:r>
            <w:fldChar w:fldCharType="separate"/>
          </w:r>
          <w:r>
            <w:t>52</w:t>
          </w:r>
          <w:r>
            <w:fldChar w:fldCharType="end"/>
          </w:r>
          <w:r>
            <w:rPr>
              <w:rFonts w:hint="default" w:ascii="Times New Roman" w:hAnsi="Times New Roman" w:eastAsia="宋体" w:cs="Times New Roman"/>
              <w:lang w:val="en-US" w:eastAsia="zh-CN"/>
            </w:rPr>
            <w:fldChar w:fldCharType="end"/>
          </w:r>
        </w:p>
        <w:p w14:paraId="332AE45F">
          <w:pPr>
            <w:pStyle w:val="32"/>
            <w:tabs>
              <w:tab w:val="right" w:leader="dot" w:pos="8844"/>
            </w:tabs>
          </w:pPr>
          <w:r>
            <w:rPr>
              <w:rFonts w:hint="default" w:ascii="Times New Roman" w:hAnsi="Times New Roman" w:eastAsia="宋体" w:cs="Times New Roman"/>
              <w:lang w:val="en-US" w:eastAsia="zh-CN"/>
            </w:rPr>
            <w:fldChar w:fldCharType="begin"/>
          </w:r>
          <w:r>
            <w:rPr>
              <w:rFonts w:hint="default" w:ascii="Times New Roman" w:hAnsi="Times New Roman" w:eastAsia="宋体" w:cs="Times New Roman"/>
              <w:lang w:val="en-US" w:eastAsia="zh-CN"/>
            </w:rPr>
            <w:instrText xml:space="preserve"> HYPERLINK \l _Toc5952 </w:instrText>
          </w:r>
          <w:r>
            <w:rPr>
              <w:rFonts w:hint="default" w:ascii="Times New Roman" w:hAnsi="Times New Roman" w:eastAsia="宋体" w:cs="Times New Roman"/>
              <w:lang w:val="en-US" w:eastAsia="zh-CN"/>
            </w:rPr>
            <w:fldChar w:fldCharType="separate"/>
          </w:r>
          <w:r>
            <w:rPr>
              <w:rFonts w:ascii="Times New Roman" w:hAnsi="Times New Roman" w:eastAsia="黑体"/>
              <w:szCs w:val="32"/>
            </w:rPr>
            <w:t>附件</w:t>
          </w:r>
          <w:r>
            <w:tab/>
          </w:r>
          <w:r>
            <w:fldChar w:fldCharType="begin"/>
          </w:r>
          <w:r>
            <w:instrText xml:space="preserve"> PAGEREF _Toc5952 \h </w:instrText>
          </w:r>
          <w:r>
            <w:fldChar w:fldCharType="separate"/>
          </w:r>
          <w:r>
            <w:t>69</w:t>
          </w:r>
          <w:r>
            <w:fldChar w:fldCharType="end"/>
          </w:r>
          <w:r>
            <w:rPr>
              <w:rFonts w:hint="default" w:ascii="Times New Roman" w:hAnsi="Times New Roman" w:eastAsia="宋体" w:cs="Times New Roman"/>
              <w:lang w:val="en-US" w:eastAsia="zh-CN"/>
            </w:rPr>
            <w:fldChar w:fldCharType="end"/>
          </w:r>
        </w:p>
        <w:p w14:paraId="15B2B015">
          <w:pPr>
            <w:rPr>
              <w:rFonts w:hint="default" w:ascii="Times New Roman" w:hAnsi="Times New Roman" w:eastAsia="宋体" w:cs="Times New Roman"/>
              <w:kern w:val="2"/>
              <w:sz w:val="21"/>
              <w:szCs w:val="24"/>
              <w:lang w:val="en-US" w:eastAsia="zh-CN" w:bidi="ar-SA"/>
            </w:rPr>
          </w:pPr>
          <w:r>
            <w:rPr>
              <w:rFonts w:hint="default" w:ascii="Times New Roman" w:hAnsi="Times New Roman" w:eastAsia="宋体" w:cs="Times New Roman"/>
              <w:lang w:val="en-US" w:eastAsia="zh-CN"/>
            </w:rPr>
            <w:fldChar w:fldCharType="end"/>
          </w:r>
        </w:p>
      </w:sdtContent>
    </w:sdt>
    <w:p w14:paraId="11BCED0E">
      <w:pPr>
        <w:rPr>
          <w:rFonts w:hint="default" w:ascii="Times New Roman" w:hAnsi="Times New Roman" w:eastAsia="宋体" w:cs="Times New Roman"/>
          <w:kern w:val="2"/>
          <w:sz w:val="21"/>
          <w:szCs w:val="24"/>
          <w:lang w:val="en-US" w:eastAsia="zh-CN" w:bidi="ar-SA"/>
        </w:rPr>
        <w:sectPr>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p>
    <w:p w14:paraId="7693B79D">
      <w:pPr>
        <w:jc w:val="center"/>
        <w:rPr>
          <w:rFonts w:hint="eastAsia" w:cs="Times New Roman"/>
          <w:b/>
          <w:bCs/>
          <w:kern w:val="2"/>
          <w:sz w:val="36"/>
          <w:szCs w:val="36"/>
          <w:lang w:val="en-US" w:eastAsia="zh-CN" w:bidi="ar-SA"/>
        </w:rPr>
      </w:pPr>
      <w:r>
        <w:rPr>
          <w:rFonts w:hint="eastAsia" w:cs="Times New Roman"/>
          <w:b/>
          <w:bCs/>
          <w:kern w:val="2"/>
          <w:sz w:val="36"/>
          <w:szCs w:val="36"/>
          <w:lang w:val="en-US" w:eastAsia="zh-CN" w:bidi="ar-SA"/>
        </w:rPr>
        <w:t>现场照片</w:t>
      </w:r>
    </w:p>
    <w:p w14:paraId="67998141">
      <w:pPr>
        <w:jc w:val="center"/>
        <w:rPr>
          <w:rFonts w:hint="eastAsia" w:cs="Times New Roman"/>
          <w:b/>
          <w:bCs/>
          <w:kern w:val="2"/>
          <w:sz w:val="36"/>
          <w:szCs w:val="36"/>
          <w:lang w:val="en-US" w:eastAsia="zh-CN" w:bidi="ar-SA"/>
        </w:rPr>
      </w:pPr>
    </w:p>
    <w:p w14:paraId="39B04E88">
      <w:pPr>
        <w:jc w:val="center"/>
        <w:rPr>
          <w:rFonts w:hint="eastAsia" w:cs="Times New Roman"/>
          <w:b/>
          <w:bCs/>
          <w:kern w:val="2"/>
          <w:sz w:val="36"/>
          <w:szCs w:val="36"/>
          <w:lang w:val="en-US" w:eastAsia="zh-CN" w:bidi="ar-SA"/>
        </w:rPr>
      </w:pPr>
    </w:p>
    <w:p w14:paraId="6AC73E9D">
      <w:pPr>
        <w:jc w:val="center"/>
        <w:rPr>
          <w:rFonts w:hint="eastAsia" w:cs="Times New Roman"/>
          <w:b/>
          <w:bCs/>
          <w:kern w:val="2"/>
          <w:sz w:val="36"/>
          <w:szCs w:val="36"/>
          <w:lang w:val="en-US" w:eastAsia="zh-CN" w:bidi="ar-SA"/>
        </w:rPr>
      </w:pPr>
      <w:r>
        <w:rPr>
          <w:rFonts w:hint="eastAsia" w:cs="Times New Roman"/>
          <w:b/>
          <w:bCs/>
          <w:kern w:val="2"/>
          <w:sz w:val="36"/>
          <w:szCs w:val="36"/>
          <w:lang w:val="en-US" w:eastAsia="zh-CN" w:bidi="ar-SA"/>
        </w:rPr>
        <w:drawing>
          <wp:inline distT="0" distB="0" distL="114300" distR="114300">
            <wp:extent cx="2818765" cy="2113915"/>
            <wp:effectExtent l="0" t="0" r="635" b="635"/>
            <wp:docPr id="34" name="图片 34" descr="微信图片_20240829155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微信图片_20240829155600"/>
                    <pic:cNvPicPr>
                      <a:picLocks noChangeAspect="1"/>
                    </pic:cNvPicPr>
                  </pic:nvPicPr>
                  <pic:blipFill>
                    <a:blip r:embed="rId10"/>
                    <a:stretch>
                      <a:fillRect/>
                    </a:stretch>
                  </pic:blipFill>
                  <pic:spPr>
                    <a:xfrm>
                      <a:off x="0" y="0"/>
                      <a:ext cx="2818765" cy="2113915"/>
                    </a:xfrm>
                    <a:prstGeom prst="rect">
                      <a:avLst/>
                    </a:prstGeom>
                  </pic:spPr>
                </pic:pic>
              </a:graphicData>
            </a:graphic>
          </wp:inline>
        </w:drawing>
      </w:r>
      <w:r>
        <w:rPr>
          <w:rFonts w:hint="eastAsia" w:cs="Times New Roman"/>
          <w:b/>
          <w:bCs/>
          <w:kern w:val="2"/>
          <w:sz w:val="36"/>
          <w:szCs w:val="36"/>
          <w:lang w:val="en-US" w:eastAsia="zh-CN" w:bidi="ar-SA"/>
        </w:rPr>
        <w:drawing>
          <wp:inline distT="0" distB="0" distL="114300" distR="114300">
            <wp:extent cx="2769235" cy="2113915"/>
            <wp:effectExtent l="0" t="0" r="12065" b="635"/>
            <wp:docPr id="33" name="图片 33" descr="微信图片_20240829155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微信图片_20240829155602"/>
                    <pic:cNvPicPr>
                      <a:picLocks noChangeAspect="1"/>
                    </pic:cNvPicPr>
                  </pic:nvPicPr>
                  <pic:blipFill>
                    <a:blip r:embed="rId11"/>
                    <a:stretch>
                      <a:fillRect/>
                    </a:stretch>
                  </pic:blipFill>
                  <pic:spPr>
                    <a:xfrm>
                      <a:off x="0" y="0"/>
                      <a:ext cx="2769235" cy="2113915"/>
                    </a:xfrm>
                    <a:prstGeom prst="rect">
                      <a:avLst/>
                    </a:prstGeom>
                  </pic:spPr>
                </pic:pic>
              </a:graphicData>
            </a:graphic>
          </wp:inline>
        </w:drawing>
      </w:r>
    </w:p>
    <w:p w14:paraId="628591E1">
      <w:pPr>
        <w:jc w:val="center"/>
        <w:rPr>
          <w:rFonts w:hint="eastAsia" w:cs="Times New Roman"/>
          <w:b/>
          <w:bCs/>
          <w:kern w:val="2"/>
          <w:sz w:val="36"/>
          <w:szCs w:val="36"/>
          <w:lang w:val="en-US" w:eastAsia="zh-CN" w:bidi="ar-SA"/>
        </w:rPr>
      </w:pPr>
    </w:p>
    <w:p w14:paraId="7927C7AA">
      <w:pPr>
        <w:jc w:val="center"/>
        <w:rPr>
          <w:rFonts w:hint="default" w:cs="Times New Roman"/>
          <w:b/>
          <w:bCs/>
          <w:kern w:val="2"/>
          <w:sz w:val="24"/>
          <w:szCs w:val="24"/>
          <w:lang w:val="en-US" w:eastAsia="zh-CN" w:bidi="ar-SA"/>
        </w:rPr>
      </w:pPr>
    </w:p>
    <w:p w14:paraId="68F4F5FD">
      <w:pPr>
        <w:jc w:val="center"/>
        <w:rPr>
          <w:rFonts w:hint="eastAsia" w:cs="Times New Roman"/>
          <w:b/>
          <w:bCs/>
          <w:kern w:val="2"/>
          <w:sz w:val="36"/>
          <w:szCs w:val="36"/>
          <w:lang w:val="en-US" w:eastAsia="zh-CN" w:bidi="ar-SA"/>
        </w:rPr>
      </w:pPr>
    </w:p>
    <w:p w14:paraId="5D755A71">
      <w:pPr>
        <w:jc w:val="center"/>
        <w:rPr>
          <w:rFonts w:hint="eastAsia" w:cs="Times New Roman"/>
          <w:b/>
          <w:bCs/>
          <w:kern w:val="2"/>
          <w:sz w:val="36"/>
          <w:szCs w:val="36"/>
          <w:lang w:val="en-US" w:eastAsia="zh-CN" w:bidi="ar-SA"/>
        </w:rPr>
      </w:pPr>
    </w:p>
    <w:p w14:paraId="46B64090">
      <w:pPr>
        <w:jc w:val="center"/>
        <w:rPr>
          <w:rFonts w:hint="eastAsia" w:cs="Times New Roman"/>
          <w:b/>
          <w:bCs/>
          <w:kern w:val="2"/>
          <w:sz w:val="36"/>
          <w:szCs w:val="36"/>
          <w:lang w:val="en-US" w:eastAsia="zh-CN" w:bidi="ar-SA"/>
        </w:rPr>
      </w:pPr>
      <w:r>
        <w:rPr>
          <w:rFonts w:hint="eastAsia" w:cs="Times New Roman"/>
          <w:b/>
          <w:bCs/>
          <w:kern w:val="2"/>
          <w:sz w:val="36"/>
          <w:szCs w:val="36"/>
          <w:lang w:val="en-US" w:eastAsia="zh-CN" w:bidi="ar-SA"/>
        </w:rPr>
        <w:drawing>
          <wp:inline distT="0" distB="0" distL="114300" distR="114300">
            <wp:extent cx="2764790" cy="2073275"/>
            <wp:effectExtent l="0" t="0" r="16510" b="3175"/>
            <wp:docPr id="32" name="图片 32" descr="微信图片_20240829155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微信图片_20240829155603"/>
                    <pic:cNvPicPr>
                      <a:picLocks noChangeAspect="1"/>
                    </pic:cNvPicPr>
                  </pic:nvPicPr>
                  <pic:blipFill>
                    <a:blip r:embed="rId12"/>
                    <a:stretch>
                      <a:fillRect/>
                    </a:stretch>
                  </pic:blipFill>
                  <pic:spPr>
                    <a:xfrm>
                      <a:off x="0" y="0"/>
                      <a:ext cx="2764790" cy="2073275"/>
                    </a:xfrm>
                    <a:prstGeom prst="rect">
                      <a:avLst/>
                    </a:prstGeom>
                  </pic:spPr>
                </pic:pic>
              </a:graphicData>
            </a:graphic>
          </wp:inline>
        </w:drawing>
      </w:r>
      <w:r>
        <w:rPr>
          <w:rFonts w:hint="eastAsia" w:cs="Times New Roman"/>
          <w:b/>
          <w:bCs/>
          <w:kern w:val="2"/>
          <w:sz w:val="36"/>
          <w:szCs w:val="36"/>
          <w:lang w:val="en-US" w:eastAsia="zh-CN" w:bidi="ar-SA"/>
        </w:rPr>
        <w:drawing>
          <wp:inline distT="0" distB="0" distL="114300" distR="114300">
            <wp:extent cx="2741930" cy="2055495"/>
            <wp:effectExtent l="0" t="0" r="1270" b="1905"/>
            <wp:docPr id="31" name="图片 31" descr="微信图片_20240829155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微信图片_20240829155638"/>
                    <pic:cNvPicPr>
                      <a:picLocks noChangeAspect="1"/>
                    </pic:cNvPicPr>
                  </pic:nvPicPr>
                  <pic:blipFill>
                    <a:blip r:embed="rId13"/>
                    <a:stretch>
                      <a:fillRect/>
                    </a:stretch>
                  </pic:blipFill>
                  <pic:spPr>
                    <a:xfrm>
                      <a:off x="0" y="0"/>
                      <a:ext cx="2741930" cy="2055495"/>
                    </a:xfrm>
                    <a:prstGeom prst="rect">
                      <a:avLst/>
                    </a:prstGeom>
                  </pic:spPr>
                </pic:pic>
              </a:graphicData>
            </a:graphic>
          </wp:inline>
        </w:drawing>
      </w:r>
    </w:p>
    <w:p w14:paraId="537BCEBE">
      <w:pPr>
        <w:jc w:val="center"/>
        <w:rPr>
          <w:rFonts w:hint="default" w:cs="Times New Roman"/>
          <w:kern w:val="2"/>
          <w:sz w:val="36"/>
          <w:szCs w:val="36"/>
          <w:lang w:val="en-US" w:eastAsia="zh-CN" w:bidi="ar-SA"/>
        </w:rPr>
        <w:sectPr>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p>
    <w:p w14:paraId="428BF59C">
      <w:pPr>
        <w:rPr>
          <w:rFonts w:hint="default" w:ascii="Times New Roman" w:hAnsi="Times New Roman" w:eastAsia="宋体" w:cs="Times New Roman"/>
          <w:kern w:val="2"/>
          <w:sz w:val="21"/>
          <w:szCs w:val="24"/>
          <w:lang w:val="en-US" w:eastAsia="zh-CN" w:bidi="ar-SA"/>
        </w:rPr>
      </w:pPr>
    </w:p>
    <w:p w14:paraId="2ACE7047">
      <w:pPr>
        <w:jc w:val="center"/>
        <w:rPr>
          <w:rFonts w:ascii="Times New Roman" w:hAnsi="Times New Roman" w:eastAsia="黑体"/>
          <w:snapToGrid w:val="0"/>
          <w:sz w:val="30"/>
          <w:szCs w:val="30"/>
        </w:rPr>
      </w:pPr>
      <w:bookmarkStart w:id="0" w:name="_Toc25983"/>
      <w:r>
        <w:rPr>
          <w:rFonts w:ascii="Times New Roman" w:hAnsi="Times New Roman" w:eastAsia="黑体"/>
          <w:snapToGrid w:val="0"/>
          <w:sz w:val="30"/>
          <w:szCs w:val="30"/>
        </w:rPr>
        <w:t>一、建设项目基本情况</w:t>
      </w:r>
      <w:bookmarkEnd w:id="0"/>
    </w:p>
    <w:tbl>
      <w:tblPr>
        <w:tblStyle w:val="47"/>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1659"/>
        <w:gridCol w:w="1820"/>
        <w:gridCol w:w="2325"/>
        <w:gridCol w:w="3066"/>
      </w:tblGrid>
      <w:tr w14:paraId="47AD838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659" w:type="dxa"/>
            <w:tcMar>
              <w:top w:w="16" w:type="dxa"/>
              <w:left w:w="16" w:type="dxa"/>
              <w:right w:w="16" w:type="dxa"/>
            </w:tcMar>
            <w:vAlign w:val="center"/>
          </w:tcPr>
          <w:p w14:paraId="0CE8259C">
            <w:pPr>
              <w:adjustRightInd w:val="0"/>
              <w:snapToGrid w:val="0"/>
              <w:jc w:val="center"/>
              <w:rPr>
                <w:szCs w:val="21"/>
              </w:rPr>
            </w:pPr>
            <w:r>
              <w:rPr>
                <w:szCs w:val="21"/>
              </w:rPr>
              <w:t>建设项目名称</w:t>
            </w:r>
          </w:p>
        </w:tc>
        <w:tc>
          <w:tcPr>
            <w:tcW w:w="7211" w:type="dxa"/>
            <w:gridSpan w:val="3"/>
            <w:vAlign w:val="center"/>
          </w:tcPr>
          <w:p w14:paraId="741ED37B">
            <w:pPr>
              <w:adjustRightInd w:val="0"/>
              <w:snapToGrid w:val="0"/>
              <w:jc w:val="center"/>
              <w:rPr>
                <w:rFonts w:hint="eastAsia" w:eastAsia="宋体"/>
                <w:spacing w:val="-10"/>
                <w:szCs w:val="21"/>
                <w:lang w:eastAsia="zh-CN"/>
              </w:rPr>
            </w:pPr>
            <w:r>
              <w:rPr>
                <w:rFonts w:hint="eastAsia"/>
                <w:spacing w:val="0"/>
                <w:sz w:val="21"/>
                <w:szCs w:val="21"/>
                <w:lang w:eastAsia="zh-CN"/>
              </w:rPr>
              <w:t>大同市泰康国际医养中心项目</w:t>
            </w:r>
          </w:p>
        </w:tc>
      </w:tr>
      <w:tr w14:paraId="45946A0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659" w:type="dxa"/>
            <w:tcMar>
              <w:top w:w="16" w:type="dxa"/>
              <w:left w:w="16" w:type="dxa"/>
              <w:right w:w="16" w:type="dxa"/>
            </w:tcMar>
            <w:vAlign w:val="center"/>
          </w:tcPr>
          <w:p w14:paraId="190F5A16">
            <w:pPr>
              <w:adjustRightInd w:val="0"/>
              <w:snapToGrid w:val="0"/>
              <w:jc w:val="center"/>
              <w:rPr>
                <w:szCs w:val="21"/>
              </w:rPr>
            </w:pPr>
            <w:r>
              <w:rPr>
                <w:szCs w:val="21"/>
              </w:rPr>
              <w:t>项目代码</w:t>
            </w:r>
          </w:p>
        </w:tc>
        <w:tc>
          <w:tcPr>
            <w:tcW w:w="7211" w:type="dxa"/>
            <w:gridSpan w:val="3"/>
            <w:vAlign w:val="center"/>
          </w:tcPr>
          <w:p w14:paraId="10DED43B">
            <w:pPr>
              <w:adjustRightInd w:val="0"/>
              <w:snapToGrid w:val="0"/>
              <w:jc w:val="center"/>
              <w:rPr>
                <w:rFonts w:hint="default" w:eastAsia="宋体"/>
                <w:szCs w:val="21"/>
                <w:lang w:val="en-US" w:eastAsia="zh-CN"/>
              </w:rPr>
            </w:pPr>
            <w:r>
              <w:rPr>
                <w:rFonts w:hint="eastAsia"/>
                <w:szCs w:val="21"/>
                <w:lang w:val="en-US" w:eastAsia="zh-CN"/>
              </w:rPr>
              <w:t>-</w:t>
            </w:r>
          </w:p>
        </w:tc>
      </w:tr>
      <w:tr w14:paraId="4F543DC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659" w:type="dxa"/>
            <w:tcMar>
              <w:top w:w="16" w:type="dxa"/>
              <w:left w:w="16" w:type="dxa"/>
              <w:right w:w="16" w:type="dxa"/>
            </w:tcMar>
            <w:vAlign w:val="center"/>
          </w:tcPr>
          <w:p w14:paraId="1F3B30B7">
            <w:pPr>
              <w:adjustRightInd w:val="0"/>
              <w:snapToGrid w:val="0"/>
              <w:jc w:val="center"/>
              <w:rPr>
                <w:szCs w:val="21"/>
              </w:rPr>
            </w:pPr>
            <w:r>
              <w:rPr>
                <w:szCs w:val="21"/>
              </w:rPr>
              <w:t>建设单位联系人</w:t>
            </w:r>
          </w:p>
        </w:tc>
        <w:tc>
          <w:tcPr>
            <w:tcW w:w="1820" w:type="dxa"/>
            <w:vAlign w:val="center"/>
          </w:tcPr>
          <w:p w14:paraId="027506BF">
            <w:pPr>
              <w:adjustRightInd w:val="0"/>
              <w:snapToGrid w:val="0"/>
              <w:jc w:val="center"/>
              <w:rPr>
                <w:rFonts w:hint="default" w:eastAsia="宋体"/>
                <w:szCs w:val="21"/>
                <w:lang w:val="en-US" w:eastAsia="zh-CN"/>
              </w:rPr>
            </w:pPr>
            <w:r>
              <w:rPr>
                <w:rFonts w:hint="eastAsia"/>
                <w:color w:val="auto"/>
                <w:szCs w:val="21"/>
                <w:lang w:val="en-US" w:eastAsia="zh-CN"/>
              </w:rPr>
              <w:t>张桂峰</w:t>
            </w:r>
          </w:p>
        </w:tc>
        <w:tc>
          <w:tcPr>
            <w:tcW w:w="2325" w:type="dxa"/>
            <w:vAlign w:val="center"/>
          </w:tcPr>
          <w:p w14:paraId="31C21F1E">
            <w:pPr>
              <w:adjustRightInd w:val="0"/>
              <w:snapToGrid w:val="0"/>
              <w:jc w:val="center"/>
              <w:rPr>
                <w:szCs w:val="21"/>
              </w:rPr>
            </w:pPr>
            <w:r>
              <w:rPr>
                <w:szCs w:val="21"/>
              </w:rPr>
              <w:t>联系方式</w:t>
            </w:r>
          </w:p>
        </w:tc>
        <w:tc>
          <w:tcPr>
            <w:tcW w:w="3066" w:type="dxa"/>
            <w:vAlign w:val="center"/>
          </w:tcPr>
          <w:p w14:paraId="04B4D283">
            <w:pPr>
              <w:adjustRightInd w:val="0"/>
              <w:snapToGrid w:val="0"/>
              <w:jc w:val="center"/>
              <w:rPr>
                <w:szCs w:val="21"/>
              </w:rPr>
            </w:pPr>
            <w:r>
              <w:rPr>
                <w:rFonts w:hint="eastAsia"/>
                <w:szCs w:val="21"/>
                <w:lang w:val="en-US" w:eastAsia="zh-CN"/>
              </w:rPr>
              <w:t>18634429085</w:t>
            </w:r>
          </w:p>
        </w:tc>
      </w:tr>
      <w:tr w14:paraId="3A7F50D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659" w:type="dxa"/>
            <w:tcMar>
              <w:top w:w="16" w:type="dxa"/>
              <w:left w:w="16" w:type="dxa"/>
              <w:right w:w="16" w:type="dxa"/>
            </w:tcMar>
            <w:vAlign w:val="center"/>
          </w:tcPr>
          <w:p w14:paraId="1F59993C">
            <w:pPr>
              <w:adjustRightInd w:val="0"/>
              <w:snapToGrid w:val="0"/>
              <w:jc w:val="center"/>
              <w:rPr>
                <w:szCs w:val="21"/>
              </w:rPr>
            </w:pPr>
            <w:r>
              <w:rPr>
                <w:szCs w:val="21"/>
              </w:rPr>
              <w:t>建设地点</w:t>
            </w:r>
          </w:p>
        </w:tc>
        <w:tc>
          <w:tcPr>
            <w:tcW w:w="7211" w:type="dxa"/>
            <w:gridSpan w:val="3"/>
            <w:vAlign w:val="center"/>
          </w:tcPr>
          <w:p w14:paraId="174614D5">
            <w:pPr>
              <w:adjustRightInd w:val="0"/>
              <w:snapToGrid w:val="0"/>
              <w:jc w:val="center"/>
              <w:rPr>
                <w:rFonts w:hint="eastAsia" w:eastAsia="宋体"/>
                <w:color w:val="auto"/>
                <w:szCs w:val="21"/>
                <w:lang w:eastAsia="zh-CN"/>
              </w:rPr>
            </w:pPr>
            <w:r>
              <w:rPr>
                <w:color w:val="auto"/>
                <w:szCs w:val="21"/>
              </w:rPr>
              <w:t>山西省大同市</w:t>
            </w:r>
            <w:r>
              <w:rPr>
                <w:rFonts w:hint="eastAsia"/>
                <w:color w:val="auto"/>
                <w:szCs w:val="21"/>
                <w:lang w:val="en-US" w:eastAsia="zh-CN"/>
              </w:rPr>
              <w:t>开发区南环东路樊庄家园小区西侧</w:t>
            </w:r>
            <w:r>
              <w:rPr>
                <w:rFonts w:hint="eastAsia"/>
                <w:color w:val="auto"/>
                <w:szCs w:val="21"/>
                <w:lang w:eastAsia="zh-CN"/>
              </w:rPr>
              <w:t>0.</w:t>
            </w:r>
            <w:r>
              <w:rPr>
                <w:rFonts w:hint="eastAsia"/>
                <w:color w:val="auto"/>
                <w:szCs w:val="21"/>
                <w:lang w:val="en-US" w:eastAsia="zh-CN"/>
              </w:rPr>
              <w:t>18</w:t>
            </w:r>
            <w:r>
              <w:rPr>
                <w:rFonts w:hint="eastAsia"/>
                <w:color w:val="auto"/>
                <w:szCs w:val="21"/>
                <w:lang w:eastAsia="zh-CN"/>
              </w:rPr>
              <w:t>km处</w:t>
            </w:r>
          </w:p>
        </w:tc>
      </w:tr>
      <w:tr w14:paraId="2E2A5B1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659" w:type="dxa"/>
            <w:tcMar>
              <w:top w:w="16" w:type="dxa"/>
              <w:left w:w="16" w:type="dxa"/>
              <w:right w:w="16" w:type="dxa"/>
            </w:tcMar>
            <w:vAlign w:val="center"/>
          </w:tcPr>
          <w:p w14:paraId="38F4C9E3">
            <w:pPr>
              <w:adjustRightInd w:val="0"/>
              <w:snapToGrid w:val="0"/>
              <w:jc w:val="center"/>
              <w:rPr>
                <w:szCs w:val="21"/>
              </w:rPr>
            </w:pPr>
            <w:r>
              <w:rPr>
                <w:szCs w:val="21"/>
              </w:rPr>
              <w:t>地理坐标</w:t>
            </w:r>
          </w:p>
        </w:tc>
        <w:tc>
          <w:tcPr>
            <w:tcW w:w="7211" w:type="dxa"/>
            <w:gridSpan w:val="3"/>
            <w:vAlign w:val="center"/>
          </w:tcPr>
          <w:p w14:paraId="6236856B">
            <w:pPr>
              <w:jc w:val="center"/>
              <w:rPr>
                <w:color w:val="auto"/>
                <w:szCs w:val="21"/>
              </w:rPr>
            </w:pPr>
            <w:r>
              <w:rPr>
                <w:rFonts w:hint="eastAsia"/>
                <w:color w:val="auto"/>
                <w:szCs w:val="21"/>
                <w:lang w:val="en-US" w:eastAsia="zh-CN"/>
              </w:rPr>
              <w:t>东经113度23分28.120秒，北纬40度3分36.916秒</w:t>
            </w:r>
          </w:p>
        </w:tc>
      </w:tr>
      <w:tr w14:paraId="6CB4B9C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1659" w:type="dxa"/>
            <w:tcMar>
              <w:top w:w="16" w:type="dxa"/>
              <w:left w:w="16" w:type="dxa"/>
              <w:right w:w="16" w:type="dxa"/>
            </w:tcMar>
            <w:vAlign w:val="center"/>
          </w:tcPr>
          <w:p w14:paraId="53A612C8">
            <w:pPr>
              <w:adjustRightInd w:val="0"/>
              <w:snapToGrid w:val="0"/>
              <w:jc w:val="center"/>
              <w:rPr>
                <w:szCs w:val="21"/>
              </w:rPr>
            </w:pPr>
            <w:r>
              <w:rPr>
                <w:szCs w:val="21"/>
              </w:rPr>
              <w:t>国民经济</w:t>
            </w:r>
          </w:p>
          <w:p w14:paraId="3F660A25">
            <w:pPr>
              <w:adjustRightInd w:val="0"/>
              <w:snapToGrid w:val="0"/>
              <w:jc w:val="center"/>
              <w:rPr>
                <w:szCs w:val="21"/>
              </w:rPr>
            </w:pPr>
            <w:r>
              <w:rPr>
                <w:szCs w:val="21"/>
              </w:rPr>
              <w:t>行业类别</w:t>
            </w:r>
          </w:p>
        </w:tc>
        <w:tc>
          <w:tcPr>
            <w:tcW w:w="1820" w:type="dxa"/>
            <w:vAlign w:val="center"/>
          </w:tcPr>
          <w:p w14:paraId="205A5A70">
            <w:pPr>
              <w:adjustRightInd w:val="0"/>
              <w:snapToGrid w:val="0"/>
              <w:jc w:val="center"/>
              <w:rPr>
                <w:rFonts w:hint="default" w:eastAsia="宋体"/>
                <w:color w:val="FF0000"/>
                <w:szCs w:val="21"/>
                <w:lang w:val="en-US" w:eastAsia="zh-CN"/>
              </w:rPr>
            </w:pPr>
            <w:r>
              <w:rPr>
                <w:rFonts w:hint="eastAsia"/>
                <w:spacing w:val="-5"/>
                <w:szCs w:val="21"/>
                <w:lang w:val="en-US" w:eastAsia="zh-CN"/>
              </w:rPr>
              <w:t>Q8416疗养院</w:t>
            </w:r>
          </w:p>
        </w:tc>
        <w:tc>
          <w:tcPr>
            <w:tcW w:w="2325" w:type="dxa"/>
            <w:vAlign w:val="center"/>
          </w:tcPr>
          <w:p w14:paraId="4D5533A3">
            <w:pPr>
              <w:adjustRightInd w:val="0"/>
              <w:snapToGrid w:val="0"/>
              <w:jc w:val="center"/>
              <w:rPr>
                <w:szCs w:val="21"/>
              </w:rPr>
            </w:pPr>
            <w:bookmarkStart w:id="1" w:name="_Hlk49843745"/>
            <w:r>
              <w:rPr>
                <w:szCs w:val="21"/>
              </w:rPr>
              <w:t>建设项目</w:t>
            </w:r>
          </w:p>
          <w:p w14:paraId="6A0C5F7D">
            <w:pPr>
              <w:adjustRightInd w:val="0"/>
              <w:snapToGrid w:val="0"/>
              <w:jc w:val="center"/>
              <w:rPr>
                <w:szCs w:val="21"/>
              </w:rPr>
            </w:pPr>
            <w:r>
              <w:rPr>
                <w:szCs w:val="21"/>
              </w:rPr>
              <w:t>行业类别</w:t>
            </w:r>
            <w:bookmarkEnd w:id="1"/>
          </w:p>
        </w:tc>
        <w:tc>
          <w:tcPr>
            <w:tcW w:w="3066" w:type="dxa"/>
            <w:vAlign w:val="center"/>
          </w:tcPr>
          <w:p w14:paraId="370B6E2B">
            <w:pPr>
              <w:adjustRightInd w:val="0"/>
              <w:snapToGrid w:val="0"/>
              <w:jc w:val="center"/>
              <w:rPr>
                <w:rFonts w:hint="default" w:eastAsia="宋体"/>
                <w:spacing w:val="-5"/>
                <w:szCs w:val="21"/>
                <w:lang w:val="en-US" w:eastAsia="zh-CN"/>
              </w:rPr>
            </w:pPr>
            <w:r>
              <w:rPr>
                <w:rFonts w:hint="eastAsia"/>
                <w:spacing w:val="-5"/>
                <w:szCs w:val="21"/>
                <w:lang w:val="en-US" w:eastAsia="zh-CN"/>
              </w:rPr>
              <w:t>四十九、卫生-108、医院-其他</w:t>
            </w:r>
          </w:p>
        </w:tc>
      </w:tr>
      <w:tr w14:paraId="6C525FC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659" w:type="dxa"/>
            <w:tcMar>
              <w:top w:w="16" w:type="dxa"/>
              <w:left w:w="16" w:type="dxa"/>
              <w:right w:w="16" w:type="dxa"/>
            </w:tcMar>
            <w:vAlign w:val="center"/>
          </w:tcPr>
          <w:p w14:paraId="18E9005F">
            <w:pPr>
              <w:adjustRightInd w:val="0"/>
              <w:snapToGrid w:val="0"/>
              <w:jc w:val="center"/>
              <w:rPr>
                <w:szCs w:val="21"/>
              </w:rPr>
            </w:pPr>
            <w:r>
              <w:rPr>
                <w:szCs w:val="21"/>
              </w:rPr>
              <w:t>建设性质</w:t>
            </w:r>
          </w:p>
        </w:tc>
        <w:tc>
          <w:tcPr>
            <w:tcW w:w="1820" w:type="dxa"/>
            <w:vAlign w:val="center"/>
          </w:tcPr>
          <w:p w14:paraId="34865EB2">
            <w:pPr>
              <w:jc w:val="left"/>
              <w:rPr>
                <w:szCs w:val="21"/>
              </w:rPr>
            </w:pPr>
            <w:r>
              <w:rPr>
                <w:szCs w:val="21"/>
              </w:rPr>
              <w:t>√新建（迁建）</w:t>
            </w:r>
          </w:p>
          <w:p w14:paraId="10671A2D">
            <w:pPr>
              <w:jc w:val="left"/>
              <w:rPr>
                <w:szCs w:val="21"/>
              </w:rPr>
            </w:pPr>
            <w:r>
              <w:rPr>
                <w:szCs w:val="21"/>
              </w:rPr>
              <w:t>□改建</w:t>
            </w:r>
          </w:p>
          <w:p w14:paraId="5E54A071">
            <w:pPr>
              <w:jc w:val="left"/>
              <w:rPr>
                <w:szCs w:val="21"/>
              </w:rPr>
            </w:pPr>
            <w:r>
              <w:rPr>
                <w:szCs w:val="21"/>
              </w:rPr>
              <w:t>□扩建</w:t>
            </w:r>
          </w:p>
          <w:p w14:paraId="51411F89">
            <w:pPr>
              <w:jc w:val="left"/>
              <w:rPr>
                <w:szCs w:val="21"/>
              </w:rPr>
            </w:pPr>
            <w:r>
              <w:rPr>
                <w:szCs w:val="21"/>
              </w:rPr>
              <w:t>□技术改造</w:t>
            </w:r>
          </w:p>
        </w:tc>
        <w:tc>
          <w:tcPr>
            <w:tcW w:w="2325" w:type="dxa"/>
            <w:vAlign w:val="center"/>
          </w:tcPr>
          <w:p w14:paraId="060B73F6">
            <w:pPr>
              <w:adjustRightInd w:val="0"/>
              <w:snapToGrid w:val="0"/>
              <w:jc w:val="center"/>
              <w:rPr>
                <w:szCs w:val="21"/>
              </w:rPr>
            </w:pPr>
            <w:r>
              <w:rPr>
                <w:szCs w:val="21"/>
              </w:rPr>
              <w:t>建设项目</w:t>
            </w:r>
          </w:p>
          <w:p w14:paraId="305CD9DA">
            <w:pPr>
              <w:adjustRightInd w:val="0"/>
              <w:snapToGrid w:val="0"/>
              <w:jc w:val="center"/>
              <w:rPr>
                <w:szCs w:val="21"/>
              </w:rPr>
            </w:pPr>
            <w:r>
              <w:rPr>
                <w:szCs w:val="21"/>
              </w:rPr>
              <w:t>申报情形</w:t>
            </w:r>
          </w:p>
        </w:tc>
        <w:tc>
          <w:tcPr>
            <w:tcW w:w="3066" w:type="dxa"/>
            <w:vAlign w:val="center"/>
          </w:tcPr>
          <w:p w14:paraId="15EA6E6E">
            <w:pPr>
              <w:jc w:val="left"/>
              <w:rPr>
                <w:szCs w:val="21"/>
              </w:rPr>
            </w:pPr>
            <w:r>
              <w:rPr>
                <w:szCs w:val="21"/>
              </w:rPr>
              <w:t>□首次申报项目</w:t>
            </w:r>
          </w:p>
          <w:p w14:paraId="40A05705">
            <w:pPr>
              <w:jc w:val="left"/>
              <w:rPr>
                <w:szCs w:val="21"/>
              </w:rPr>
            </w:pPr>
            <w:r>
              <w:rPr>
                <w:szCs w:val="21"/>
              </w:rPr>
              <w:t>□不予批准后再次申报项目</w:t>
            </w:r>
          </w:p>
          <w:p w14:paraId="2502086D">
            <w:pPr>
              <w:jc w:val="left"/>
              <w:rPr>
                <w:szCs w:val="21"/>
              </w:rPr>
            </w:pPr>
            <w:r>
              <w:rPr>
                <w:szCs w:val="21"/>
              </w:rPr>
              <w:t xml:space="preserve">√超五年重新审核项目 </w:t>
            </w:r>
          </w:p>
          <w:p w14:paraId="6CE17473">
            <w:pPr>
              <w:jc w:val="left"/>
              <w:rPr>
                <w:szCs w:val="21"/>
              </w:rPr>
            </w:pPr>
            <w:r>
              <w:rPr>
                <w:szCs w:val="21"/>
              </w:rPr>
              <w:t>□重大变动重新报批项目</w:t>
            </w:r>
          </w:p>
        </w:tc>
      </w:tr>
      <w:tr w14:paraId="3FF6344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1659" w:type="dxa"/>
            <w:tcMar>
              <w:top w:w="16" w:type="dxa"/>
              <w:left w:w="16" w:type="dxa"/>
              <w:right w:w="16" w:type="dxa"/>
            </w:tcMar>
            <w:vAlign w:val="center"/>
          </w:tcPr>
          <w:p w14:paraId="14E05D9F">
            <w:pPr>
              <w:adjustRightInd w:val="0"/>
              <w:snapToGrid w:val="0"/>
              <w:jc w:val="center"/>
              <w:rPr>
                <w:szCs w:val="21"/>
              </w:rPr>
            </w:pPr>
            <w:r>
              <w:rPr>
                <w:szCs w:val="21"/>
              </w:rPr>
              <w:t>项目审批（核准/</w:t>
            </w:r>
          </w:p>
          <w:p w14:paraId="2D21779C">
            <w:pPr>
              <w:adjustRightInd w:val="0"/>
              <w:snapToGrid w:val="0"/>
              <w:jc w:val="center"/>
              <w:rPr>
                <w:szCs w:val="21"/>
              </w:rPr>
            </w:pPr>
            <w:r>
              <w:rPr>
                <w:szCs w:val="21"/>
              </w:rPr>
              <w:t>备案）部门（选填）</w:t>
            </w:r>
          </w:p>
        </w:tc>
        <w:tc>
          <w:tcPr>
            <w:tcW w:w="1820" w:type="dxa"/>
            <w:vAlign w:val="center"/>
          </w:tcPr>
          <w:p w14:paraId="0B098F85">
            <w:pPr>
              <w:adjustRightInd w:val="0"/>
              <w:snapToGrid w:val="0"/>
              <w:jc w:val="center"/>
              <w:rPr>
                <w:rFonts w:hint="default" w:eastAsia="宋体"/>
                <w:szCs w:val="21"/>
                <w:lang w:val="en-US" w:eastAsia="zh-CN"/>
              </w:rPr>
            </w:pPr>
            <w:r>
              <w:rPr>
                <w:rFonts w:hint="eastAsia"/>
                <w:szCs w:val="21"/>
                <w:lang w:val="en-US" w:eastAsia="zh-CN"/>
              </w:rPr>
              <w:t>-</w:t>
            </w:r>
          </w:p>
        </w:tc>
        <w:tc>
          <w:tcPr>
            <w:tcW w:w="2325" w:type="dxa"/>
            <w:vAlign w:val="center"/>
          </w:tcPr>
          <w:p w14:paraId="3F307DEB">
            <w:pPr>
              <w:adjustRightInd w:val="0"/>
              <w:snapToGrid w:val="0"/>
              <w:jc w:val="center"/>
              <w:rPr>
                <w:szCs w:val="21"/>
              </w:rPr>
            </w:pPr>
            <w:r>
              <w:rPr>
                <w:szCs w:val="21"/>
              </w:rPr>
              <w:t>项目审批（核准/</w:t>
            </w:r>
          </w:p>
          <w:p w14:paraId="587AC768">
            <w:pPr>
              <w:adjustRightInd w:val="0"/>
              <w:snapToGrid w:val="0"/>
              <w:jc w:val="center"/>
              <w:rPr>
                <w:szCs w:val="21"/>
              </w:rPr>
            </w:pPr>
            <w:r>
              <w:rPr>
                <w:szCs w:val="21"/>
              </w:rPr>
              <w:t>备案）文号（选填）</w:t>
            </w:r>
          </w:p>
        </w:tc>
        <w:tc>
          <w:tcPr>
            <w:tcW w:w="3066" w:type="dxa"/>
            <w:vAlign w:val="center"/>
          </w:tcPr>
          <w:p w14:paraId="5F6E6B29">
            <w:pPr>
              <w:adjustRightInd w:val="0"/>
              <w:snapToGrid w:val="0"/>
              <w:jc w:val="center"/>
              <w:rPr>
                <w:szCs w:val="21"/>
              </w:rPr>
            </w:pPr>
            <w:r>
              <w:rPr>
                <w:szCs w:val="21"/>
              </w:rPr>
              <w:t>-</w:t>
            </w:r>
          </w:p>
        </w:tc>
      </w:tr>
      <w:tr w14:paraId="53F9F48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659" w:type="dxa"/>
            <w:tcMar>
              <w:top w:w="16" w:type="dxa"/>
              <w:left w:w="16" w:type="dxa"/>
              <w:right w:w="16" w:type="dxa"/>
            </w:tcMar>
            <w:vAlign w:val="center"/>
          </w:tcPr>
          <w:p w14:paraId="3F3C559F">
            <w:pPr>
              <w:adjustRightInd w:val="0"/>
              <w:snapToGrid w:val="0"/>
              <w:jc w:val="center"/>
              <w:rPr>
                <w:szCs w:val="21"/>
              </w:rPr>
            </w:pPr>
            <w:r>
              <w:rPr>
                <w:szCs w:val="21"/>
              </w:rPr>
              <w:t>总投资（万元）</w:t>
            </w:r>
          </w:p>
        </w:tc>
        <w:tc>
          <w:tcPr>
            <w:tcW w:w="1820" w:type="dxa"/>
            <w:vAlign w:val="center"/>
          </w:tcPr>
          <w:p w14:paraId="784940F1">
            <w:pPr>
              <w:adjustRightInd w:val="0"/>
              <w:snapToGrid w:val="0"/>
              <w:jc w:val="center"/>
              <w:rPr>
                <w:rFonts w:hint="default" w:eastAsia="宋体"/>
                <w:szCs w:val="21"/>
                <w:lang w:val="en-US" w:eastAsia="zh-CN"/>
              </w:rPr>
            </w:pPr>
            <w:r>
              <w:rPr>
                <w:rFonts w:hint="eastAsia"/>
                <w:szCs w:val="21"/>
                <w:lang w:val="en-US" w:eastAsia="zh-CN"/>
              </w:rPr>
              <w:t>60000</w:t>
            </w:r>
          </w:p>
        </w:tc>
        <w:tc>
          <w:tcPr>
            <w:tcW w:w="2325" w:type="dxa"/>
            <w:tcMar>
              <w:top w:w="16" w:type="dxa"/>
              <w:left w:w="16" w:type="dxa"/>
              <w:right w:w="16" w:type="dxa"/>
            </w:tcMar>
            <w:vAlign w:val="center"/>
          </w:tcPr>
          <w:p w14:paraId="117DDBB1">
            <w:pPr>
              <w:adjustRightInd w:val="0"/>
              <w:snapToGrid w:val="0"/>
              <w:jc w:val="center"/>
              <w:rPr>
                <w:szCs w:val="21"/>
              </w:rPr>
            </w:pPr>
            <w:r>
              <w:rPr>
                <w:szCs w:val="21"/>
              </w:rPr>
              <w:t>环保投资（万元）</w:t>
            </w:r>
          </w:p>
        </w:tc>
        <w:tc>
          <w:tcPr>
            <w:tcW w:w="3066" w:type="dxa"/>
            <w:vAlign w:val="center"/>
          </w:tcPr>
          <w:p w14:paraId="37F62076">
            <w:pPr>
              <w:adjustRightInd w:val="0"/>
              <w:snapToGrid w:val="0"/>
              <w:jc w:val="center"/>
              <w:rPr>
                <w:rFonts w:hint="default"/>
                <w:color w:val="0070C0"/>
                <w:szCs w:val="21"/>
                <w:lang w:val="en-US"/>
              </w:rPr>
            </w:pPr>
            <w:r>
              <w:rPr>
                <w:rFonts w:hint="eastAsia"/>
                <w:color w:val="auto"/>
                <w:szCs w:val="21"/>
                <w:lang w:val="en-US" w:eastAsia="zh-CN"/>
              </w:rPr>
              <w:t>280</w:t>
            </w:r>
          </w:p>
        </w:tc>
      </w:tr>
      <w:tr w14:paraId="60D6956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659" w:type="dxa"/>
            <w:tcMar>
              <w:top w:w="16" w:type="dxa"/>
              <w:left w:w="16" w:type="dxa"/>
              <w:right w:w="16" w:type="dxa"/>
            </w:tcMar>
            <w:vAlign w:val="center"/>
          </w:tcPr>
          <w:p w14:paraId="74CD3361">
            <w:pPr>
              <w:adjustRightInd w:val="0"/>
              <w:snapToGrid w:val="0"/>
              <w:jc w:val="center"/>
              <w:rPr>
                <w:szCs w:val="21"/>
              </w:rPr>
            </w:pPr>
            <w:r>
              <w:rPr>
                <w:szCs w:val="21"/>
              </w:rPr>
              <w:t>环保投资占比（%）</w:t>
            </w:r>
          </w:p>
        </w:tc>
        <w:tc>
          <w:tcPr>
            <w:tcW w:w="1820" w:type="dxa"/>
            <w:vAlign w:val="center"/>
          </w:tcPr>
          <w:p w14:paraId="7D320975">
            <w:pPr>
              <w:adjustRightInd w:val="0"/>
              <w:snapToGrid w:val="0"/>
              <w:jc w:val="center"/>
              <w:rPr>
                <w:rFonts w:hint="default" w:eastAsia="宋体"/>
                <w:szCs w:val="21"/>
                <w:lang w:val="en-US" w:eastAsia="zh-CN"/>
              </w:rPr>
            </w:pPr>
            <w:r>
              <w:rPr>
                <w:rFonts w:hint="eastAsia"/>
                <w:color w:val="auto"/>
                <w:szCs w:val="21"/>
                <w:lang w:val="en-US" w:eastAsia="zh-CN"/>
              </w:rPr>
              <w:t>0.47</w:t>
            </w:r>
          </w:p>
        </w:tc>
        <w:tc>
          <w:tcPr>
            <w:tcW w:w="2325" w:type="dxa"/>
            <w:tcMar>
              <w:top w:w="16" w:type="dxa"/>
              <w:left w:w="16" w:type="dxa"/>
              <w:right w:w="16" w:type="dxa"/>
            </w:tcMar>
            <w:vAlign w:val="center"/>
          </w:tcPr>
          <w:p w14:paraId="1AFD05F8">
            <w:pPr>
              <w:adjustRightInd w:val="0"/>
              <w:snapToGrid w:val="0"/>
              <w:jc w:val="center"/>
              <w:rPr>
                <w:szCs w:val="21"/>
              </w:rPr>
            </w:pPr>
            <w:r>
              <w:rPr>
                <w:szCs w:val="21"/>
              </w:rPr>
              <w:t>施工工期</w:t>
            </w:r>
          </w:p>
        </w:tc>
        <w:tc>
          <w:tcPr>
            <w:tcW w:w="3066" w:type="dxa"/>
            <w:vAlign w:val="center"/>
          </w:tcPr>
          <w:p w14:paraId="70C56C9F">
            <w:pPr>
              <w:adjustRightInd w:val="0"/>
              <w:snapToGrid w:val="0"/>
              <w:jc w:val="center"/>
              <w:rPr>
                <w:szCs w:val="21"/>
              </w:rPr>
            </w:pPr>
            <w:r>
              <w:rPr>
                <w:rFonts w:hint="eastAsia"/>
                <w:szCs w:val="21"/>
                <w:lang w:val="en-US" w:eastAsia="zh-CN"/>
              </w:rPr>
              <w:t>12</w:t>
            </w:r>
            <w:r>
              <w:rPr>
                <w:szCs w:val="21"/>
              </w:rPr>
              <w:t>个月</w:t>
            </w:r>
          </w:p>
        </w:tc>
      </w:tr>
      <w:tr w14:paraId="3E4720F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659" w:type="dxa"/>
            <w:tcMar>
              <w:top w:w="16" w:type="dxa"/>
              <w:left w:w="16" w:type="dxa"/>
              <w:right w:w="16" w:type="dxa"/>
            </w:tcMar>
            <w:vAlign w:val="center"/>
          </w:tcPr>
          <w:p w14:paraId="0315D268">
            <w:pPr>
              <w:adjustRightInd w:val="0"/>
              <w:snapToGrid w:val="0"/>
              <w:jc w:val="center"/>
              <w:rPr>
                <w:szCs w:val="21"/>
              </w:rPr>
            </w:pPr>
            <w:r>
              <w:rPr>
                <w:szCs w:val="21"/>
              </w:rPr>
              <w:t>是否开工建设</w:t>
            </w:r>
          </w:p>
        </w:tc>
        <w:tc>
          <w:tcPr>
            <w:tcW w:w="1820" w:type="dxa"/>
            <w:vAlign w:val="center"/>
          </w:tcPr>
          <w:p w14:paraId="7D645723">
            <w:pPr>
              <w:adjustRightInd w:val="0"/>
              <w:snapToGrid w:val="0"/>
              <w:rPr>
                <w:szCs w:val="21"/>
              </w:rPr>
            </w:pPr>
            <w:r>
              <w:rPr>
                <w:szCs w:val="21"/>
              </w:rPr>
              <w:t>√否</w:t>
            </w:r>
          </w:p>
          <w:p w14:paraId="2D03670E">
            <w:pPr>
              <w:adjustRightInd w:val="0"/>
              <w:snapToGrid w:val="0"/>
              <w:rPr>
                <w:szCs w:val="21"/>
              </w:rPr>
            </w:pPr>
            <w:r>
              <w:rPr>
                <w:szCs w:val="21"/>
              </w:rPr>
              <w:sym w:font="Wingdings 2" w:char="00A3"/>
            </w:r>
            <w:r>
              <w:rPr>
                <w:szCs w:val="21"/>
              </w:rPr>
              <w:t>是：</w:t>
            </w:r>
            <w:r>
              <w:rPr>
                <w:szCs w:val="21"/>
                <w:u w:val="single"/>
              </w:rPr>
              <w:t xml:space="preserve">             </w:t>
            </w:r>
          </w:p>
        </w:tc>
        <w:tc>
          <w:tcPr>
            <w:tcW w:w="2325" w:type="dxa"/>
            <w:tcMar>
              <w:top w:w="16" w:type="dxa"/>
              <w:left w:w="16" w:type="dxa"/>
              <w:right w:w="16" w:type="dxa"/>
            </w:tcMar>
            <w:vAlign w:val="center"/>
          </w:tcPr>
          <w:p w14:paraId="0EEE0D82">
            <w:pPr>
              <w:adjustRightInd w:val="0"/>
              <w:snapToGrid w:val="0"/>
              <w:jc w:val="center"/>
              <w:rPr>
                <w:spacing w:val="-6"/>
                <w:szCs w:val="21"/>
              </w:rPr>
            </w:pPr>
            <w:r>
              <w:rPr>
                <w:spacing w:val="-6"/>
                <w:szCs w:val="21"/>
              </w:rPr>
              <w:t>用地（用海）</w:t>
            </w:r>
          </w:p>
          <w:p w14:paraId="6874DB69">
            <w:pPr>
              <w:adjustRightInd w:val="0"/>
              <w:snapToGrid w:val="0"/>
              <w:jc w:val="center"/>
              <w:rPr>
                <w:szCs w:val="21"/>
              </w:rPr>
            </w:pPr>
            <w:r>
              <w:rPr>
                <w:spacing w:val="-6"/>
                <w:szCs w:val="21"/>
              </w:rPr>
              <w:t>面积（m</w:t>
            </w:r>
            <w:r>
              <w:rPr>
                <w:spacing w:val="-6"/>
                <w:szCs w:val="21"/>
                <w:vertAlign w:val="superscript"/>
              </w:rPr>
              <w:t>2</w:t>
            </w:r>
            <w:r>
              <w:rPr>
                <w:spacing w:val="-6"/>
                <w:szCs w:val="21"/>
              </w:rPr>
              <w:t>）</w:t>
            </w:r>
          </w:p>
        </w:tc>
        <w:tc>
          <w:tcPr>
            <w:tcW w:w="3066" w:type="dxa"/>
            <w:vAlign w:val="center"/>
          </w:tcPr>
          <w:p w14:paraId="00333E2A">
            <w:pPr>
              <w:adjustRightInd w:val="0"/>
              <w:snapToGrid w:val="0"/>
              <w:jc w:val="center"/>
              <w:rPr>
                <w:rFonts w:hint="default" w:eastAsia="宋体"/>
                <w:color w:val="auto"/>
                <w:szCs w:val="21"/>
                <w:lang w:val="en-US" w:eastAsia="zh-CN"/>
              </w:rPr>
            </w:pPr>
            <w:r>
              <w:rPr>
                <w:rFonts w:hint="eastAsia"/>
                <w:color w:val="auto"/>
                <w:szCs w:val="21"/>
                <w:lang w:val="en-US" w:eastAsia="zh-CN"/>
              </w:rPr>
              <w:t>40424</w:t>
            </w:r>
          </w:p>
        </w:tc>
      </w:tr>
      <w:tr w14:paraId="504AD65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659" w:type="dxa"/>
            <w:vAlign w:val="center"/>
          </w:tcPr>
          <w:p w14:paraId="24E2DB2C">
            <w:pPr>
              <w:autoSpaceDE w:val="0"/>
              <w:autoSpaceDN w:val="0"/>
              <w:adjustRightInd w:val="0"/>
              <w:snapToGrid w:val="0"/>
              <w:jc w:val="center"/>
              <w:rPr>
                <w:kern w:val="0"/>
                <w:szCs w:val="21"/>
              </w:rPr>
            </w:pPr>
            <w:r>
              <w:rPr>
                <w:kern w:val="0"/>
                <w:szCs w:val="21"/>
              </w:rPr>
              <w:t>专项评价设置</w:t>
            </w:r>
          </w:p>
          <w:p w14:paraId="290F7C13">
            <w:pPr>
              <w:autoSpaceDE w:val="0"/>
              <w:autoSpaceDN w:val="0"/>
              <w:adjustRightInd w:val="0"/>
              <w:snapToGrid w:val="0"/>
              <w:jc w:val="center"/>
              <w:rPr>
                <w:kern w:val="0"/>
                <w:szCs w:val="21"/>
              </w:rPr>
            </w:pPr>
            <w:r>
              <w:rPr>
                <w:kern w:val="0"/>
                <w:szCs w:val="21"/>
              </w:rPr>
              <w:t>情况</w:t>
            </w:r>
          </w:p>
        </w:tc>
        <w:tc>
          <w:tcPr>
            <w:tcW w:w="7211" w:type="dxa"/>
            <w:gridSpan w:val="3"/>
            <w:vAlign w:val="center"/>
          </w:tcPr>
          <w:p w14:paraId="4F8F3919">
            <w:pPr>
              <w:autoSpaceDE w:val="0"/>
              <w:autoSpaceDN w:val="0"/>
              <w:adjustRightInd w:val="0"/>
              <w:snapToGrid w:val="0"/>
              <w:jc w:val="center"/>
              <w:rPr>
                <w:kern w:val="0"/>
                <w:szCs w:val="21"/>
              </w:rPr>
            </w:pPr>
            <w:r>
              <w:rPr>
                <w:kern w:val="0"/>
                <w:szCs w:val="21"/>
              </w:rPr>
              <w:t>无。</w:t>
            </w:r>
          </w:p>
        </w:tc>
      </w:tr>
      <w:tr w14:paraId="059B580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659" w:type="dxa"/>
            <w:vAlign w:val="center"/>
          </w:tcPr>
          <w:p w14:paraId="5F591B78">
            <w:pPr>
              <w:autoSpaceDE w:val="0"/>
              <w:autoSpaceDN w:val="0"/>
              <w:adjustRightInd w:val="0"/>
              <w:snapToGrid w:val="0"/>
              <w:jc w:val="center"/>
              <w:rPr>
                <w:kern w:val="0"/>
                <w:szCs w:val="21"/>
              </w:rPr>
            </w:pPr>
            <w:r>
              <w:rPr>
                <w:szCs w:val="21"/>
              </w:rPr>
              <w:t>规划情况</w:t>
            </w:r>
          </w:p>
        </w:tc>
        <w:tc>
          <w:tcPr>
            <w:tcW w:w="7211" w:type="dxa"/>
            <w:gridSpan w:val="3"/>
            <w:vAlign w:val="center"/>
          </w:tcPr>
          <w:p w14:paraId="6151CDD5">
            <w:pPr>
              <w:pStyle w:val="77"/>
              <w:snapToGrid/>
              <w:ind w:firstLine="422"/>
              <w:rPr>
                <w:rFonts w:hint="eastAsia" w:ascii="Times New Roman" w:hAnsi="Times New Roman" w:eastAsia="宋体" w:cs="Times New Roman"/>
                <w:b w:val="0"/>
                <w:bCs w:val="0"/>
                <w:color w:val="auto"/>
                <w:szCs w:val="21"/>
                <w:highlight w:val="none"/>
                <w:lang w:val="en-US" w:eastAsia="zh-CN"/>
              </w:rPr>
            </w:pPr>
            <w:r>
              <w:rPr>
                <w:rFonts w:hint="eastAsia" w:ascii="Times New Roman" w:hAnsi="Times New Roman" w:eastAsia="宋体" w:cs="Times New Roman"/>
                <w:b w:val="0"/>
                <w:bCs w:val="0"/>
                <w:color w:val="auto"/>
                <w:szCs w:val="21"/>
                <w:lang w:val="en-US" w:eastAsia="zh-CN"/>
              </w:rPr>
              <w:t>规划名称：</w:t>
            </w:r>
            <w:r>
              <w:rPr>
                <w:rFonts w:hint="eastAsia" w:ascii="Times New Roman" w:hAnsi="Times New Roman" w:cs="Times New Roman"/>
                <w:b w:val="0"/>
                <w:bCs w:val="0"/>
                <w:color w:val="auto"/>
                <w:szCs w:val="21"/>
                <w:highlight w:val="none"/>
                <w:lang w:val="en-US" w:eastAsia="zh-CN"/>
              </w:rPr>
              <w:t>《大同经济技术开发区起步区控制性详细规划（现代服务产业园区）（2021-2035年）》</w:t>
            </w:r>
          </w:p>
          <w:p w14:paraId="33302E0B">
            <w:pPr>
              <w:pStyle w:val="77"/>
              <w:snapToGrid/>
              <w:ind w:firstLine="422"/>
              <w:rPr>
                <w:rFonts w:hint="eastAsia" w:ascii="Times New Roman" w:hAnsi="Times New Roman" w:eastAsia="宋体" w:cs="Times New Roman"/>
                <w:b w:val="0"/>
                <w:bCs w:val="0"/>
                <w:color w:val="auto"/>
                <w:szCs w:val="21"/>
                <w:highlight w:val="none"/>
                <w:lang w:val="en-US" w:eastAsia="zh-CN"/>
              </w:rPr>
            </w:pPr>
            <w:r>
              <w:rPr>
                <w:rFonts w:hint="eastAsia" w:ascii="Times New Roman" w:hAnsi="Times New Roman" w:eastAsia="宋体" w:cs="Times New Roman"/>
                <w:b w:val="0"/>
                <w:bCs w:val="0"/>
                <w:color w:val="auto"/>
                <w:szCs w:val="21"/>
                <w:highlight w:val="none"/>
                <w:lang w:val="en-US" w:eastAsia="zh-CN"/>
              </w:rPr>
              <w:t>规划审批机关：</w:t>
            </w:r>
            <w:r>
              <w:rPr>
                <w:rFonts w:hint="eastAsia" w:ascii="Times New Roman" w:hAnsi="Times New Roman" w:cs="Times New Roman"/>
                <w:b w:val="0"/>
                <w:bCs w:val="0"/>
                <w:color w:val="auto"/>
                <w:szCs w:val="21"/>
                <w:highlight w:val="none"/>
                <w:lang w:val="en-US" w:eastAsia="zh-CN"/>
              </w:rPr>
              <w:t>大同市</w:t>
            </w:r>
            <w:r>
              <w:rPr>
                <w:rFonts w:hint="eastAsia" w:ascii="Times New Roman" w:hAnsi="Times New Roman" w:eastAsia="宋体" w:cs="Times New Roman"/>
                <w:b w:val="0"/>
                <w:bCs w:val="0"/>
                <w:color w:val="auto"/>
                <w:szCs w:val="21"/>
                <w:highlight w:val="none"/>
                <w:lang w:val="en-US" w:eastAsia="zh-CN"/>
              </w:rPr>
              <w:t>人民政府</w:t>
            </w:r>
          </w:p>
          <w:p w14:paraId="0B734B68">
            <w:pPr>
              <w:pStyle w:val="77"/>
              <w:snapToGrid/>
              <w:ind w:firstLine="422"/>
              <w:rPr>
                <w:rFonts w:hint="eastAsia" w:ascii="Times New Roman" w:hAnsi="Times New Roman" w:eastAsia="宋体" w:cs="Times New Roman"/>
                <w:b w:val="0"/>
                <w:bCs w:val="0"/>
                <w:color w:val="auto"/>
                <w:szCs w:val="21"/>
                <w:lang w:val="en-US" w:eastAsia="zh-CN"/>
              </w:rPr>
            </w:pPr>
            <w:r>
              <w:rPr>
                <w:rFonts w:hint="eastAsia" w:ascii="Times New Roman" w:hAnsi="Times New Roman" w:eastAsia="宋体" w:cs="Times New Roman"/>
                <w:b w:val="0"/>
                <w:bCs w:val="0"/>
                <w:color w:val="auto"/>
                <w:szCs w:val="21"/>
                <w:highlight w:val="none"/>
                <w:lang w:val="en-US" w:eastAsia="zh-CN"/>
              </w:rPr>
              <w:t>批复文号及时间：</w:t>
            </w:r>
            <w:r>
              <w:rPr>
                <w:rFonts w:hint="eastAsia" w:ascii="Times New Roman" w:hAnsi="Times New Roman" w:cs="Times New Roman"/>
                <w:b w:val="0"/>
                <w:bCs w:val="0"/>
                <w:color w:val="auto"/>
                <w:szCs w:val="21"/>
                <w:highlight w:val="none"/>
                <w:lang w:val="en-US" w:eastAsia="zh-CN"/>
              </w:rPr>
              <w:t>同地办</w:t>
            </w:r>
            <w:r>
              <w:rPr>
                <w:rFonts w:hint="eastAsia" w:ascii="Times New Roman" w:hAnsi="Times New Roman" w:eastAsia="宋体" w:cs="Times New Roman"/>
                <w:b w:val="0"/>
                <w:bCs w:val="0"/>
                <w:color w:val="auto"/>
                <w:szCs w:val="21"/>
                <w:highlight w:val="none"/>
                <w:lang w:val="en-US" w:eastAsia="zh-CN"/>
              </w:rPr>
              <w:t>[20</w:t>
            </w:r>
            <w:r>
              <w:rPr>
                <w:rFonts w:hint="eastAsia" w:ascii="Times New Roman" w:hAnsi="Times New Roman" w:cs="Times New Roman"/>
                <w:b w:val="0"/>
                <w:bCs w:val="0"/>
                <w:color w:val="auto"/>
                <w:szCs w:val="21"/>
                <w:highlight w:val="none"/>
                <w:lang w:val="en-US" w:eastAsia="zh-CN"/>
              </w:rPr>
              <w:t>22</w:t>
            </w:r>
            <w:r>
              <w:rPr>
                <w:rFonts w:hint="eastAsia" w:ascii="Times New Roman" w:hAnsi="Times New Roman" w:eastAsia="宋体" w:cs="Times New Roman"/>
                <w:b w:val="0"/>
                <w:bCs w:val="0"/>
                <w:color w:val="auto"/>
                <w:szCs w:val="21"/>
                <w:highlight w:val="none"/>
                <w:lang w:val="en-US" w:eastAsia="zh-CN"/>
              </w:rPr>
              <w:t>]</w:t>
            </w:r>
            <w:r>
              <w:rPr>
                <w:rFonts w:hint="eastAsia" w:ascii="Times New Roman" w:hAnsi="Times New Roman" w:cs="Times New Roman"/>
                <w:b w:val="0"/>
                <w:bCs w:val="0"/>
                <w:color w:val="auto"/>
                <w:szCs w:val="21"/>
                <w:highlight w:val="none"/>
                <w:lang w:val="en-US" w:eastAsia="zh-CN"/>
              </w:rPr>
              <w:t>17</w:t>
            </w:r>
            <w:r>
              <w:rPr>
                <w:rFonts w:hint="eastAsia" w:ascii="Times New Roman" w:hAnsi="Times New Roman" w:eastAsia="宋体" w:cs="Times New Roman"/>
                <w:b w:val="0"/>
                <w:bCs w:val="0"/>
                <w:color w:val="auto"/>
                <w:szCs w:val="21"/>
                <w:highlight w:val="none"/>
                <w:lang w:val="en-US" w:eastAsia="zh-CN"/>
              </w:rPr>
              <w:t>号，</w:t>
            </w:r>
            <w:r>
              <w:rPr>
                <w:rFonts w:hint="eastAsia" w:ascii="Times New Roman" w:hAnsi="Times New Roman" w:cs="Times New Roman"/>
                <w:b w:val="0"/>
                <w:bCs w:val="0"/>
                <w:color w:val="auto"/>
                <w:szCs w:val="21"/>
                <w:highlight w:val="none"/>
                <w:lang w:val="en-US" w:eastAsia="zh-CN"/>
              </w:rPr>
              <w:t>2022</w:t>
            </w:r>
            <w:r>
              <w:rPr>
                <w:rFonts w:hint="eastAsia" w:ascii="Times New Roman" w:hAnsi="Times New Roman" w:eastAsia="宋体" w:cs="Times New Roman"/>
                <w:b w:val="0"/>
                <w:bCs w:val="0"/>
                <w:color w:val="auto"/>
                <w:szCs w:val="21"/>
                <w:highlight w:val="none"/>
                <w:lang w:val="en-US" w:eastAsia="zh-CN"/>
              </w:rPr>
              <w:t>年</w:t>
            </w:r>
            <w:r>
              <w:rPr>
                <w:rFonts w:hint="eastAsia" w:ascii="Times New Roman" w:hAnsi="Times New Roman" w:cs="Times New Roman"/>
                <w:b w:val="0"/>
                <w:bCs w:val="0"/>
                <w:color w:val="auto"/>
                <w:szCs w:val="21"/>
                <w:highlight w:val="none"/>
                <w:lang w:val="en-US" w:eastAsia="zh-CN"/>
              </w:rPr>
              <w:t>4</w:t>
            </w:r>
            <w:r>
              <w:rPr>
                <w:rFonts w:hint="eastAsia" w:ascii="Times New Roman" w:hAnsi="Times New Roman" w:eastAsia="宋体" w:cs="Times New Roman"/>
                <w:b w:val="0"/>
                <w:bCs w:val="0"/>
                <w:color w:val="auto"/>
                <w:szCs w:val="21"/>
                <w:highlight w:val="none"/>
                <w:lang w:val="en-US" w:eastAsia="zh-CN"/>
              </w:rPr>
              <w:t>月</w:t>
            </w:r>
            <w:r>
              <w:rPr>
                <w:rFonts w:hint="eastAsia" w:ascii="Times New Roman" w:hAnsi="Times New Roman" w:cs="Times New Roman"/>
                <w:b w:val="0"/>
                <w:bCs w:val="0"/>
                <w:color w:val="auto"/>
                <w:szCs w:val="21"/>
                <w:highlight w:val="none"/>
                <w:lang w:val="en-US" w:eastAsia="zh-CN"/>
              </w:rPr>
              <w:t>29日</w:t>
            </w:r>
            <w:r>
              <w:rPr>
                <w:rFonts w:hint="eastAsia" w:ascii="Times New Roman" w:hAnsi="Times New Roman" w:eastAsia="宋体" w:cs="Times New Roman"/>
                <w:b w:val="0"/>
                <w:bCs w:val="0"/>
                <w:color w:val="auto"/>
                <w:szCs w:val="21"/>
                <w:highlight w:val="none"/>
                <w:lang w:val="en-US" w:eastAsia="zh-CN"/>
              </w:rPr>
              <w:t>。</w:t>
            </w:r>
          </w:p>
        </w:tc>
      </w:tr>
      <w:tr w14:paraId="059428F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659" w:type="dxa"/>
            <w:vAlign w:val="center"/>
          </w:tcPr>
          <w:p w14:paraId="0D825D98">
            <w:pPr>
              <w:adjustRightInd w:val="0"/>
              <w:snapToGrid w:val="0"/>
              <w:jc w:val="center"/>
              <w:rPr>
                <w:szCs w:val="21"/>
              </w:rPr>
            </w:pPr>
            <w:r>
              <w:rPr>
                <w:szCs w:val="21"/>
              </w:rPr>
              <w:t>规划环境影响</w:t>
            </w:r>
          </w:p>
          <w:p w14:paraId="3B3C448B">
            <w:pPr>
              <w:adjustRightInd w:val="0"/>
              <w:snapToGrid w:val="0"/>
              <w:jc w:val="center"/>
              <w:rPr>
                <w:kern w:val="0"/>
                <w:szCs w:val="21"/>
              </w:rPr>
            </w:pPr>
            <w:r>
              <w:rPr>
                <w:szCs w:val="21"/>
              </w:rPr>
              <w:t>评价情况</w:t>
            </w:r>
          </w:p>
        </w:tc>
        <w:tc>
          <w:tcPr>
            <w:tcW w:w="7211" w:type="dxa"/>
            <w:gridSpan w:val="3"/>
            <w:vAlign w:val="center"/>
          </w:tcPr>
          <w:p w14:paraId="5EB3ABAA">
            <w:pPr>
              <w:pStyle w:val="77"/>
              <w:snapToGrid/>
              <w:ind w:firstLine="422"/>
              <w:rPr>
                <w:rFonts w:hint="eastAsia" w:ascii="Times New Roman" w:hAnsi="Times New Roman" w:eastAsia="宋体" w:cs="Times New Roman"/>
                <w:b w:val="0"/>
                <w:bCs w:val="0"/>
                <w:color w:val="auto"/>
                <w:szCs w:val="21"/>
                <w:lang w:val="en-US" w:eastAsia="zh-CN"/>
              </w:rPr>
            </w:pPr>
            <w:r>
              <w:rPr>
                <w:rFonts w:hint="eastAsia" w:ascii="Times New Roman" w:hAnsi="Times New Roman" w:eastAsia="宋体" w:cs="Times New Roman"/>
                <w:b w:val="0"/>
                <w:bCs w:val="0"/>
                <w:color w:val="auto"/>
                <w:szCs w:val="21"/>
                <w:lang w:val="en-US" w:eastAsia="zh-CN"/>
              </w:rPr>
              <w:t>规划环境影响文件名称：《</w:t>
            </w:r>
            <w:r>
              <w:rPr>
                <w:rFonts w:hint="eastAsia" w:ascii="Times New Roman" w:hAnsi="Times New Roman" w:cs="Times New Roman"/>
                <w:b w:val="0"/>
                <w:bCs w:val="0"/>
                <w:color w:val="auto"/>
                <w:szCs w:val="21"/>
                <w:highlight w:val="none"/>
                <w:lang w:val="en-US" w:eastAsia="zh-CN"/>
              </w:rPr>
              <w:t>大同经济技术开发区起步区控制性详细规划（现代服务产业园区）（2021-2035年）</w:t>
            </w:r>
            <w:r>
              <w:rPr>
                <w:rFonts w:hint="eastAsia" w:ascii="Times New Roman" w:hAnsi="Times New Roman" w:eastAsia="宋体" w:cs="Times New Roman"/>
                <w:b w:val="0"/>
                <w:bCs w:val="0"/>
                <w:color w:val="auto"/>
                <w:szCs w:val="21"/>
                <w:lang w:val="en-US" w:eastAsia="zh-CN"/>
              </w:rPr>
              <w:t>环境影响报告书》；</w:t>
            </w:r>
          </w:p>
          <w:p w14:paraId="78F4886B">
            <w:pPr>
              <w:pStyle w:val="77"/>
              <w:snapToGrid/>
              <w:ind w:firstLine="422"/>
              <w:rPr>
                <w:rFonts w:hint="eastAsia" w:ascii="Times New Roman" w:hAnsi="Times New Roman" w:eastAsia="宋体" w:cs="Times New Roman"/>
                <w:b w:val="0"/>
                <w:bCs w:val="0"/>
                <w:color w:val="auto"/>
                <w:szCs w:val="21"/>
                <w:lang w:val="en-US" w:eastAsia="zh-CN"/>
              </w:rPr>
            </w:pPr>
            <w:r>
              <w:rPr>
                <w:rFonts w:hint="eastAsia" w:ascii="Times New Roman" w:hAnsi="Times New Roman" w:eastAsia="宋体" w:cs="Times New Roman"/>
                <w:b w:val="0"/>
                <w:bCs w:val="0"/>
                <w:color w:val="auto"/>
                <w:szCs w:val="21"/>
                <w:lang w:val="en-US" w:eastAsia="zh-CN"/>
              </w:rPr>
              <w:t>审查机关：</w:t>
            </w:r>
            <w:r>
              <w:rPr>
                <w:rFonts w:hint="eastAsia" w:ascii="Times New Roman" w:hAnsi="Times New Roman" w:cs="Times New Roman"/>
                <w:b w:val="0"/>
                <w:bCs w:val="0"/>
                <w:color w:val="auto"/>
                <w:szCs w:val="21"/>
                <w:lang w:val="en-US" w:eastAsia="zh-CN"/>
              </w:rPr>
              <w:t>大同市</w:t>
            </w:r>
            <w:r>
              <w:rPr>
                <w:rFonts w:hint="eastAsia" w:ascii="Times New Roman" w:hAnsi="Times New Roman" w:eastAsia="宋体" w:cs="Times New Roman"/>
                <w:b w:val="0"/>
                <w:bCs w:val="0"/>
                <w:color w:val="auto"/>
                <w:szCs w:val="21"/>
                <w:lang w:val="en-US" w:eastAsia="zh-CN"/>
              </w:rPr>
              <w:t>生态环境</w:t>
            </w:r>
            <w:r>
              <w:rPr>
                <w:rFonts w:hint="eastAsia" w:ascii="Times New Roman" w:hAnsi="Times New Roman" w:cs="Times New Roman"/>
                <w:b w:val="0"/>
                <w:bCs w:val="0"/>
                <w:color w:val="auto"/>
                <w:szCs w:val="21"/>
                <w:lang w:val="en-US" w:eastAsia="zh-CN"/>
              </w:rPr>
              <w:t>局</w:t>
            </w:r>
          </w:p>
          <w:p w14:paraId="45A89C9C">
            <w:pPr>
              <w:pStyle w:val="77"/>
              <w:snapToGrid/>
              <w:ind w:firstLine="422"/>
              <w:rPr>
                <w:rFonts w:hint="eastAsia" w:ascii="Times New Roman" w:hAnsi="Times New Roman" w:eastAsia="宋体" w:cs="Times New Roman"/>
                <w:b w:val="0"/>
                <w:bCs w:val="0"/>
                <w:color w:val="auto"/>
                <w:szCs w:val="21"/>
                <w:lang w:val="en-US" w:eastAsia="zh-CN"/>
              </w:rPr>
            </w:pPr>
            <w:r>
              <w:rPr>
                <w:rFonts w:hint="eastAsia" w:ascii="Times New Roman" w:hAnsi="Times New Roman" w:eastAsia="宋体" w:cs="Times New Roman"/>
                <w:b w:val="0"/>
                <w:bCs w:val="0"/>
                <w:color w:val="auto"/>
                <w:szCs w:val="21"/>
                <w:lang w:val="en-US" w:eastAsia="zh-CN"/>
              </w:rPr>
              <w:t>审查文件名称：关于《</w:t>
            </w:r>
            <w:r>
              <w:rPr>
                <w:rFonts w:hint="eastAsia" w:ascii="Times New Roman" w:hAnsi="Times New Roman" w:cs="Times New Roman"/>
                <w:b w:val="0"/>
                <w:bCs w:val="0"/>
                <w:color w:val="auto"/>
                <w:szCs w:val="21"/>
                <w:highlight w:val="none"/>
                <w:lang w:val="en-US" w:eastAsia="zh-CN"/>
              </w:rPr>
              <w:t>大同经济技术开发区起步区控制性详细规划（现代服务产业园区）（2021-2035年）</w:t>
            </w:r>
            <w:r>
              <w:rPr>
                <w:rFonts w:hint="eastAsia" w:ascii="Times New Roman" w:hAnsi="Times New Roman" w:eastAsia="宋体" w:cs="Times New Roman"/>
                <w:b w:val="0"/>
                <w:bCs w:val="0"/>
                <w:color w:val="auto"/>
                <w:szCs w:val="21"/>
                <w:lang w:val="en-US" w:eastAsia="zh-CN"/>
              </w:rPr>
              <w:t>环境影响报告书》的审查意见；</w:t>
            </w:r>
          </w:p>
          <w:p w14:paraId="4B35150C">
            <w:pPr>
              <w:pStyle w:val="77"/>
              <w:snapToGrid/>
              <w:ind w:firstLine="422"/>
              <w:rPr>
                <w:rFonts w:hint="default" w:ascii="Times New Roman" w:hAnsi="Times New Roman"/>
                <w:b w:val="0"/>
                <w:bCs w:val="0"/>
                <w:color w:val="auto"/>
                <w:szCs w:val="21"/>
                <w:lang w:val="en-US"/>
              </w:rPr>
            </w:pPr>
            <w:r>
              <w:rPr>
                <w:rFonts w:hint="eastAsia" w:ascii="Times New Roman" w:hAnsi="Times New Roman" w:eastAsia="宋体" w:cs="Times New Roman"/>
                <w:b w:val="0"/>
                <w:bCs w:val="0"/>
                <w:color w:val="auto"/>
                <w:szCs w:val="21"/>
                <w:lang w:val="en-US" w:eastAsia="zh-CN"/>
              </w:rPr>
              <w:t>审查文号及时间：</w:t>
            </w:r>
            <w:r>
              <w:rPr>
                <w:rFonts w:hint="eastAsia" w:ascii="Times New Roman" w:hAnsi="Times New Roman" w:cs="Times New Roman"/>
                <w:b w:val="0"/>
                <w:bCs w:val="0"/>
                <w:color w:val="auto"/>
                <w:szCs w:val="21"/>
                <w:lang w:val="en-US" w:eastAsia="zh-CN"/>
              </w:rPr>
              <w:t>同</w:t>
            </w:r>
            <w:r>
              <w:rPr>
                <w:rFonts w:hint="eastAsia" w:ascii="Times New Roman" w:hAnsi="Times New Roman" w:eastAsia="宋体" w:cs="Times New Roman"/>
                <w:b w:val="0"/>
                <w:bCs w:val="0"/>
                <w:color w:val="auto"/>
                <w:szCs w:val="21"/>
                <w:lang w:val="en-US" w:eastAsia="zh-CN"/>
              </w:rPr>
              <w:t>环函[2022]</w:t>
            </w:r>
            <w:r>
              <w:rPr>
                <w:rFonts w:hint="eastAsia" w:ascii="Times New Roman" w:hAnsi="Times New Roman" w:cs="Times New Roman"/>
                <w:b w:val="0"/>
                <w:bCs w:val="0"/>
                <w:color w:val="auto"/>
                <w:szCs w:val="21"/>
                <w:lang w:val="en-US" w:eastAsia="zh-CN"/>
              </w:rPr>
              <w:t>301</w:t>
            </w:r>
            <w:r>
              <w:rPr>
                <w:rFonts w:hint="eastAsia" w:ascii="Times New Roman" w:hAnsi="Times New Roman" w:eastAsia="宋体" w:cs="Times New Roman"/>
                <w:b w:val="0"/>
                <w:bCs w:val="0"/>
                <w:color w:val="auto"/>
                <w:szCs w:val="21"/>
                <w:lang w:val="en-US" w:eastAsia="zh-CN"/>
              </w:rPr>
              <w:t>号，2022年1</w:t>
            </w:r>
            <w:r>
              <w:rPr>
                <w:rFonts w:hint="eastAsia" w:ascii="Times New Roman" w:hAnsi="Times New Roman" w:cs="Times New Roman"/>
                <w:b w:val="0"/>
                <w:bCs w:val="0"/>
                <w:color w:val="auto"/>
                <w:szCs w:val="21"/>
                <w:lang w:val="en-US" w:eastAsia="zh-CN"/>
              </w:rPr>
              <w:t>2</w:t>
            </w:r>
            <w:r>
              <w:rPr>
                <w:rFonts w:hint="eastAsia" w:ascii="Times New Roman" w:hAnsi="Times New Roman" w:eastAsia="宋体" w:cs="Times New Roman"/>
                <w:b w:val="0"/>
                <w:bCs w:val="0"/>
                <w:color w:val="auto"/>
                <w:szCs w:val="21"/>
                <w:lang w:val="en-US" w:eastAsia="zh-CN"/>
              </w:rPr>
              <w:t>月</w:t>
            </w:r>
            <w:r>
              <w:rPr>
                <w:rFonts w:hint="eastAsia" w:ascii="Times New Roman" w:hAnsi="Times New Roman" w:cs="Times New Roman"/>
                <w:b w:val="0"/>
                <w:bCs w:val="0"/>
                <w:color w:val="auto"/>
                <w:szCs w:val="21"/>
                <w:lang w:val="en-US" w:eastAsia="zh-CN"/>
              </w:rPr>
              <w:t>20日。</w:t>
            </w:r>
          </w:p>
        </w:tc>
      </w:tr>
      <w:tr w14:paraId="44DEA1A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659" w:type="dxa"/>
            <w:vAlign w:val="center"/>
          </w:tcPr>
          <w:p w14:paraId="23B3106B">
            <w:pPr>
              <w:autoSpaceDE w:val="0"/>
              <w:autoSpaceDN w:val="0"/>
              <w:adjustRightInd w:val="0"/>
              <w:snapToGrid w:val="0"/>
              <w:jc w:val="center"/>
              <w:rPr>
                <w:kern w:val="0"/>
                <w:szCs w:val="21"/>
              </w:rPr>
            </w:pPr>
            <w:r>
              <w:rPr>
                <w:kern w:val="0"/>
                <w:szCs w:val="21"/>
              </w:rPr>
              <w:t>规划及规划环境影响评价符合性分析</w:t>
            </w:r>
          </w:p>
        </w:tc>
        <w:tc>
          <w:tcPr>
            <w:tcW w:w="7211" w:type="dxa"/>
            <w:gridSpan w:val="3"/>
            <w:vAlign w:val="center"/>
          </w:tcPr>
          <w:p w14:paraId="6B229613">
            <w:pPr>
              <w:pStyle w:val="77"/>
              <w:snapToGrid/>
              <w:ind w:firstLine="422"/>
              <w:rPr>
                <w:rFonts w:hint="eastAsia" w:ascii="Times New Roman" w:hAnsi="Times New Roman" w:eastAsia="宋体" w:cs="Times New Roman"/>
                <w:b/>
                <w:bCs/>
                <w:color w:val="auto"/>
                <w:szCs w:val="21"/>
                <w:lang w:val="en-US" w:eastAsia="zh-CN"/>
              </w:rPr>
            </w:pPr>
            <w:r>
              <w:rPr>
                <w:rFonts w:hint="eastAsia" w:ascii="Times New Roman" w:hAnsi="Times New Roman" w:eastAsia="宋体" w:cs="Times New Roman"/>
                <w:b/>
                <w:bCs/>
                <w:color w:val="auto"/>
                <w:szCs w:val="21"/>
                <w:lang w:val="en-US" w:eastAsia="zh-CN"/>
              </w:rPr>
              <w:t>1、项目与《大同经济技术开发区起步区控制性详细规划（现代服务产业园区）（2021-2035年）》符合性分析</w:t>
            </w:r>
          </w:p>
          <w:p w14:paraId="4202B275">
            <w:pPr>
              <w:pStyle w:val="77"/>
              <w:snapToGrid/>
              <w:ind w:firstLine="422"/>
              <w:jc w:val="both"/>
              <w:rPr>
                <w:rFonts w:hint="eastAsia" w:ascii="Times New Roman" w:hAnsi="Times New Roman" w:eastAsia="宋体" w:cs="Times New Roman"/>
                <w:b w:val="0"/>
                <w:bCs w:val="0"/>
                <w:color w:val="auto"/>
                <w:szCs w:val="21"/>
                <w:lang w:val="en-US" w:eastAsia="zh-CN"/>
              </w:rPr>
            </w:pPr>
            <w:r>
              <w:rPr>
                <w:rFonts w:hint="eastAsia" w:ascii="Times New Roman" w:hAnsi="Times New Roman" w:cs="Times New Roman"/>
                <w:b w:val="0"/>
                <w:bCs w:val="0"/>
                <w:color w:val="auto"/>
                <w:szCs w:val="21"/>
                <w:lang w:val="en-US" w:eastAsia="zh-CN"/>
              </w:rPr>
              <w:t>（1）</w:t>
            </w:r>
            <w:r>
              <w:rPr>
                <w:rFonts w:hint="eastAsia" w:ascii="Times New Roman" w:hAnsi="Times New Roman" w:eastAsia="宋体" w:cs="Times New Roman"/>
                <w:b w:val="0"/>
                <w:bCs w:val="0"/>
                <w:color w:val="auto"/>
                <w:szCs w:val="21"/>
                <w:lang w:val="en-US" w:eastAsia="zh-CN"/>
              </w:rPr>
              <w:t>大同经济技术开发区起步区控制性详细规划（现代服务产业园区）</w:t>
            </w:r>
          </w:p>
          <w:p w14:paraId="0360A912">
            <w:pPr>
              <w:pStyle w:val="77"/>
              <w:snapToGrid/>
              <w:ind w:firstLine="422"/>
              <w:jc w:val="both"/>
              <w:rPr>
                <w:rFonts w:hint="eastAsia" w:ascii="Times New Roman" w:hAnsi="Times New Roman" w:eastAsia="宋体" w:cs="Times New Roman"/>
                <w:b w:val="0"/>
                <w:bCs w:val="0"/>
                <w:color w:val="auto"/>
                <w:szCs w:val="21"/>
                <w:lang w:val="en-US" w:eastAsia="zh-CN"/>
              </w:rPr>
            </w:pPr>
            <w:r>
              <w:rPr>
                <w:rFonts w:hint="eastAsia" w:ascii="Times New Roman" w:hAnsi="Times New Roman" w:eastAsia="宋体" w:cs="Times New Roman"/>
                <w:b w:val="0"/>
                <w:bCs w:val="0"/>
                <w:color w:val="auto"/>
                <w:szCs w:val="21"/>
                <w:lang w:val="en-US" w:eastAsia="zh-CN"/>
              </w:rPr>
              <w:t>现代服务产业园区（以下简称“园区”）位于大同市</w:t>
            </w:r>
            <w:r>
              <w:rPr>
                <w:rFonts w:hint="eastAsia" w:ascii="Times New Roman" w:hAnsi="Times New Roman" w:cs="Times New Roman"/>
                <w:b w:val="0"/>
                <w:bCs w:val="0"/>
                <w:color w:val="auto"/>
                <w:szCs w:val="21"/>
                <w:lang w:val="en-US" w:eastAsia="zh-CN"/>
              </w:rPr>
              <w:t>经济技术开发区</w:t>
            </w:r>
            <w:r>
              <w:rPr>
                <w:rFonts w:hint="eastAsia" w:ascii="Times New Roman" w:hAnsi="Times New Roman" w:eastAsia="宋体" w:cs="Times New Roman"/>
                <w:b w:val="0"/>
                <w:bCs w:val="0"/>
                <w:color w:val="auto"/>
                <w:szCs w:val="21"/>
                <w:lang w:val="en-US" w:eastAsia="zh-CN"/>
              </w:rPr>
              <w:t>，规划范围西至柳莺路；东至大准铁路东侧绿化带；南至开源街北侧规划路；北至党校北侧规划路，规划总面积为</w:t>
            </w:r>
            <w:r>
              <w:rPr>
                <w:rFonts w:hint="default" w:ascii="Times New Roman" w:hAnsi="Times New Roman" w:eastAsia="宋体" w:cs="Times New Roman"/>
                <w:b w:val="0"/>
                <w:bCs w:val="0"/>
                <w:color w:val="auto"/>
                <w:szCs w:val="21"/>
                <w:lang w:val="en-US" w:eastAsia="zh-CN"/>
              </w:rPr>
              <w:t>7.2211km</w:t>
            </w:r>
            <w:r>
              <w:rPr>
                <w:rFonts w:hint="default" w:ascii="Times New Roman" w:hAnsi="Times New Roman" w:eastAsia="宋体" w:cs="Times New Roman"/>
                <w:b w:val="0"/>
                <w:bCs w:val="0"/>
                <w:color w:val="auto"/>
                <w:szCs w:val="21"/>
                <w:vertAlign w:val="superscript"/>
                <w:lang w:val="en-US" w:eastAsia="zh-CN"/>
              </w:rPr>
              <w:t>2</w:t>
            </w:r>
            <w:r>
              <w:rPr>
                <w:rFonts w:hint="eastAsia" w:ascii="Times New Roman" w:hAnsi="Times New Roman" w:eastAsia="宋体" w:cs="Times New Roman"/>
                <w:b w:val="0"/>
                <w:bCs w:val="0"/>
                <w:color w:val="auto"/>
                <w:szCs w:val="21"/>
                <w:lang w:val="en-US" w:eastAsia="zh-CN"/>
              </w:rPr>
              <w:t>。园区以建设成为晋冀蒙交汇区科创与生产服务的新引擎、高质量发展的国际合作园区、文瀛湖畔休闲水岸和美好生活示范区为目标。</w:t>
            </w:r>
          </w:p>
          <w:p w14:paraId="7B95AC7A">
            <w:pPr>
              <w:pStyle w:val="77"/>
              <w:snapToGrid/>
              <w:ind w:firstLine="422"/>
              <w:jc w:val="both"/>
              <w:rPr>
                <w:rFonts w:hint="eastAsia" w:ascii="Times New Roman" w:hAnsi="Times New Roman" w:eastAsia="宋体" w:cs="Times New Roman"/>
                <w:b w:val="0"/>
                <w:bCs w:val="0"/>
                <w:color w:val="auto"/>
                <w:szCs w:val="21"/>
                <w:lang w:val="en-US" w:eastAsia="zh-CN"/>
              </w:rPr>
            </w:pPr>
            <w:r>
              <w:rPr>
                <w:rFonts w:hint="eastAsia" w:ascii="Times New Roman" w:hAnsi="Times New Roman" w:eastAsia="宋体" w:cs="Times New Roman"/>
                <w:b w:val="0"/>
                <w:bCs w:val="0"/>
                <w:color w:val="auto"/>
                <w:szCs w:val="21"/>
                <w:lang w:val="en-US" w:eastAsia="zh-CN"/>
              </w:rPr>
              <w:t>本项目位于</w:t>
            </w:r>
            <w:r>
              <w:rPr>
                <w:rFonts w:hint="eastAsia" w:ascii="Times New Roman" w:hAnsi="Times New Roman" w:cs="Times New Roman"/>
                <w:b w:val="0"/>
                <w:bCs w:val="0"/>
                <w:color w:val="auto"/>
                <w:szCs w:val="21"/>
                <w:lang w:val="en-US" w:eastAsia="zh-CN"/>
              </w:rPr>
              <w:t>山西省大同市开发区南环东路樊庄家园小区西侧0.18km处</w:t>
            </w:r>
            <w:r>
              <w:rPr>
                <w:rFonts w:hint="eastAsia" w:ascii="Times New Roman" w:hAnsi="Times New Roman" w:eastAsia="宋体" w:cs="Times New Roman"/>
                <w:b w:val="0"/>
                <w:bCs w:val="0"/>
                <w:color w:val="auto"/>
                <w:szCs w:val="21"/>
                <w:lang w:val="en-US" w:eastAsia="zh-CN"/>
              </w:rPr>
              <w:t>，占地属于现代服务产业园区范围。</w:t>
            </w:r>
          </w:p>
          <w:p w14:paraId="0C082A89">
            <w:pPr>
              <w:pStyle w:val="77"/>
              <w:snapToGrid/>
              <w:ind w:firstLine="422"/>
              <w:jc w:val="both"/>
              <w:rPr>
                <w:rFonts w:hint="eastAsia" w:ascii="Times New Roman" w:hAnsi="Times New Roman" w:eastAsia="宋体" w:cs="Times New Roman"/>
                <w:b w:val="0"/>
                <w:bCs w:val="0"/>
                <w:color w:val="auto"/>
                <w:szCs w:val="21"/>
                <w:lang w:val="en-US" w:eastAsia="zh-CN"/>
              </w:rPr>
            </w:pPr>
            <w:r>
              <w:rPr>
                <w:rFonts w:hint="eastAsia" w:ascii="Times New Roman" w:hAnsi="Times New Roman" w:eastAsia="宋体" w:cs="Times New Roman"/>
                <w:b w:val="0"/>
                <w:bCs w:val="0"/>
                <w:color w:val="auto"/>
                <w:szCs w:val="21"/>
                <w:lang w:val="en-US" w:eastAsia="zh-CN"/>
              </w:rPr>
              <w:t>本次评价从园区产业定位、结构、布局和</w:t>
            </w:r>
            <w:r>
              <w:rPr>
                <w:rFonts w:hint="eastAsia" w:ascii="Times New Roman" w:hAnsi="Times New Roman" w:cs="Times New Roman"/>
                <w:b w:val="0"/>
                <w:bCs w:val="0"/>
                <w:color w:val="auto"/>
                <w:szCs w:val="21"/>
                <w:lang w:val="en-US" w:eastAsia="zh-CN"/>
              </w:rPr>
              <w:t>用地布局</w:t>
            </w:r>
            <w:r>
              <w:rPr>
                <w:rFonts w:hint="eastAsia" w:ascii="Times New Roman" w:hAnsi="Times New Roman" w:eastAsia="宋体" w:cs="Times New Roman"/>
                <w:b w:val="0"/>
                <w:bCs w:val="0"/>
                <w:color w:val="auto"/>
                <w:szCs w:val="21"/>
                <w:lang w:val="en-US" w:eastAsia="zh-CN"/>
              </w:rPr>
              <w:t>等方面分析本项目与花园屯新材料产业园的符合性，详见表1-1。</w:t>
            </w:r>
          </w:p>
          <w:p w14:paraId="5922D82A">
            <w:pPr>
              <w:pStyle w:val="215"/>
              <w:spacing w:line="240" w:lineRule="auto"/>
              <w:ind w:firstLine="0" w:firstLineChars="0"/>
              <w:jc w:val="center"/>
              <w:rPr>
                <w:b/>
                <w:bCs/>
                <w:color w:val="auto"/>
                <w:sz w:val="21"/>
                <w:highlight w:val="none"/>
              </w:rPr>
            </w:pPr>
            <w:r>
              <w:rPr>
                <w:rFonts w:hint="default" w:ascii="Times New Roman" w:hAnsi="Times New Roman" w:cs="Times New Roman"/>
                <w:b/>
                <w:bCs/>
                <w:color w:val="auto"/>
                <w:sz w:val="18"/>
                <w:szCs w:val="18"/>
                <w:highlight w:val="none"/>
              </w:rPr>
              <w:t>表1-1  本项目与</w:t>
            </w:r>
            <w:r>
              <w:rPr>
                <w:rFonts w:hint="eastAsia" w:ascii="Times New Roman" w:hAnsi="Times New Roman" w:cs="Times New Roman"/>
                <w:b/>
                <w:bCs/>
                <w:color w:val="auto"/>
                <w:sz w:val="18"/>
                <w:szCs w:val="18"/>
                <w:highlight w:val="none"/>
                <w:lang w:val="en-US" w:eastAsia="zh-CN"/>
              </w:rPr>
              <w:t>现代服务产业园区</w:t>
            </w:r>
            <w:r>
              <w:rPr>
                <w:rFonts w:hint="default" w:ascii="Times New Roman" w:hAnsi="Times New Roman" w:cs="Times New Roman"/>
                <w:b/>
                <w:bCs/>
                <w:color w:val="auto"/>
                <w:sz w:val="18"/>
                <w:szCs w:val="18"/>
                <w:highlight w:val="none"/>
              </w:rPr>
              <w:t>规划的符合性分析</w:t>
            </w:r>
          </w:p>
          <w:tbl>
            <w:tblPr>
              <w:tblStyle w:val="48"/>
              <w:tblW w:w="5000" w:type="pct"/>
              <w:tblInd w:w="-11"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552"/>
              <w:gridCol w:w="3412"/>
              <w:gridCol w:w="2182"/>
              <w:gridCol w:w="819"/>
            </w:tblGrid>
            <w:tr w14:paraId="73CD146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52" w:type="dxa"/>
                  <w:tcBorders>
                    <w:tl2br w:val="nil"/>
                    <w:tr2bl w:val="nil"/>
                  </w:tcBorders>
                  <w:vAlign w:val="center"/>
                </w:tcPr>
                <w:p w14:paraId="4F1CD47C">
                  <w:pPr>
                    <w:spacing w:line="240" w:lineRule="auto"/>
                    <w:ind w:firstLine="0" w:firstLineChars="0"/>
                    <w:jc w:val="center"/>
                    <w:rPr>
                      <w:rFonts w:hint="default" w:ascii="Times New Roman" w:hAnsi="Times New Roman" w:cs="Times New Roman" w:eastAsiaTheme="minorEastAsia"/>
                      <w:b w:val="0"/>
                      <w:bCs w:val="0"/>
                      <w:color w:val="auto"/>
                      <w:sz w:val="18"/>
                      <w:szCs w:val="18"/>
                      <w:highlight w:val="none"/>
                    </w:rPr>
                  </w:pPr>
                  <w:r>
                    <w:rPr>
                      <w:rFonts w:hint="default" w:ascii="Times New Roman" w:hAnsi="Times New Roman" w:cs="Times New Roman" w:eastAsiaTheme="minorEastAsia"/>
                      <w:b w:val="0"/>
                      <w:bCs w:val="0"/>
                      <w:color w:val="auto"/>
                      <w:sz w:val="18"/>
                      <w:szCs w:val="18"/>
                      <w:highlight w:val="none"/>
                    </w:rPr>
                    <w:t>类别</w:t>
                  </w:r>
                </w:p>
              </w:tc>
              <w:tc>
                <w:tcPr>
                  <w:tcW w:w="3412" w:type="dxa"/>
                  <w:tcBorders>
                    <w:tl2br w:val="nil"/>
                    <w:tr2bl w:val="nil"/>
                  </w:tcBorders>
                  <w:vAlign w:val="center"/>
                </w:tcPr>
                <w:p w14:paraId="4EF9F2C6">
                  <w:pPr>
                    <w:spacing w:line="240" w:lineRule="auto"/>
                    <w:ind w:firstLine="0" w:firstLineChars="0"/>
                    <w:jc w:val="center"/>
                    <w:rPr>
                      <w:rFonts w:hint="default" w:ascii="Times New Roman" w:hAnsi="Times New Roman" w:cs="Times New Roman" w:eastAsiaTheme="minorEastAsia"/>
                      <w:b w:val="0"/>
                      <w:bCs w:val="0"/>
                      <w:color w:val="auto"/>
                      <w:sz w:val="18"/>
                      <w:szCs w:val="18"/>
                      <w:highlight w:val="none"/>
                    </w:rPr>
                  </w:pPr>
                  <w:r>
                    <w:rPr>
                      <w:rFonts w:hint="default" w:ascii="Times New Roman" w:hAnsi="Times New Roman" w:cs="Times New Roman" w:eastAsiaTheme="minorEastAsia"/>
                      <w:b w:val="0"/>
                      <w:bCs w:val="0"/>
                      <w:color w:val="auto"/>
                      <w:sz w:val="18"/>
                      <w:szCs w:val="18"/>
                      <w:highlight w:val="none"/>
                    </w:rPr>
                    <w:t>规划内容</w:t>
                  </w:r>
                </w:p>
              </w:tc>
              <w:tc>
                <w:tcPr>
                  <w:tcW w:w="2182" w:type="dxa"/>
                  <w:tcBorders>
                    <w:tl2br w:val="nil"/>
                    <w:tr2bl w:val="nil"/>
                  </w:tcBorders>
                  <w:vAlign w:val="center"/>
                </w:tcPr>
                <w:p w14:paraId="5C347B0B">
                  <w:pPr>
                    <w:spacing w:line="240" w:lineRule="auto"/>
                    <w:ind w:firstLine="0" w:firstLineChars="0"/>
                    <w:jc w:val="center"/>
                    <w:rPr>
                      <w:rFonts w:hint="default" w:ascii="Times New Roman" w:hAnsi="Times New Roman" w:cs="Times New Roman" w:eastAsiaTheme="minorEastAsia"/>
                      <w:b w:val="0"/>
                      <w:bCs w:val="0"/>
                      <w:color w:val="auto"/>
                      <w:sz w:val="18"/>
                      <w:szCs w:val="18"/>
                      <w:highlight w:val="none"/>
                    </w:rPr>
                  </w:pPr>
                  <w:r>
                    <w:rPr>
                      <w:rFonts w:hint="default" w:ascii="Times New Roman" w:hAnsi="Times New Roman" w:cs="Times New Roman" w:eastAsiaTheme="minorEastAsia"/>
                      <w:b w:val="0"/>
                      <w:bCs w:val="0"/>
                      <w:color w:val="auto"/>
                      <w:sz w:val="18"/>
                      <w:szCs w:val="18"/>
                      <w:highlight w:val="none"/>
                    </w:rPr>
                    <w:t>项目情况</w:t>
                  </w:r>
                </w:p>
              </w:tc>
              <w:tc>
                <w:tcPr>
                  <w:tcW w:w="819" w:type="dxa"/>
                  <w:tcBorders>
                    <w:tl2br w:val="nil"/>
                    <w:tr2bl w:val="nil"/>
                  </w:tcBorders>
                  <w:vAlign w:val="center"/>
                </w:tcPr>
                <w:p w14:paraId="0DCD1CE0">
                  <w:pPr>
                    <w:spacing w:line="240" w:lineRule="auto"/>
                    <w:ind w:firstLine="0" w:firstLineChars="0"/>
                    <w:jc w:val="center"/>
                    <w:rPr>
                      <w:rFonts w:hint="default" w:ascii="Times New Roman" w:hAnsi="Times New Roman" w:cs="Times New Roman" w:eastAsiaTheme="minorEastAsia"/>
                      <w:b w:val="0"/>
                      <w:bCs w:val="0"/>
                      <w:color w:val="auto"/>
                      <w:sz w:val="18"/>
                      <w:szCs w:val="18"/>
                      <w:highlight w:val="none"/>
                    </w:rPr>
                  </w:pPr>
                  <w:r>
                    <w:rPr>
                      <w:rFonts w:hint="default" w:ascii="Times New Roman" w:hAnsi="Times New Roman" w:cs="Times New Roman" w:eastAsiaTheme="minorEastAsia"/>
                      <w:b w:val="0"/>
                      <w:bCs w:val="0"/>
                      <w:color w:val="auto"/>
                      <w:sz w:val="18"/>
                      <w:szCs w:val="18"/>
                      <w:highlight w:val="none"/>
                    </w:rPr>
                    <w:t>符合性</w:t>
                  </w:r>
                </w:p>
              </w:tc>
            </w:tr>
            <w:tr w14:paraId="041276C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52" w:type="dxa"/>
                  <w:tcBorders>
                    <w:tl2br w:val="nil"/>
                    <w:tr2bl w:val="nil"/>
                  </w:tcBorders>
                  <w:vAlign w:val="center"/>
                </w:tcPr>
                <w:p w14:paraId="4248DF2C">
                  <w:pPr>
                    <w:spacing w:line="240" w:lineRule="auto"/>
                    <w:ind w:firstLine="0" w:firstLineChars="0"/>
                    <w:jc w:val="center"/>
                    <w:rPr>
                      <w:rFonts w:hint="default" w:ascii="Times New Roman" w:hAnsi="Times New Roman" w:cs="Times New Roman" w:eastAsiaTheme="minorEastAsia"/>
                      <w:b w:val="0"/>
                      <w:bCs w:val="0"/>
                      <w:color w:val="auto"/>
                      <w:sz w:val="18"/>
                      <w:szCs w:val="18"/>
                      <w:highlight w:val="none"/>
                    </w:rPr>
                  </w:pPr>
                  <w:r>
                    <w:rPr>
                      <w:rFonts w:hint="default" w:ascii="Times New Roman" w:hAnsi="Times New Roman" w:cs="Times New Roman" w:eastAsiaTheme="minorEastAsia"/>
                      <w:b w:val="0"/>
                      <w:bCs w:val="0"/>
                      <w:color w:val="auto"/>
                      <w:sz w:val="18"/>
                      <w:szCs w:val="18"/>
                      <w:highlight w:val="none"/>
                    </w:rPr>
                    <w:t>规划范围</w:t>
                  </w:r>
                </w:p>
              </w:tc>
              <w:tc>
                <w:tcPr>
                  <w:tcW w:w="3412" w:type="dxa"/>
                  <w:tcBorders>
                    <w:tl2br w:val="nil"/>
                    <w:tr2bl w:val="nil"/>
                  </w:tcBorders>
                  <w:vAlign w:val="center"/>
                </w:tcPr>
                <w:p w14:paraId="009F99FF">
                  <w:pPr>
                    <w:adjustRightInd w:val="0"/>
                    <w:snapToGrid w:val="0"/>
                    <w:spacing w:line="240" w:lineRule="auto"/>
                    <w:ind w:firstLine="180" w:firstLineChars="100"/>
                    <w:jc w:val="both"/>
                    <w:rPr>
                      <w:rFonts w:hint="eastAsia" w:ascii="Times New Roman" w:hAnsi="Times New Roman" w:cs="Times New Roman" w:eastAsiaTheme="minorEastAsia"/>
                      <w:b w:val="0"/>
                      <w:bCs w:val="0"/>
                      <w:color w:val="auto"/>
                      <w:sz w:val="18"/>
                      <w:szCs w:val="18"/>
                      <w:highlight w:val="none"/>
                      <w:lang w:val="en-US" w:eastAsia="zh-CN"/>
                    </w:rPr>
                  </w:pPr>
                  <w:r>
                    <w:rPr>
                      <w:rFonts w:hint="eastAsia" w:ascii="Times New Roman" w:hAnsi="Times New Roman" w:cs="Times New Roman" w:eastAsiaTheme="minorEastAsia"/>
                      <w:b w:val="0"/>
                      <w:bCs w:val="0"/>
                      <w:color w:val="auto"/>
                      <w:sz w:val="18"/>
                      <w:szCs w:val="18"/>
                      <w:highlight w:val="none"/>
                      <w:lang w:val="en-US" w:eastAsia="zh-CN"/>
                    </w:rPr>
                    <w:t>园区规划范围西至柳莺路，东至大准铁路东侧绿化带，南至开源街北侧规划路，北至党校北侧规划路，总面积</w:t>
                  </w:r>
                  <w:r>
                    <w:rPr>
                      <w:rFonts w:hint="default" w:ascii="Times New Roman" w:hAnsi="Times New Roman" w:cs="Times New Roman" w:eastAsiaTheme="minorEastAsia"/>
                      <w:b w:val="0"/>
                      <w:bCs w:val="0"/>
                      <w:color w:val="auto"/>
                      <w:sz w:val="18"/>
                      <w:szCs w:val="18"/>
                      <w:highlight w:val="none"/>
                      <w:lang w:val="en-US" w:eastAsia="zh-CN"/>
                    </w:rPr>
                    <w:t>7.2211km</w:t>
                  </w:r>
                  <w:r>
                    <w:rPr>
                      <w:rFonts w:hint="default" w:ascii="Times New Roman" w:hAnsi="Times New Roman" w:cs="Times New Roman" w:eastAsiaTheme="minorEastAsia"/>
                      <w:b w:val="0"/>
                      <w:bCs w:val="0"/>
                      <w:color w:val="auto"/>
                      <w:sz w:val="18"/>
                      <w:szCs w:val="18"/>
                      <w:highlight w:val="none"/>
                      <w:vertAlign w:val="superscript"/>
                      <w:lang w:val="en-US" w:eastAsia="zh-CN"/>
                    </w:rPr>
                    <w:t>2</w:t>
                  </w:r>
                  <w:r>
                    <w:rPr>
                      <w:rFonts w:hint="eastAsia" w:ascii="Times New Roman" w:hAnsi="Times New Roman" w:cs="Times New Roman" w:eastAsiaTheme="minorEastAsia"/>
                      <w:b w:val="0"/>
                      <w:bCs w:val="0"/>
                      <w:color w:val="auto"/>
                      <w:sz w:val="18"/>
                      <w:szCs w:val="18"/>
                      <w:highlight w:val="none"/>
                      <w:lang w:val="en-US" w:eastAsia="zh-CN"/>
                    </w:rPr>
                    <w:t>。</w:t>
                  </w:r>
                </w:p>
                <w:p w14:paraId="46C29335">
                  <w:pPr>
                    <w:adjustRightInd w:val="0"/>
                    <w:snapToGrid w:val="0"/>
                    <w:spacing w:line="240" w:lineRule="auto"/>
                    <w:ind w:firstLine="180" w:firstLineChars="100"/>
                    <w:jc w:val="both"/>
                    <w:rPr>
                      <w:rFonts w:hint="default" w:ascii="Times New Roman" w:hAnsi="Times New Roman" w:cs="Times New Roman" w:eastAsiaTheme="minorEastAsia"/>
                      <w:b w:val="0"/>
                      <w:bCs w:val="0"/>
                      <w:color w:val="auto"/>
                      <w:sz w:val="18"/>
                      <w:szCs w:val="18"/>
                      <w:highlight w:val="none"/>
                      <w:lang w:val="en-US" w:eastAsia="zh-CN"/>
                    </w:rPr>
                  </w:pPr>
                  <w:r>
                    <w:rPr>
                      <w:rFonts w:hint="eastAsia" w:ascii="Times New Roman" w:hAnsi="Times New Roman" w:cs="Times New Roman" w:eastAsiaTheme="minorEastAsia"/>
                      <w:b w:val="0"/>
                      <w:bCs w:val="0"/>
                      <w:color w:val="auto"/>
                      <w:sz w:val="18"/>
                      <w:szCs w:val="18"/>
                      <w:highlight w:val="none"/>
                      <w:lang w:val="en-US" w:eastAsia="zh-CN"/>
                    </w:rPr>
                    <w:t>通过与正在编制的《大同市国土空间总体规划（</w:t>
                  </w:r>
                  <w:r>
                    <w:rPr>
                      <w:rFonts w:hint="default" w:ascii="Times New Roman" w:hAnsi="Times New Roman" w:cs="Times New Roman" w:eastAsiaTheme="minorEastAsia"/>
                      <w:b w:val="0"/>
                      <w:bCs w:val="0"/>
                      <w:color w:val="auto"/>
                      <w:sz w:val="18"/>
                      <w:szCs w:val="18"/>
                      <w:highlight w:val="none"/>
                      <w:lang w:val="en-US" w:eastAsia="zh-CN"/>
                    </w:rPr>
                    <w:t>2021-2035</w:t>
                  </w:r>
                  <w:r>
                    <w:rPr>
                      <w:rFonts w:hint="eastAsia" w:ascii="Times New Roman" w:hAnsi="Times New Roman" w:cs="Times New Roman" w:eastAsiaTheme="minorEastAsia"/>
                      <w:b w:val="0"/>
                      <w:bCs w:val="0"/>
                      <w:color w:val="auto"/>
                      <w:sz w:val="18"/>
                      <w:szCs w:val="18"/>
                      <w:highlight w:val="none"/>
                      <w:lang w:val="en-US" w:eastAsia="zh-CN"/>
                    </w:rPr>
                    <w:t xml:space="preserve">）》的“三区三线”成果进行对比分析可知，园区规划范围与“三区三线”重叠面积为 </w:t>
                  </w:r>
                  <w:r>
                    <w:rPr>
                      <w:rFonts w:hint="default" w:ascii="Times New Roman" w:hAnsi="Times New Roman" w:cs="Times New Roman" w:eastAsiaTheme="minorEastAsia"/>
                      <w:b w:val="0"/>
                      <w:bCs w:val="0"/>
                      <w:color w:val="auto"/>
                      <w:sz w:val="18"/>
                      <w:szCs w:val="18"/>
                      <w:highlight w:val="none"/>
                      <w:lang w:val="en-US" w:eastAsia="zh-CN"/>
                    </w:rPr>
                    <w:t>5.71km</w:t>
                  </w:r>
                  <w:r>
                    <w:rPr>
                      <w:rFonts w:hint="default" w:ascii="Times New Roman" w:hAnsi="Times New Roman" w:cs="Times New Roman" w:eastAsiaTheme="minorEastAsia"/>
                      <w:b w:val="0"/>
                      <w:bCs w:val="0"/>
                      <w:color w:val="auto"/>
                      <w:sz w:val="18"/>
                      <w:szCs w:val="18"/>
                      <w:highlight w:val="none"/>
                      <w:vertAlign w:val="superscript"/>
                      <w:lang w:val="en-US" w:eastAsia="zh-CN"/>
                    </w:rPr>
                    <w:t>2</w:t>
                  </w:r>
                  <w:r>
                    <w:rPr>
                      <w:rFonts w:hint="eastAsia" w:ascii="Times New Roman" w:hAnsi="Times New Roman" w:cs="Times New Roman" w:eastAsiaTheme="minorEastAsia"/>
                      <w:b w:val="0"/>
                      <w:bCs w:val="0"/>
                      <w:color w:val="auto"/>
                      <w:sz w:val="18"/>
                      <w:szCs w:val="18"/>
                      <w:highlight w:val="none"/>
                      <w:lang w:val="en-US" w:eastAsia="zh-CN"/>
                    </w:rPr>
                    <w:t xml:space="preserve">，不重叠面积为 </w:t>
                  </w:r>
                  <w:r>
                    <w:rPr>
                      <w:rFonts w:hint="default" w:ascii="Times New Roman" w:hAnsi="Times New Roman" w:cs="Times New Roman" w:eastAsiaTheme="minorEastAsia"/>
                      <w:b w:val="0"/>
                      <w:bCs w:val="0"/>
                      <w:color w:val="auto"/>
                      <w:sz w:val="18"/>
                      <w:szCs w:val="18"/>
                      <w:highlight w:val="none"/>
                      <w:lang w:val="en-US" w:eastAsia="zh-CN"/>
                    </w:rPr>
                    <w:t>1.5111km</w:t>
                  </w:r>
                  <w:r>
                    <w:rPr>
                      <w:rFonts w:hint="default" w:ascii="Times New Roman" w:hAnsi="Times New Roman" w:cs="Times New Roman" w:eastAsiaTheme="minorEastAsia"/>
                      <w:b w:val="0"/>
                      <w:bCs w:val="0"/>
                      <w:color w:val="auto"/>
                      <w:sz w:val="18"/>
                      <w:szCs w:val="18"/>
                      <w:highlight w:val="none"/>
                      <w:vertAlign w:val="superscript"/>
                      <w:lang w:val="en-US" w:eastAsia="zh-CN"/>
                    </w:rPr>
                    <w:t>2</w:t>
                  </w:r>
                  <w:r>
                    <w:rPr>
                      <w:rFonts w:hint="eastAsia" w:ascii="Times New Roman" w:hAnsi="Times New Roman" w:cs="Times New Roman" w:eastAsiaTheme="minorEastAsia"/>
                      <w:b w:val="0"/>
                      <w:bCs w:val="0"/>
                      <w:color w:val="auto"/>
                      <w:sz w:val="18"/>
                      <w:szCs w:val="18"/>
                      <w:highlight w:val="none"/>
                      <w:lang w:val="en-US" w:eastAsia="zh-CN"/>
                    </w:rPr>
                    <w:t>。园区发展不能突破正在编制的《大同市国土空间总体规划（</w:t>
                  </w:r>
                  <w:r>
                    <w:rPr>
                      <w:rFonts w:hint="default" w:ascii="Times New Roman" w:hAnsi="Times New Roman" w:cs="Times New Roman" w:eastAsiaTheme="minorEastAsia"/>
                      <w:b w:val="0"/>
                      <w:bCs w:val="0"/>
                      <w:color w:val="auto"/>
                      <w:sz w:val="18"/>
                      <w:szCs w:val="18"/>
                      <w:highlight w:val="none"/>
                      <w:lang w:val="en-US" w:eastAsia="zh-CN"/>
                    </w:rPr>
                    <w:t>2021-2035</w:t>
                  </w:r>
                  <w:r>
                    <w:rPr>
                      <w:rFonts w:hint="eastAsia" w:ascii="Times New Roman" w:hAnsi="Times New Roman" w:cs="Times New Roman" w:eastAsiaTheme="minorEastAsia"/>
                      <w:b w:val="0"/>
                      <w:bCs w:val="0"/>
                      <w:color w:val="auto"/>
                      <w:sz w:val="18"/>
                      <w:szCs w:val="18"/>
                      <w:highlight w:val="none"/>
                      <w:lang w:val="en-US" w:eastAsia="zh-CN"/>
                    </w:rPr>
                    <w:t>）》中的规定范围，因此园区将重叠部分作为可开发范围，将不重叠部分作为不可开发范围，不可开发范围保持现状，严禁开发。</w:t>
                  </w:r>
                </w:p>
              </w:tc>
              <w:tc>
                <w:tcPr>
                  <w:tcW w:w="2182" w:type="dxa"/>
                  <w:tcBorders>
                    <w:tl2br w:val="nil"/>
                    <w:tr2bl w:val="nil"/>
                  </w:tcBorders>
                  <w:vAlign w:val="center"/>
                </w:tcPr>
                <w:p w14:paraId="09724A13">
                  <w:pPr>
                    <w:adjustRightInd w:val="0"/>
                    <w:snapToGrid w:val="0"/>
                    <w:spacing w:line="240" w:lineRule="auto"/>
                    <w:ind w:firstLine="180" w:firstLineChars="100"/>
                    <w:jc w:val="both"/>
                    <w:rPr>
                      <w:rFonts w:hint="default" w:ascii="Times New Roman" w:hAnsi="Times New Roman" w:cs="Times New Roman" w:eastAsiaTheme="minorEastAsia"/>
                      <w:b w:val="0"/>
                      <w:bCs w:val="0"/>
                      <w:color w:val="auto"/>
                      <w:sz w:val="18"/>
                      <w:szCs w:val="18"/>
                      <w:highlight w:val="none"/>
                      <w:vertAlign w:val="baseline"/>
                      <w:lang w:val="en-US" w:eastAsia="zh-CN"/>
                    </w:rPr>
                  </w:pPr>
                  <w:r>
                    <w:rPr>
                      <w:rFonts w:hint="default" w:ascii="Times New Roman" w:hAnsi="Times New Roman" w:cs="Times New Roman" w:eastAsiaTheme="minorEastAsia"/>
                      <w:b w:val="0"/>
                      <w:bCs w:val="0"/>
                      <w:color w:val="auto"/>
                      <w:sz w:val="18"/>
                      <w:szCs w:val="18"/>
                      <w:highlight w:val="none"/>
                    </w:rPr>
                    <w:t>项目位于</w:t>
                  </w:r>
                  <w:r>
                    <w:rPr>
                      <w:rFonts w:hint="eastAsia" w:cs="Times New Roman" w:eastAsiaTheme="minorEastAsia"/>
                      <w:b w:val="0"/>
                      <w:bCs w:val="0"/>
                      <w:color w:val="auto"/>
                      <w:sz w:val="18"/>
                      <w:szCs w:val="18"/>
                      <w:highlight w:val="none"/>
                      <w:lang w:eastAsia="zh-CN"/>
                    </w:rPr>
                    <w:t>山西省大同市开发区南环东路樊庄家园小区西侧0.18km处</w:t>
                  </w:r>
                  <w:r>
                    <w:rPr>
                      <w:rFonts w:hint="default" w:ascii="Times New Roman" w:hAnsi="Times New Roman" w:cs="Times New Roman" w:eastAsiaTheme="minorEastAsia"/>
                      <w:b w:val="0"/>
                      <w:bCs w:val="0"/>
                      <w:color w:val="auto"/>
                      <w:sz w:val="18"/>
                      <w:szCs w:val="18"/>
                      <w:highlight w:val="none"/>
                    </w:rPr>
                    <w:t>，位于规划区内，占地面积</w:t>
                  </w:r>
                  <w:r>
                    <w:rPr>
                      <w:rFonts w:hint="eastAsia" w:cs="Times New Roman" w:eastAsiaTheme="minorEastAsia"/>
                      <w:b w:val="0"/>
                      <w:bCs w:val="0"/>
                      <w:color w:val="auto"/>
                      <w:sz w:val="18"/>
                      <w:szCs w:val="18"/>
                      <w:highlight w:val="none"/>
                      <w:lang w:val="en-US" w:eastAsia="zh-CN"/>
                    </w:rPr>
                    <w:t>40424</w:t>
                  </w:r>
                  <w:r>
                    <w:rPr>
                      <w:rFonts w:hint="default" w:ascii="Times New Roman" w:hAnsi="Times New Roman" w:cs="Times New Roman" w:eastAsiaTheme="minorEastAsia"/>
                      <w:b w:val="0"/>
                      <w:bCs w:val="0"/>
                      <w:color w:val="auto"/>
                      <w:sz w:val="18"/>
                      <w:szCs w:val="18"/>
                      <w:highlight w:val="none"/>
                    </w:rPr>
                    <w:t>m</w:t>
                  </w:r>
                  <w:r>
                    <w:rPr>
                      <w:rFonts w:hint="default" w:ascii="Times New Roman" w:hAnsi="Times New Roman" w:cs="Times New Roman" w:eastAsiaTheme="minorEastAsia"/>
                      <w:b w:val="0"/>
                      <w:bCs w:val="0"/>
                      <w:color w:val="auto"/>
                      <w:sz w:val="18"/>
                      <w:szCs w:val="18"/>
                      <w:highlight w:val="none"/>
                      <w:vertAlign w:val="superscript"/>
                    </w:rPr>
                    <w:t>2</w:t>
                  </w:r>
                  <w:r>
                    <w:rPr>
                      <w:rFonts w:hint="eastAsia" w:cs="Times New Roman" w:eastAsiaTheme="minorEastAsia"/>
                      <w:b w:val="0"/>
                      <w:bCs w:val="0"/>
                      <w:color w:val="auto"/>
                      <w:sz w:val="18"/>
                      <w:szCs w:val="18"/>
                      <w:highlight w:val="none"/>
                      <w:vertAlign w:val="baseline"/>
                      <w:lang w:eastAsia="zh-CN"/>
                    </w:rPr>
                    <w:t>，</w:t>
                  </w:r>
                  <w:r>
                    <w:rPr>
                      <w:rFonts w:hint="eastAsia" w:cs="Times New Roman" w:eastAsiaTheme="minorEastAsia"/>
                      <w:b w:val="0"/>
                      <w:bCs w:val="0"/>
                      <w:color w:val="auto"/>
                      <w:sz w:val="18"/>
                      <w:szCs w:val="18"/>
                      <w:highlight w:val="none"/>
                      <w:vertAlign w:val="baseline"/>
                      <w:lang w:val="en-US" w:eastAsia="zh-CN"/>
                    </w:rPr>
                    <w:t>且占地不属于不可开发范围内，项目与园区规划范围、可开发区、不可开发区位置关系见附图6。</w:t>
                  </w:r>
                </w:p>
                <w:p w14:paraId="31406C00">
                  <w:pPr>
                    <w:spacing w:line="240" w:lineRule="auto"/>
                    <w:ind w:firstLine="180" w:firstLineChars="100"/>
                    <w:jc w:val="both"/>
                    <w:rPr>
                      <w:rFonts w:hint="default" w:ascii="Times New Roman" w:hAnsi="Times New Roman" w:cs="Times New Roman" w:eastAsiaTheme="minorEastAsia"/>
                      <w:b w:val="0"/>
                      <w:bCs w:val="0"/>
                      <w:color w:val="auto"/>
                      <w:sz w:val="18"/>
                      <w:szCs w:val="18"/>
                      <w:highlight w:val="none"/>
                    </w:rPr>
                  </w:pPr>
                </w:p>
              </w:tc>
              <w:tc>
                <w:tcPr>
                  <w:tcW w:w="819" w:type="dxa"/>
                  <w:tcBorders>
                    <w:tl2br w:val="nil"/>
                    <w:tr2bl w:val="nil"/>
                  </w:tcBorders>
                  <w:vAlign w:val="center"/>
                </w:tcPr>
                <w:p w14:paraId="560C17E2">
                  <w:pPr>
                    <w:spacing w:line="240" w:lineRule="auto"/>
                    <w:ind w:firstLine="0" w:firstLineChars="0"/>
                    <w:jc w:val="center"/>
                    <w:rPr>
                      <w:rFonts w:hint="default" w:ascii="Times New Roman" w:hAnsi="Times New Roman" w:cs="Times New Roman" w:eastAsiaTheme="minorEastAsia"/>
                      <w:b w:val="0"/>
                      <w:bCs w:val="0"/>
                      <w:color w:val="auto"/>
                      <w:sz w:val="18"/>
                      <w:szCs w:val="18"/>
                      <w:highlight w:val="none"/>
                    </w:rPr>
                  </w:pPr>
                  <w:r>
                    <w:rPr>
                      <w:rFonts w:hint="default" w:ascii="Times New Roman" w:hAnsi="Times New Roman" w:cs="Times New Roman" w:eastAsiaTheme="minorEastAsia"/>
                      <w:b w:val="0"/>
                      <w:bCs w:val="0"/>
                      <w:color w:val="auto"/>
                      <w:sz w:val="18"/>
                      <w:szCs w:val="18"/>
                      <w:highlight w:val="none"/>
                    </w:rPr>
                    <w:t>符合</w:t>
                  </w:r>
                </w:p>
              </w:tc>
            </w:tr>
            <w:tr w14:paraId="2D98321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52" w:type="dxa"/>
                  <w:tcBorders>
                    <w:tl2br w:val="nil"/>
                    <w:tr2bl w:val="nil"/>
                  </w:tcBorders>
                  <w:vAlign w:val="center"/>
                </w:tcPr>
                <w:p w14:paraId="41B7EABD">
                  <w:pPr>
                    <w:spacing w:line="240" w:lineRule="auto"/>
                    <w:ind w:firstLine="0" w:firstLineChars="0"/>
                    <w:jc w:val="center"/>
                    <w:rPr>
                      <w:rFonts w:hint="default" w:ascii="Times New Roman" w:hAnsi="Times New Roman" w:cs="Times New Roman" w:eastAsiaTheme="minorEastAsia"/>
                      <w:b w:val="0"/>
                      <w:bCs w:val="0"/>
                      <w:color w:val="auto"/>
                      <w:sz w:val="18"/>
                      <w:szCs w:val="18"/>
                      <w:highlight w:val="none"/>
                    </w:rPr>
                  </w:pPr>
                  <w:r>
                    <w:rPr>
                      <w:rFonts w:hint="eastAsia" w:cs="Times New Roman" w:eastAsiaTheme="minorEastAsia"/>
                      <w:b w:val="0"/>
                      <w:bCs w:val="0"/>
                      <w:color w:val="auto"/>
                      <w:sz w:val="18"/>
                      <w:szCs w:val="18"/>
                      <w:highlight w:val="none"/>
                      <w:lang w:val="en-US" w:eastAsia="zh-CN"/>
                    </w:rPr>
                    <w:t>产业</w:t>
                  </w:r>
                  <w:r>
                    <w:rPr>
                      <w:rFonts w:hint="default" w:ascii="Times New Roman" w:hAnsi="Times New Roman" w:cs="Times New Roman" w:eastAsiaTheme="minorEastAsia"/>
                      <w:b w:val="0"/>
                      <w:bCs w:val="0"/>
                      <w:color w:val="auto"/>
                      <w:sz w:val="18"/>
                      <w:szCs w:val="18"/>
                      <w:highlight w:val="none"/>
                    </w:rPr>
                    <w:t>定位</w:t>
                  </w:r>
                </w:p>
              </w:tc>
              <w:tc>
                <w:tcPr>
                  <w:tcW w:w="3412" w:type="dxa"/>
                  <w:tcBorders>
                    <w:tl2br w:val="nil"/>
                    <w:tr2bl w:val="nil"/>
                  </w:tcBorders>
                  <w:vAlign w:val="center"/>
                </w:tcPr>
                <w:p w14:paraId="595FECEE">
                  <w:pPr>
                    <w:adjustRightInd w:val="0"/>
                    <w:snapToGrid w:val="0"/>
                    <w:spacing w:line="240" w:lineRule="auto"/>
                    <w:ind w:firstLine="180" w:firstLineChars="100"/>
                    <w:jc w:val="both"/>
                    <w:rPr>
                      <w:rFonts w:hint="default" w:ascii="Times New Roman" w:hAnsi="Times New Roman" w:cs="Times New Roman" w:eastAsiaTheme="minorEastAsia"/>
                      <w:b w:val="0"/>
                      <w:bCs w:val="0"/>
                      <w:color w:val="auto"/>
                      <w:sz w:val="18"/>
                      <w:szCs w:val="18"/>
                      <w:highlight w:val="none"/>
                    </w:rPr>
                  </w:pPr>
                  <w:r>
                    <w:rPr>
                      <w:rFonts w:hint="eastAsia" w:ascii="Times New Roman" w:hAnsi="Times New Roman" w:cs="Times New Roman" w:eastAsiaTheme="minorEastAsia"/>
                      <w:b w:val="0"/>
                      <w:bCs w:val="0"/>
                      <w:color w:val="auto"/>
                      <w:sz w:val="18"/>
                      <w:szCs w:val="18"/>
                      <w:highlight w:val="none"/>
                      <w:lang w:val="en-US" w:eastAsia="zh-CN"/>
                    </w:rPr>
                    <w:t>园区日后将发挥区位优势，聚集滨湖休闲、商业娱乐、公共服务等多项城市功能，建设美好生活示范区；重点发展电商物流、金融商务、研发培训、信息技术服务等，培育和扶持高新技术中小企业，形成国际化科创研发集群。</w:t>
                  </w:r>
                </w:p>
              </w:tc>
              <w:tc>
                <w:tcPr>
                  <w:tcW w:w="2182" w:type="dxa"/>
                  <w:tcBorders>
                    <w:tl2br w:val="nil"/>
                    <w:tr2bl w:val="nil"/>
                  </w:tcBorders>
                  <w:vAlign w:val="center"/>
                </w:tcPr>
                <w:p w14:paraId="59C8FAEB">
                  <w:pPr>
                    <w:pStyle w:val="30"/>
                    <w:spacing w:line="240" w:lineRule="auto"/>
                    <w:ind w:firstLine="180" w:firstLineChars="100"/>
                    <w:jc w:val="both"/>
                    <w:rPr>
                      <w:rFonts w:hint="default" w:ascii="Times New Roman" w:hAnsi="Times New Roman" w:cs="Times New Roman" w:eastAsiaTheme="minorEastAsia"/>
                      <w:b w:val="0"/>
                      <w:bCs w:val="0"/>
                      <w:color w:val="auto"/>
                      <w:sz w:val="18"/>
                      <w:szCs w:val="18"/>
                      <w:highlight w:val="none"/>
                    </w:rPr>
                  </w:pPr>
                  <w:r>
                    <w:rPr>
                      <w:rFonts w:hint="default" w:ascii="Times New Roman" w:hAnsi="Times New Roman" w:cs="Times New Roman" w:eastAsiaTheme="minorEastAsia"/>
                      <w:b w:val="0"/>
                      <w:bCs w:val="0"/>
                      <w:color w:val="auto"/>
                      <w:sz w:val="18"/>
                      <w:szCs w:val="18"/>
                      <w:highlight w:val="none"/>
                    </w:rPr>
                    <w:t>本</w:t>
                  </w:r>
                  <w:r>
                    <w:rPr>
                      <w:rFonts w:hint="eastAsia" w:cs="Times New Roman" w:eastAsiaTheme="minorEastAsia"/>
                      <w:b w:val="0"/>
                      <w:bCs w:val="0"/>
                      <w:color w:val="auto"/>
                      <w:sz w:val="18"/>
                      <w:szCs w:val="18"/>
                      <w:highlight w:val="none"/>
                      <w:lang w:val="en-US" w:eastAsia="zh-CN"/>
                    </w:rPr>
                    <w:t>工程为疗养院类项目</w:t>
                  </w:r>
                  <w:r>
                    <w:rPr>
                      <w:rFonts w:hint="default" w:ascii="Times New Roman" w:hAnsi="Times New Roman" w:cs="Times New Roman" w:eastAsiaTheme="minorEastAsia"/>
                      <w:b w:val="0"/>
                      <w:bCs w:val="0"/>
                      <w:color w:val="auto"/>
                      <w:sz w:val="18"/>
                      <w:szCs w:val="18"/>
                      <w:highlight w:val="none"/>
                    </w:rPr>
                    <w:t>。</w:t>
                  </w:r>
                </w:p>
              </w:tc>
              <w:tc>
                <w:tcPr>
                  <w:tcW w:w="819" w:type="dxa"/>
                  <w:tcBorders>
                    <w:tl2br w:val="nil"/>
                    <w:tr2bl w:val="nil"/>
                  </w:tcBorders>
                  <w:vAlign w:val="center"/>
                </w:tcPr>
                <w:p w14:paraId="66FCF454">
                  <w:pPr>
                    <w:spacing w:line="240" w:lineRule="auto"/>
                    <w:ind w:firstLine="0" w:firstLineChars="0"/>
                    <w:jc w:val="center"/>
                    <w:rPr>
                      <w:rFonts w:hint="default" w:ascii="Times New Roman" w:hAnsi="Times New Roman" w:cs="Times New Roman" w:eastAsiaTheme="minorEastAsia"/>
                      <w:b w:val="0"/>
                      <w:bCs w:val="0"/>
                      <w:color w:val="auto"/>
                      <w:sz w:val="18"/>
                      <w:szCs w:val="18"/>
                      <w:highlight w:val="none"/>
                    </w:rPr>
                  </w:pPr>
                  <w:r>
                    <w:rPr>
                      <w:rFonts w:hint="default" w:ascii="Times New Roman" w:hAnsi="Times New Roman" w:cs="Times New Roman" w:eastAsiaTheme="minorEastAsia"/>
                      <w:b w:val="0"/>
                      <w:bCs w:val="0"/>
                      <w:color w:val="auto"/>
                      <w:sz w:val="18"/>
                      <w:szCs w:val="18"/>
                      <w:highlight w:val="none"/>
                    </w:rPr>
                    <w:t>符合</w:t>
                  </w:r>
                </w:p>
              </w:tc>
            </w:tr>
            <w:tr w14:paraId="6719951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52" w:type="dxa"/>
                  <w:tcBorders>
                    <w:tl2br w:val="nil"/>
                    <w:tr2bl w:val="nil"/>
                  </w:tcBorders>
                  <w:vAlign w:val="center"/>
                </w:tcPr>
                <w:p w14:paraId="788F90B8">
                  <w:pPr>
                    <w:spacing w:line="240" w:lineRule="auto"/>
                    <w:ind w:firstLine="0" w:firstLineChars="0"/>
                    <w:jc w:val="center"/>
                    <w:rPr>
                      <w:rFonts w:hint="default" w:ascii="Times New Roman" w:hAnsi="Times New Roman" w:cs="Times New Roman" w:eastAsiaTheme="minorEastAsia"/>
                      <w:b w:val="0"/>
                      <w:bCs w:val="0"/>
                      <w:color w:val="auto"/>
                      <w:sz w:val="18"/>
                      <w:szCs w:val="18"/>
                      <w:highlight w:val="none"/>
                    </w:rPr>
                  </w:pPr>
                  <w:r>
                    <w:rPr>
                      <w:rFonts w:hint="default" w:ascii="Times New Roman" w:hAnsi="Times New Roman" w:cs="Times New Roman" w:eastAsiaTheme="minorEastAsia"/>
                      <w:b w:val="0"/>
                      <w:bCs w:val="0"/>
                      <w:color w:val="auto"/>
                      <w:sz w:val="18"/>
                      <w:szCs w:val="18"/>
                      <w:highlight w:val="none"/>
                    </w:rPr>
                    <w:t>产业布局</w:t>
                  </w:r>
                </w:p>
              </w:tc>
              <w:tc>
                <w:tcPr>
                  <w:tcW w:w="3412" w:type="dxa"/>
                  <w:tcBorders>
                    <w:tl2br w:val="nil"/>
                    <w:tr2bl w:val="nil"/>
                  </w:tcBorders>
                  <w:vAlign w:val="center"/>
                </w:tcPr>
                <w:p w14:paraId="4FF8602E">
                  <w:pPr>
                    <w:keepNext w:val="0"/>
                    <w:keepLines w:val="0"/>
                    <w:widowControl/>
                    <w:suppressLineNumbers w:val="0"/>
                    <w:ind w:firstLine="360" w:firstLineChars="200"/>
                    <w:jc w:val="both"/>
                    <w:rPr>
                      <w:rFonts w:hint="default" w:ascii="Times New Roman" w:hAnsi="Times New Roman" w:cs="Times New Roman" w:eastAsiaTheme="minorEastAsia"/>
                      <w:b w:val="0"/>
                      <w:bCs w:val="0"/>
                      <w:color w:val="auto"/>
                      <w:sz w:val="18"/>
                      <w:szCs w:val="18"/>
                      <w:highlight w:val="none"/>
                    </w:rPr>
                  </w:pPr>
                  <w:r>
                    <w:rPr>
                      <w:rFonts w:hint="eastAsia" w:ascii="Times New Roman" w:hAnsi="Times New Roman" w:cs="Times New Roman" w:eastAsiaTheme="minorEastAsia"/>
                      <w:b w:val="0"/>
                      <w:bCs w:val="0"/>
                      <w:color w:val="auto"/>
                      <w:sz w:val="18"/>
                      <w:szCs w:val="18"/>
                      <w:highlight w:val="none"/>
                      <w:lang w:val="en-US" w:eastAsia="zh-CN"/>
                    </w:rPr>
                    <w:t>规划形成“双核三轴，五区多点”的空间结构，推动园区整体发展。</w:t>
                  </w:r>
                </w:p>
              </w:tc>
              <w:tc>
                <w:tcPr>
                  <w:tcW w:w="2182" w:type="dxa"/>
                  <w:tcBorders>
                    <w:tl2br w:val="nil"/>
                    <w:tr2bl w:val="nil"/>
                  </w:tcBorders>
                  <w:vAlign w:val="center"/>
                </w:tcPr>
                <w:p w14:paraId="690ECA03">
                  <w:pPr>
                    <w:spacing w:line="240" w:lineRule="auto"/>
                    <w:ind w:firstLine="180" w:firstLineChars="100"/>
                    <w:jc w:val="both"/>
                    <w:rPr>
                      <w:rFonts w:hint="default" w:ascii="Times New Roman" w:hAnsi="Times New Roman" w:cs="Times New Roman" w:eastAsiaTheme="minorEastAsia"/>
                      <w:b w:val="0"/>
                      <w:bCs w:val="0"/>
                      <w:color w:val="auto"/>
                      <w:sz w:val="18"/>
                      <w:szCs w:val="18"/>
                      <w:highlight w:val="none"/>
                    </w:rPr>
                  </w:pPr>
                  <w:r>
                    <w:rPr>
                      <w:rFonts w:hint="default" w:ascii="Times New Roman" w:hAnsi="Times New Roman" w:cs="Times New Roman" w:eastAsiaTheme="minorEastAsia"/>
                      <w:b w:val="0"/>
                      <w:bCs w:val="0"/>
                      <w:color w:val="auto"/>
                      <w:sz w:val="18"/>
                      <w:szCs w:val="18"/>
                      <w:highlight w:val="none"/>
                    </w:rPr>
                    <w:t>本项目</w:t>
                  </w:r>
                  <w:r>
                    <w:rPr>
                      <w:rFonts w:hint="eastAsia" w:cs="Times New Roman" w:eastAsiaTheme="minorEastAsia"/>
                      <w:b w:val="0"/>
                      <w:bCs w:val="0"/>
                      <w:color w:val="auto"/>
                      <w:sz w:val="18"/>
                      <w:szCs w:val="18"/>
                      <w:highlight w:val="none"/>
                      <w:lang w:val="en-US" w:eastAsia="zh-CN"/>
                    </w:rPr>
                    <w:t>占地40424</w:t>
                  </w:r>
                  <w:r>
                    <w:rPr>
                      <w:rFonts w:hint="default" w:ascii="Times New Roman" w:hAnsi="Times New Roman" w:cs="Times New Roman" w:eastAsiaTheme="minorEastAsia"/>
                      <w:b w:val="0"/>
                      <w:bCs w:val="0"/>
                      <w:color w:val="auto"/>
                      <w:sz w:val="18"/>
                      <w:szCs w:val="18"/>
                      <w:highlight w:val="none"/>
                    </w:rPr>
                    <w:t>m</w:t>
                  </w:r>
                  <w:r>
                    <w:rPr>
                      <w:rFonts w:hint="default" w:ascii="Times New Roman" w:hAnsi="Times New Roman" w:cs="Times New Roman" w:eastAsiaTheme="minorEastAsia"/>
                      <w:b w:val="0"/>
                      <w:bCs w:val="0"/>
                      <w:color w:val="auto"/>
                      <w:sz w:val="18"/>
                      <w:szCs w:val="18"/>
                      <w:highlight w:val="none"/>
                      <w:vertAlign w:val="superscript"/>
                    </w:rPr>
                    <w:t>2</w:t>
                  </w:r>
                  <w:r>
                    <w:rPr>
                      <w:rFonts w:hint="default" w:ascii="Times New Roman" w:hAnsi="Times New Roman" w:cs="Times New Roman" w:eastAsiaTheme="minorEastAsia"/>
                      <w:b w:val="0"/>
                      <w:bCs w:val="0"/>
                      <w:color w:val="auto"/>
                      <w:sz w:val="18"/>
                      <w:szCs w:val="18"/>
                      <w:highlight w:val="none"/>
                    </w:rPr>
                    <w:t>，</w:t>
                  </w:r>
                  <w:r>
                    <w:rPr>
                      <w:rFonts w:hint="eastAsia" w:cs="Times New Roman" w:eastAsiaTheme="minorEastAsia"/>
                      <w:b w:val="0"/>
                      <w:bCs w:val="0"/>
                      <w:color w:val="auto"/>
                      <w:sz w:val="18"/>
                      <w:szCs w:val="18"/>
                      <w:highlight w:val="none"/>
                      <w:lang w:val="en-US" w:eastAsia="zh-CN"/>
                    </w:rPr>
                    <w:t>属于疗养院项目</w:t>
                  </w:r>
                  <w:r>
                    <w:rPr>
                      <w:rFonts w:hint="default" w:ascii="Times New Roman" w:hAnsi="Times New Roman" w:cs="Times New Roman" w:eastAsiaTheme="minorEastAsia"/>
                      <w:b w:val="0"/>
                      <w:bCs w:val="0"/>
                      <w:color w:val="auto"/>
                      <w:sz w:val="18"/>
                      <w:szCs w:val="18"/>
                      <w:highlight w:val="none"/>
                    </w:rPr>
                    <w:t>。</w:t>
                  </w:r>
                </w:p>
              </w:tc>
              <w:tc>
                <w:tcPr>
                  <w:tcW w:w="819" w:type="dxa"/>
                  <w:tcBorders>
                    <w:tl2br w:val="nil"/>
                    <w:tr2bl w:val="nil"/>
                  </w:tcBorders>
                  <w:vAlign w:val="center"/>
                </w:tcPr>
                <w:p w14:paraId="1913F235">
                  <w:pPr>
                    <w:spacing w:line="240" w:lineRule="auto"/>
                    <w:ind w:firstLine="0" w:firstLineChars="0"/>
                    <w:jc w:val="center"/>
                    <w:rPr>
                      <w:rFonts w:hint="default" w:ascii="Times New Roman" w:hAnsi="Times New Roman" w:cs="Times New Roman" w:eastAsiaTheme="minorEastAsia"/>
                      <w:b w:val="0"/>
                      <w:bCs w:val="0"/>
                      <w:color w:val="auto"/>
                      <w:sz w:val="18"/>
                      <w:szCs w:val="18"/>
                      <w:highlight w:val="none"/>
                    </w:rPr>
                  </w:pPr>
                  <w:r>
                    <w:rPr>
                      <w:rFonts w:hint="default" w:ascii="Times New Roman" w:hAnsi="Times New Roman" w:cs="Times New Roman" w:eastAsiaTheme="minorEastAsia"/>
                      <w:b w:val="0"/>
                      <w:bCs w:val="0"/>
                      <w:color w:val="auto"/>
                      <w:sz w:val="18"/>
                      <w:szCs w:val="18"/>
                      <w:highlight w:val="none"/>
                    </w:rPr>
                    <w:t>符合</w:t>
                  </w:r>
                </w:p>
              </w:tc>
            </w:tr>
            <w:tr w14:paraId="3A33BCA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52" w:type="dxa"/>
                  <w:tcBorders>
                    <w:tl2br w:val="nil"/>
                    <w:tr2bl w:val="nil"/>
                  </w:tcBorders>
                  <w:vAlign w:val="center"/>
                </w:tcPr>
                <w:p w14:paraId="2B69084F">
                  <w:pPr>
                    <w:spacing w:line="240" w:lineRule="auto"/>
                    <w:ind w:firstLine="0" w:firstLineChars="0"/>
                    <w:jc w:val="center"/>
                    <w:rPr>
                      <w:rFonts w:hint="default" w:ascii="Times New Roman" w:hAnsi="Times New Roman" w:cs="Times New Roman" w:eastAsiaTheme="minorEastAsia"/>
                      <w:b w:val="0"/>
                      <w:bCs w:val="0"/>
                      <w:color w:val="auto"/>
                      <w:sz w:val="18"/>
                      <w:szCs w:val="18"/>
                      <w:highlight w:val="none"/>
                      <w:lang w:val="en-US" w:eastAsia="zh-CN"/>
                    </w:rPr>
                  </w:pPr>
                  <w:r>
                    <w:rPr>
                      <w:rFonts w:hint="eastAsia" w:cs="Times New Roman" w:eastAsiaTheme="minorEastAsia"/>
                      <w:b w:val="0"/>
                      <w:bCs w:val="0"/>
                      <w:color w:val="auto"/>
                      <w:sz w:val="18"/>
                      <w:szCs w:val="18"/>
                      <w:highlight w:val="none"/>
                      <w:lang w:val="en-US" w:eastAsia="zh-CN"/>
                    </w:rPr>
                    <w:t>用地布局</w:t>
                  </w:r>
                </w:p>
              </w:tc>
              <w:tc>
                <w:tcPr>
                  <w:tcW w:w="3412" w:type="dxa"/>
                  <w:tcBorders>
                    <w:tl2br w:val="nil"/>
                    <w:tr2bl w:val="nil"/>
                  </w:tcBorders>
                  <w:vAlign w:val="center"/>
                </w:tcPr>
                <w:p w14:paraId="3C85B2B5">
                  <w:pPr>
                    <w:spacing w:line="240" w:lineRule="auto"/>
                    <w:ind w:firstLine="180" w:firstLineChars="100"/>
                    <w:jc w:val="both"/>
                    <w:rPr>
                      <w:rFonts w:hint="default" w:ascii="Times New Roman" w:hAnsi="Times New Roman" w:cs="Times New Roman" w:eastAsiaTheme="minorEastAsia"/>
                      <w:b w:val="0"/>
                      <w:bCs w:val="0"/>
                      <w:color w:val="auto"/>
                      <w:sz w:val="18"/>
                      <w:szCs w:val="18"/>
                      <w:highlight w:val="none"/>
                    </w:rPr>
                  </w:pPr>
                  <w:r>
                    <w:rPr>
                      <w:rFonts w:hint="eastAsia" w:ascii="Times New Roman" w:hAnsi="Times New Roman" w:cs="Times New Roman" w:eastAsiaTheme="minorEastAsia"/>
                      <w:b w:val="0"/>
                      <w:bCs w:val="0"/>
                      <w:color w:val="auto"/>
                      <w:sz w:val="18"/>
                      <w:szCs w:val="18"/>
                      <w:highlight w:val="none"/>
                      <w:lang w:val="en-US" w:eastAsia="zh-CN"/>
                    </w:rPr>
                    <w:t>园区规划总用地面积为</w:t>
                  </w:r>
                  <w:r>
                    <w:rPr>
                      <w:rFonts w:hint="default" w:ascii="Times New Roman" w:hAnsi="Times New Roman" w:cs="Times New Roman" w:eastAsiaTheme="minorEastAsia"/>
                      <w:b w:val="0"/>
                      <w:bCs w:val="0"/>
                      <w:color w:val="auto"/>
                      <w:sz w:val="18"/>
                      <w:szCs w:val="18"/>
                      <w:highlight w:val="none"/>
                      <w:lang w:val="en-US" w:eastAsia="zh-CN"/>
                    </w:rPr>
                    <w:t>7.2211km</w:t>
                  </w:r>
                  <w:r>
                    <w:rPr>
                      <w:rFonts w:hint="default" w:ascii="Times New Roman" w:hAnsi="Times New Roman" w:cs="Times New Roman" w:eastAsiaTheme="minorEastAsia"/>
                      <w:b w:val="0"/>
                      <w:bCs w:val="0"/>
                      <w:color w:val="auto"/>
                      <w:sz w:val="18"/>
                      <w:szCs w:val="18"/>
                      <w:highlight w:val="none"/>
                      <w:vertAlign w:val="superscript"/>
                      <w:lang w:val="en-US" w:eastAsia="zh-CN"/>
                    </w:rPr>
                    <w:t>2</w:t>
                  </w:r>
                  <w:r>
                    <w:rPr>
                      <w:rFonts w:hint="eastAsia" w:ascii="Times New Roman" w:hAnsi="Times New Roman" w:cs="Times New Roman" w:eastAsiaTheme="minorEastAsia"/>
                      <w:b w:val="0"/>
                      <w:bCs w:val="0"/>
                      <w:color w:val="auto"/>
                      <w:sz w:val="18"/>
                      <w:szCs w:val="18"/>
                      <w:highlight w:val="none"/>
                      <w:lang w:val="en-US" w:eastAsia="zh-CN"/>
                    </w:rPr>
                    <w:t>，其中城镇建设用地为</w:t>
                  </w:r>
                  <w:r>
                    <w:rPr>
                      <w:rFonts w:hint="default" w:ascii="Times New Roman" w:hAnsi="Times New Roman" w:cs="Times New Roman" w:eastAsiaTheme="minorEastAsia"/>
                      <w:b w:val="0"/>
                      <w:bCs w:val="0"/>
                      <w:color w:val="auto"/>
                      <w:sz w:val="18"/>
                      <w:szCs w:val="18"/>
                      <w:highlight w:val="none"/>
                      <w:lang w:val="en-US" w:eastAsia="zh-CN"/>
                    </w:rPr>
                    <w:t>6.8911km</w:t>
                  </w:r>
                  <w:r>
                    <w:rPr>
                      <w:rFonts w:hint="default" w:ascii="Times New Roman" w:hAnsi="Times New Roman" w:cs="Times New Roman" w:eastAsiaTheme="minorEastAsia"/>
                      <w:b w:val="0"/>
                      <w:bCs w:val="0"/>
                      <w:color w:val="auto"/>
                      <w:sz w:val="18"/>
                      <w:szCs w:val="18"/>
                      <w:highlight w:val="none"/>
                      <w:vertAlign w:val="superscript"/>
                      <w:lang w:val="en-US" w:eastAsia="zh-CN"/>
                    </w:rPr>
                    <w:t>2</w:t>
                  </w:r>
                  <w:r>
                    <w:rPr>
                      <w:rFonts w:hint="eastAsia" w:ascii="Times New Roman" w:hAnsi="Times New Roman" w:cs="Times New Roman" w:eastAsiaTheme="minorEastAsia"/>
                      <w:b w:val="0"/>
                      <w:bCs w:val="0"/>
                      <w:color w:val="auto"/>
                      <w:sz w:val="18"/>
                      <w:szCs w:val="18"/>
                      <w:highlight w:val="none"/>
                      <w:lang w:val="en-US" w:eastAsia="zh-CN"/>
                    </w:rPr>
                    <w:t>。</w:t>
                  </w:r>
                </w:p>
              </w:tc>
              <w:tc>
                <w:tcPr>
                  <w:tcW w:w="2182" w:type="dxa"/>
                  <w:tcBorders>
                    <w:tl2br w:val="nil"/>
                    <w:tr2bl w:val="nil"/>
                  </w:tcBorders>
                  <w:vAlign w:val="center"/>
                </w:tcPr>
                <w:p w14:paraId="65AFE2BC">
                  <w:pPr>
                    <w:spacing w:line="240" w:lineRule="auto"/>
                    <w:ind w:firstLine="180" w:firstLineChars="100"/>
                    <w:jc w:val="both"/>
                    <w:rPr>
                      <w:rFonts w:hint="default" w:ascii="Times New Roman" w:hAnsi="Times New Roman" w:cs="Times New Roman" w:eastAsiaTheme="minorEastAsia"/>
                      <w:b w:val="0"/>
                      <w:bCs w:val="0"/>
                      <w:color w:val="auto"/>
                      <w:sz w:val="18"/>
                      <w:szCs w:val="18"/>
                      <w:highlight w:val="none"/>
                      <w:lang w:val="en-US" w:eastAsia="zh-CN"/>
                    </w:rPr>
                  </w:pPr>
                  <w:r>
                    <w:rPr>
                      <w:rFonts w:hint="default" w:ascii="Times New Roman" w:hAnsi="Times New Roman" w:cs="Times New Roman" w:eastAsiaTheme="minorEastAsia"/>
                      <w:b w:val="0"/>
                      <w:bCs w:val="0"/>
                      <w:color w:val="auto"/>
                      <w:sz w:val="18"/>
                      <w:szCs w:val="18"/>
                      <w:highlight w:val="none"/>
                    </w:rPr>
                    <w:t>本项目</w:t>
                  </w:r>
                  <w:r>
                    <w:rPr>
                      <w:rFonts w:hint="eastAsia" w:cs="Times New Roman" w:eastAsiaTheme="minorEastAsia"/>
                      <w:b w:val="0"/>
                      <w:bCs w:val="0"/>
                      <w:color w:val="auto"/>
                      <w:sz w:val="18"/>
                      <w:szCs w:val="18"/>
                      <w:highlight w:val="none"/>
                      <w:lang w:val="en-US" w:eastAsia="zh-CN"/>
                    </w:rPr>
                    <w:t>占地</w:t>
                  </w:r>
                  <w:r>
                    <w:rPr>
                      <w:rFonts w:hint="default" w:ascii="Times New Roman" w:hAnsi="Times New Roman" w:cs="Times New Roman" w:eastAsiaTheme="minorEastAsia"/>
                      <w:b w:val="0"/>
                      <w:bCs w:val="0"/>
                      <w:color w:val="auto"/>
                      <w:sz w:val="18"/>
                      <w:szCs w:val="18"/>
                      <w:highlight w:val="none"/>
                    </w:rPr>
                    <w:t>位于</w:t>
                  </w:r>
                  <w:r>
                    <w:rPr>
                      <w:rFonts w:hint="eastAsia" w:cs="Times New Roman" w:eastAsiaTheme="minorEastAsia"/>
                      <w:b w:val="0"/>
                      <w:bCs w:val="0"/>
                      <w:color w:val="auto"/>
                      <w:sz w:val="18"/>
                      <w:szCs w:val="18"/>
                      <w:highlight w:val="none"/>
                      <w:lang w:val="en-US" w:eastAsia="zh-CN"/>
                    </w:rPr>
                    <w:t>园区范围内，占地40424m</w:t>
                  </w:r>
                  <w:r>
                    <w:rPr>
                      <w:rFonts w:hint="eastAsia" w:cs="Times New Roman" w:eastAsiaTheme="minorEastAsia"/>
                      <w:b w:val="0"/>
                      <w:bCs w:val="0"/>
                      <w:color w:val="auto"/>
                      <w:sz w:val="18"/>
                      <w:szCs w:val="18"/>
                      <w:highlight w:val="none"/>
                      <w:vertAlign w:val="superscript"/>
                      <w:lang w:val="en-US" w:eastAsia="zh-CN"/>
                    </w:rPr>
                    <w:t>2</w:t>
                  </w:r>
                  <w:r>
                    <w:rPr>
                      <w:rFonts w:hint="eastAsia" w:cs="Times New Roman" w:eastAsiaTheme="minorEastAsia"/>
                      <w:b w:val="0"/>
                      <w:bCs w:val="0"/>
                      <w:color w:val="auto"/>
                      <w:sz w:val="18"/>
                      <w:szCs w:val="18"/>
                      <w:highlight w:val="none"/>
                      <w:lang w:val="en-US" w:eastAsia="zh-CN"/>
                    </w:rPr>
                    <w:t>，根据园区用地规划图中中所示，本项目占地性质属于医疗卫生用地，详细位置关系见附图7。</w:t>
                  </w:r>
                </w:p>
              </w:tc>
              <w:tc>
                <w:tcPr>
                  <w:tcW w:w="819" w:type="dxa"/>
                  <w:tcBorders>
                    <w:tl2br w:val="nil"/>
                    <w:tr2bl w:val="nil"/>
                  </w:tcBorders>
                  <w:vAlign w:val="center"/>
                </w:tcPr>
                <w:p w14:paraId="7EB95BB3">
                  <w:pPr>
                    <w:spacing w:line="240" w:lineRule="auto"/>
                    <w:ind w:firstLine="0" w:firstLineChars="0"/>
                    <w:jc w:val="center"/>
                    <w:rPr>
                      <w:rFonts w:hint="default" w:ascii="Times New Roman" w:hAnsi="Times New Roman" w:cs="Times New Roman" w:eastAsiaTheme="minorEastAsia"/>
                      <w:b w:val="0"/>
                      <w:bCs w:val="0"/>
                      <w:color w:val="auto"/>
                      <w:sz w:val="18"/>
                      <w:szCs w:val="18"/>
                      <w:highlight w:val="none"/>
                    </w:rPr>
                  </w:pPr>
                  <w:r>
                    <w:rPr>
                      <w:rFonts w:hint="default" w:ascii="Times New Roman" w:hAnsi="Times New Roman" w:cs="Times New Roman" w:eastAsiaTheme="minorEastAsia"/>
                      <w:b w:val="0"/>
                      <w:bCs w:val="0"/>
                      <w:color w:val="auto"/>
                      <w:sz w:val="18"/>
                      <w:szCs w:val="18"/>
                      <w:highlight w:val="none"/>
                    </w:rPr>
                    <w:t>符合</w:t>
                  </w:r>
                </w:p>
              </w:tc>
            </w:tr>
          </w:tbl>
          <w:p w14:paraId="09F41033">
            <w:pPr>
              <w:pStyle w:val="77"/>
              <w:snapToGrid/>
              <w:ind w:firstLine="422"/>
              <w:rPr>
                <w:rFonts w:hint="eastAsia" w:ascii="Times New Roman" w:hAnsi="Times New Roman" w:eastAsia="宋体" w:cs="Times New Roman"/>
                <w:b w:val="0"/>
                <w:bCs w:val="0"/>
                <w:color w:val="auto"/>
                <w:szCs w:val="21"/>
                <w:lang w:val="en-US" w:eastAsia="zh-CN"/>
              </w:rPr>
            </w:pPr>
            <w:r>
              <w:rPr>
                <w:rFonts w:hint="eastAsia" w:ascii="Times New Roman" w:hAnsi="Times New Roman" w:eastAsia="宋体" w:cs="Times New Roman"/>
                <w:b w:val="0"/>
                <w:bCs w:val="0"/>
                <w:color w:val="auto"/>
                <w:szCs w:val="21"/>
                <w:lang w:val="en-US" w:eastAsia="zh-CN"/>
              </w:rPr>
              <w:t>综上所述，项目符合现代服务产业园区的规划</w:t>
            </w:r>
            <w:r>
              <w:rPr>
                <w:rFonts w:hint="eastAsia" w:ascii="Times New Roman" w:hAnsi="Times New Roman" w:cs="Times New Roman"/>
                <w:b w:val="0"/>
                <w:bCs w:val="0"/>
                <w:color w:val="auto"/>
                <w:szCs w:val="21"/>
                <w:lang w:val="en-US" w:eastAsia="zh-CN"/>
              </w:rPr>
              <w:t>要求</w:t>
            </w:r>
            <w:r>
              <w:rPr>
                <w:rFonts w:hint="eastAsia" w:ascii="Times New Roman" w:hAnsi="Times New Roman" w:eastAsia="宋体" w:cs="Times New Roman"/>
                <w:b w:val="0"/>
                <w:bCs w:val="0"/>
                <w:color w:val="auto"/>
                <w:szCs w:val="21"/>
                <w:lang w:val="en-US" w:eastAsia="zh-CN"/>
              </w:rPr>
              <w:t>。</w:t>
            </w:r>
          </w:p>
          <w:p w14:paraId="35C1A4C3">
            <w:pPr>
              <w:pStyle w:val="77"/>
              <w:snapToGrid/>
              <w:ind w:firstLine="422"/>
              <w:rPr>
                <w:rFonts w:hint="eastAsia" w:ascii="Times New Roman" w:hAnsi="Times New Roman" w:eastAsia="宋体" w:cs="Times New Roman"/>
                <w:b w:val="0"/>
                <w:bCs w:val="0"/>
                <w:color w:val="auto"/>
                <w:szCs w:val="21"/>
                <w:lang w:val="en-US" w:eastAsia="zh-CN"/>
              </w:rPr>
            </w:pPr>
            <w:r>
              <w:rPr>
                <w:rFonts w:hint="eastAsia" w:ascii="Times New Roman" w:hAnsi="Times New Roman" w:eastAsia="宋体" w:cs="Times New Roman"/>
                <w:b w:val="0"/>
                <w:bCs w:val="0"/>
                <w:color w:val="auto"/>
                <w:szCs w:val="21"/>
                <w:lang w:val="en-US" w:eastAsia="zh-CN"/>
              </w:rPr>
              <w:t>（</w:t>
            </w:r>
            <w:r>
              <w:rPr>
                <w:rFonts w:hint="eastAsia" w:ascii="Times New Roman" w:hAnsi="Times New Roman" w:cs="Times New Roman"/>
                <w:b w:val="0"/>
                <w:bCs w:val="0"/>
                <w:color w:val="auto"/>
                <w:szCs w:val="21"/>
                <w:lang w:val="en-US" w:eastAsia="zh-CN"/>
              </w:rPr>
              <w:t>2</w:t>
            </w:r>
            <w:r>
              <w:rPr>
                <w:rFonts w:hint="eastAsia" w:ascii="Times New Roman" w:hAnsi="Times New Roman" w:eastAsia="宋体" w:cs="Times New Roman"/>
                <w:b w:val="0"/>
                <w:bCs w:val="0"/>
                <w:color w:val="auto"/>
                <w:szCs w:val="21"/>
                <w:lang w:val="en-US" w:eastAsia="zh-CN"/>
              </w:rPr>
              <w:t>）项目与现代服务产业园区配套设施的建设情况分析</w:t>
            </w:r>
          </w:p>
          <w:p w14:paraId="4B026ECE">
            <w:pPr>
              <w:pStyle w:val="77"/>
              <w:snapToGrid/>
              <w:ind w:firstLine="422"/>
              <w:rPr>
                <w:rFonts w:hint="eastAsia" w:ascii="Times New Roman" w:hAnsi="Times New Roman" w:eastAsia="宋体" w:cs="Times New Roman"/>
                <w:b w:val="0"/>
                <w:bCs w:val="0"/>
                <w:color w:val="auto"/>
                <w:szCs w:val="21"/>
                <w:lang w:val="en-US" w:eastAsia="zh-CN"/>
              </w:rPr>
            </w:pPr>
            <w:r>
              <w:rPr>
                <w:rFonts w:hint="eastAsia" w:ascii="Times New Roman" w:hAnsi="Times New Roman" w:eastAsia="宋体" w:cs="Times New Roman"/>
                <w:b w:val="0"/>
                <w:bCs w:val="0"/>
                <w:color w:val="auto"/>
                <w:szCs w:val="21"/>
                <w:lang w:val="en-US" w:eastAsia="zh-CN"/>
              </w:rPr>
              <w:t>根据《大同经济技术开发区起步区控制性详细规划（现代服务产业园区）（2021-2035年）》，本次评价将从现代服务产业园区的规划基础设施、现基础设施等方面分析本项目基础设施保证性，详见表1-2。</w:t>
            </w:r>
          </w:p>
          <w:p w14:paraId="3CF4D5C1">
            <w:pPr>
              <w:pStyle w:val="30"/>
              <w:spacing w:line="240" w:lineRule="auto"/>
              <w:ind w:firstLine="0" w:firstLineChars="0"/>
              <w:jc w:val="center"/>
              <w:rPr>
                <w:rFonts w:hint="default" w:ascii="Times New Roman" w:hAnsi="Times New Roman" w:eastAsia="宋体" w:cs="Times New Roman"/>
                <w:b/>
                <w:bCs/>
                <w:color w:val="auto"/>
                <w:kern w:val="2"/>
                <w:sz w:val="18"/>
                <w:szCs w:val="18"/>
                <w:highlight w:val="none"/>
                <w:lang w:val="en-US" w:eastAsia="zh-CN" w:bidi="ar-SA"/>
              </w:rPr>
            </w:pPr>
            <w:r>
              <w:rPr>
                <w:rFonts w:hint="default" w:ascii="Times New Roman" w:hAnsi="Times New Roman" w:eastAsia="宋体" w:cs="Times New Roman"/>
                <w:b/>
                <w:bCs/>
                <w:color w:val="auto"/>
                <w:kern w:val="2"/>
                <w:sz w:val="18"/>
                <w:szCs w:val="18"/>
                <w:highlight w:val="none"/>
                <w:lang w:val="en-US" w:eastAsia="zh-CN" w:bidi="ar-SA"/>
              </w:rPr>
              <w:t xml:space="preserve">表1-2  </w:t>
            </w:r>
            <w:r>
              <w:rPr>
                <w:rFonts w:hint="eastAsia" w:ascii="Times New Roman" w:hAnsi="Times New Roman" w:eastAsia="宋体" w:cs="Times New Roman"/>
                <w:b/>
                <w:bCs/>
                <w:color w:val="auto"/>
                <w:kern w:val="2"/>
                <w:sz w:val="18"/>
                <w:szCs w:val="18"/>
                <w:highlight w:val="none"/>
                <w:lang w:val="en-US" w:eastAsia="zh-CN" w:bidi="ar-SA"/>
              </w:rPr>
              <w:t>现代服务产业园区的规划基础设施、现基础设施和本项目基础设施保证性分析</w:t>
            </w:r>
          </w:p>
          <w:tbl>
            <w:tblPr>
              <w:tblStyle w:val="48"/>
              <w:tblW w:w="0" w:type="auto"/>
              <w:tblInd w:w="-17"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62"/>
              <w:gridCol w:w="3713"/>
              <w:gridCol w:w="1224"/>
              <w:gridCol w:w="1126"/>
              <w:gridCol w:w="440"/>
            </w:tblGrid>
            <w:tr w14:paraId="76C94A3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c>
                <w:tcPr>
                  <w:tcW w:w="0" w:type="auto"/>
                  <w:tcBorders>
                    <w:tl2br w:val="nil"/>
                    <w:tr2bl w:val="nil"/>
                  </w:tcBorders>
                  <w:vAlign w:val="center"/>
                </w:tcPr>
                <w:p w14:paraId="6F93F8EF">
                  <w:pPr>
                    <w:spacing w:line="240" w:lineRule="auto"/>
                    <w:ind w:firstLine="0" w:firstLineChars="0"/>
                    <w:jc w:val="center"/>
                    <w:rPr>
                      <w:rFonts w:hint="default" w:ascii="Times New Roman" w:hAnsi="Times New Roman" w:cs="Times New Roman" w:eastAsiaTheme="minorEastAsia"/>
                      <w:b w:val="0"/>
                      <w:bCs w:val="0"/>
                      <w:color w:val="auto"/>
                      <w:sz w:val="18"/>
                      <w:szCs w:val="18"/>
                      <w:highlight w:val="none"/>
                    </w:rPr>
                  </w:pPr>
                  <w:r>
                    <w:rPr>
                      <w:rFonts w:hint="default" w:ascii="Times New Roman" w:hAnsi="Times New Roman" w:cs="Times New Roman" w:eastAsiaTheme="minorEastAsia"/>
                      <w:b w:val="0"/>
                      <w:bCs w:val="0"/>
                      <w:color w:val="auto"/>
                      <w:sz w:val="18"/>
                      <w:szCs w:val="18"/>
                      <w:highlight w:val="none"/>
                    </w:rPr>
                    <w:t>工程类别</w:t>
                  </w:r>
                </w:p>
              </w:tc>
              <w:tc>
                <w:tcPr>
                  <w:tcW w:w="3713" w:type="dxa"/>
                  <w:tcBorders>
                    <w:tl2br w:val="nil"/>
                    <w:tr2bl w:val="nil"/>
                  </w:tcBorders>
                  <w:vAlign w:val="center"/>
                </w:tcPr>
                <w:p w14:paraId="64D5001F">
                  <w:pPr>
                    <w:spacing w:line="240" w:lineRule="auto"/>
                    <w:ind w:firstLine="0" w:firstLineChars="0"/>
                    <w:jc w:val="center"/>
                    <w:rPr>
                      <w:rFonts w:hint="default" w:ascii="Times New Roman" w:hAnsi="Times New Roman" w:cs="Times New Roman" w:eastAsiaTheme="minorEastAsia"/>
                      <w:b w:val="0"/>
                      <w:bCs w:val="0"/>
                      <w:color w:val="auto"/>
                      <w:sz w:val="18"/>
                      <w:szCs w:val="18"/>
                      <w:highlight w:val="none"/>
                    </w:rPr>
                  </w:pPr>
                  <w:r>
                    <w:rPr>
                      <w:rFonts w:hint="default" w:ascii="Times New Roman" w:hAnsi="Times New Roman" w:cs="Times New Roman" w:eastAsiaTheme="minorEastAsia"/>
                      <w:b w:val="0"/>
                      <w:bCs w:val="0"/>
                      <w:color w:val="auto"/>
                      <w:sz w:val="18"/>
                      <w:szCs w:val="18"/>
                      <w:highlight w:val="none"/>
                    </w:rPr>
                    <w:t>规划基础设施</w:t>
                  </w:r>
                </w:p>
              </w:tc>
              <w:tc>
                <w:tcPr>
                  <w:tcW w:w="1224" w:type="dxa"/>
                  <w:tcBorders>
                    <w:tl2br w:val="nil"/>
                    <w:tr2bl w:val="nil"/>
                  </w:tcBorders>
                  <w:vAlign w:val="center"/>
                </w:tcPr>
                <w:p w14:paraId="450FFCAD">
                  <w:pPr>
                    <w:spacing w:line="240" w:lineRule="auto"/>
                    <w:ind w:firstLine="0" w:firstLineChars="0"/>
                    <w:jc w:val="center"/>
                    <w:rPr>
                      <w:rFonts w:hint="default" w:ascii="Times New Roman" w:hAnsi="Times New Roman" w:cs="Times New Roman" w:eastAsiaTheme="minorEastAsia"/>
                      <w:b w:val="0"/>
                      <w:bCs w:val="0"/>
                      <w:color w:val="auto"/>
                      <w:sz w:val="18"/>
                      <w:szCs w:val="18"/>
                      <w:highlight w:val="none"/>
                    </w:rPr>
                  </w:pPr>
                  <w:r>
                    <w:rPr>
                      <w:rFonts w:hint="default" w:ascii="Times New Roman" w:hAnsi="Times New Roman" w:cs="Times New Roman" w:eastAsiaTheme="minorEastAsia"/>
                      <w:b w:val="0"/>
                      <w:bCs w:val="0"/>
                      <w:color w:val="auto"/>
                      <w:sz w:val="18"/>
                      <w:szCs w:val="18"/>
                      <w:highlight w:val="none"/>
                    </w:rPr>
                    <w:t>园区现基础</w:t>
                  </w:r>
                </w:p>
                <w:p w14:paraId="0B9ECE8A">
                  <w:pPr>
                    <w:spacing w:line="240" w:lineRule="auto"/>
                    <w:ind w:firstLine="0" w:firstLineChars="0"/>
                    <w:jc w:val="center"/>
                    <w:rPr>
                      <w:rFonts w:hint="default" w:ascii="Times New Roman" w:hAnsi="Times New Roman" w:cs="Times New Roman" w:eastAsiaTheme="minorEastAsia"/>
                      <w:b w:val="0"/>
                      <w:bCs w:val="0"/>
                      <w:color w:val="auto"/>
                      <w:sz w:val="18"/>
                      <w:szCs w:val="18"/>
                      <w:highlight w:val="none"/>
                    </w:rPr>
                  </w:pPr>
                  <w:r>
                    <w:rPr>
                      <w:rFonts w:hint="default" w:ascii="Times New Roman" w:hAnsi="Times New Roman" w:cs="Times New Roman" w:eastAsiaTheme="minorEastAsia"/>
                      <w:b w:val="0"/>
                      <w:bCs w:val="0"/>
                      <w:color w:val="auto"/>
                      <w:sz w:val="18"/>
                      <w:szCs w:val="18"/>
                      <w:highlight w:val="none"/>
                    </w:rPr>
                    <w:t>设施情况</w:t>
                  </w:r>
                </w:p>
              </w:tc>
              <w:tc>
                <w:tcPr>
                  <w:tcW w:w="0" w:type="auto"/>
                  <w:tcBorders>
                    <w:tl2br w:val="nil"/>
                    <w:tr2bl w:val="nil"/>
                  </w:tcBorders>
                  <w:vAlign w:val="center"/>
                </w:tcPr>
                <w:p w14:paraId="15F3FE45">
                  <w:pPr>
                    <w:spacing w:line="240" w:lineRule="auto"/>
                    <w:ind w:firstLine="0" w:firstLineChars="0"/>
                    <w:jc w:val="center"/>
                    <w:rPr>
                      <w:rFonts w:hint="default" w:ascii="Times New Roman" w:hAnsi="Times New Roman" w:cs="Times New Roman" w:eastAsiaTheme="minorEastAsia"/>
                      <w:b w:val="0"/>
                      <w:bCs w:val="0"/>
                      <w:color w:val="auto"/>
                      <w:sz w:val="18"/>
                      <w:szCs w:val="18"/>
                      <w:highlight w:val="none"/>
                    </w:rPr>
                  </w:pPr>
                  <w:r>
                    <w:rPr>
                      <w:rFonts w:hint="default" w:ascii="Times New Roman" w:hAnsi="Times New Roman" w:cs="Times New Roman" w:eastAsiaTheme="minorEastAsia"/>
                      <w:b w:val="0"/>
                      <w:bCs w:val="0"/>
                      <w:color w:val="auto"/>
                      <w:sz w:val="18"/>
                      <w:szCs w:val="18"/>
                      <w:highlight w:val="none"/>
                    </w:rPr>
                    <w:t>项目基础设施情况</w:t>
                  </w:r>
                </w:p>
              </w:tc>
              <w:tc>
                <w:tcPr>
                  <w:tcW w:w="0" w:type="auto"/>
                  <w:tcBorders>
                    <w:tl2br w:val="nil"/>
                    <w:tr2bl w:val="nil"/>
                  </w:tcBorders>
                  <w:vAlign w:val="center"/>
                </w:tcPr>
                <w:p w14:paraId="22CCBE76">
                  <w:pPr>
                    <w:spacing w:line="240" w:lineRule="auto"/>
                    <w:ind w:firstLine="0" w:firstLineChars="0"/>
                    <w:jc w:val="center"/>
                    <w:rPr>
                      <w:rFonts w:hint="default" w:ascii="Times New Roman" w:hAnsi="Times New Roman" w:cs="Times New Roman" w:eastAsiaTheme="minorEastAsia"/>
                      <w:b w:val="0"/>
                      <w:bCs w:val="0"/>
                      <w:color w:val="auto"/>
                      <w:sz w:val="18"/>
                      <w:szCs w:val="18"/>
                      <w:highlight w:val="none"/>
                    </w:rPr>
                  </w:pPr>
                  <w:r>
                    <w:rPr>
                      <w:rFonts w:hint="default" w:ascii="Times New Roman" w:hAnsi="Times New Roman" w:cs="Times New Roman" w:eastAsiaTheme="minorEastAsia"/>
                      <w:b w:val="0"/>
                      <w:bCs w:val="0"/>
                      <w:color w:val="auto"/>
                      <w:sz w:val="18"/>
                      <w:szCs w:val="18"/>
                      <w:highlight w:val="none"/>
                    </w:rPr>
                    <w:t>保证性</w:t>
                  </w:r>
                </w:p>
              </w:tc>
            </w:tr>
            <w:tr w14:paraId="11EDC61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0" w:type="auto"/>
                  <w:tcBorders>
                    <w:tl2br w:val="nil"/>
                    <w:tr2bl w:val="nil"/>
                  </w:tcBorders>
                  <w:vAlign w:val="center"/>
                </w:tcPr>
                <w:p w14:paraId="66157C54">
                  <w:pPr>
                    <w:spacing w:line="240" w:lineRule="auto"/>
                    <w:ind w:firstLine="0" w:firstLineChars="0"/>
                    <w:jc w:val="center"/>
                    <w:rPr>
                      <w:rFonts w:hint="default" w:ascii="Times New Roman" w:hAnsi="Times New Roman" w:cs="Times New Roman" w:eastAsiaTheme="minorEastAsia"/>
                      <w:b w:val="0"/>
                      <w:bCs w:val="0"/>
                      <w:color w:val="auto"/>
                      <w:sz w:val="18"/>
                      <w:szCs w:val="18"/>
                      <w:highlight w:val="none"/>
                    </w:rPr>
                  </w:pPr>
                  <w:r>
                    <w:rPr>
                      <w:rFonts w:hint="default" w:ascii="Times New Roman" w:hAnsi="Times New Roman" w:cs="Times New Roman" w:eastAsiaTheme="minorEastAsia"/>
                      <w:b w:val="0"/>
                      <w:bCs w:val="0"/>
                      <w:color w:val="auto"/>
                      <w:sz w:val="18"/>
                      <w:szCs w:val="18"/>
                      <w:highlight w:val="none"/>
                    </w:rPr>
                    <w:t>给水工程</w:t>
                  </w:r>
                </w:p>
              </w:tc>
              <w:tc>
                <w:tcPr>
                  <w:tcW w:w="3713" w:type="dxa"/>
                  <w:tcBorders>
                    <w:tl2br w:val="nil"/>
                    <w:tr2bl w:val="nil"/>
                  </w:tcBorders>
                  <w:vAlign w:val="center"/>
                </w:tcPr>
                <w:p w14:paraId="31E8F30B">
                  <w:pPr>
                    <w:spacing w:line="240" w:lineRule="auto"/>
                    <w:ind w:firstLine="180" w:firstLineChars="100"/>
                    <w:rPr>
                      <w:rFonts w:hint="eastAsia" w:ascii="Times New Roman" w:hAnsi="Times New Roman" w:cs="Times New Roman" w:eastAsiaTheme="minorEastAsia"/>
                      <w:b w:val="0"/>
                      <w:bCs w:val="0"/>
                      <w:color w:val="auto"/>
                      <w:sz w:val="18"/>
                      <w:szCs w:val="18"/>
                      <w:highlight w:val="none"/>
                      <w:lang w:eastAsia="zh-CN"/>
                    </w:rPr>
                  </w:pPr>
                  <w:r>
                    <w:rPr>
                      <w:rFonts w:hint="eastAsia" w:ascii="Times New Roman" w:hAnsi="Times New Roman" w:cs="Times New Roman" w:eastAsiaTheme="minorEastAsia"/>
                      <w:b w:val="0"/>
                      <w:bCs w:val="0"/>
                      <w:color w:val="auto"/>
                      <w:sz w:val="18"/>
                      <w:szCs w:val="18"/>
                      <w:highlight w:val="none"/>
                      <w:lang w:val="en-US" w:eastAsia="zh-CN"/>
                    </w:rPr>
                    <w:t>园区生活用水采用分类综合用水指标进行预测，总用水量平均值</w:t>
                  </w:r>
                  <w:r>
                    <w:rPr>
                      <w:rFonts w:hint="default" w:ascii="Times New Roman" w:hAnsi="Times New Roman" w:cs="Times New Roman" w:eastAsiaTheme="minorEastAsia"/>
                      <w:b w:val="0"/>
                      <w:bCs w:val="0"/>
                      <w:color w:val="auto"/>
                      <w:sz w:val="18"/>
                      <w:szCs w:val="18"/>
                      <w:highlight w:val="none"/>
                      <w:lang w:val="en-US" w:eastAsia="zh-CN"/>
                    </w:rPr>
                    <w:t>2.27</w:t>
                  </w:r>
                  <w:r>
                    <w:rPr>
                      <w:rFonts w:hint="eastAsia" w:ascii="Times New Roman" w:hAnsi="Times New Roman" w:cs="Times New Roman" w:eastAsiaTheme="minorEastAsia"/>
                      <w:b w:val="0"/>
                      <w:bCs w:val="0"/>
                      <w:color w:val="auto"/>
                      <w:sz w:val="18"/>
                      <w:szCs w:val="18"/>
                      <w:highlight w:val="none"/>
                      <w:lang w:val="en-US" w:eastAsia="zh-CN"/>
                    </w:rPr>
                    <w:t>万</w:t>
                  </w:r>
                  <w:r>
                    <w:rPr>
                      <w:rFonts w:hint="default" w:ascii="Times New Roman" w:hAnsi="Times New Roman" w:cs="Times New Roman" w:eastAsiaTheme="minorEastAsia"/>
                      <w:b w:val="0"/>
                      <w:bCs w:val="0"/>
                      <w:color w:val="auto"/>
                      <w:sz w:val="18"/>
                      <w:szCs w:val="18"/>
                      <w:highlight w:val="none"/>
                      <w:lang w:val="en-US" w:eastAsia="zh-CN"/>
                    </w:rPr>
                    <w:t>m</w:t>
                  </w:r>
                  <w:r>
                    <w:rPr>
                      <w:rFonts w:hint="default" w:ascii="Times New Roman" w:hAnsi="Times New Roman" w:cs="Times New Roman" w:eastAsiaTheme="minorEastAsia"/>
                      <w:b w:val="0"/>
                      <w:bCs w:val="0"/>
                      <w:color w:val="auto"/>
                      <w:sz w:val="18"/>
                      <w:szCs w:val="18"/>
                      <w:highlight w:val="none"/>
                      <w:vertAlign w:val="superscript"/>
                      <w:lang w:val="en-US" w:eastAsia="zh-CN"/>
                    </w:rPr>
                    <w:t>3</w:t>
                  </w:r>
                  <w:r>
                    <w:rPr>
                      <w:rFonts w:hint="default" w:ascii="Times New Roman" w:hAnsi="Times New Roman" w:cs="Times New Roman" w:eastAsiaTheme="minorEastAsia"/>
                      <w:b w:val="0"/>
                      <w:bCs w:val="0"/>
                      <w:color w:val="auto"/>
                      <w:sz w:val="18"/>
                      <w:szCs w:val="18"/>
                      <w:highlight w:val="none"/>
                      <w:lang w:val="en-US" w:eastAsia="zh-CN"/>
                    </w:rPr>
                    <w:t xml:space="preserve"> /d</w:t>
                  </w:r>
                  <w:r>
                    <w:rPr>
                      <w:rFonts w:hint="eastAsia" w:ascii="Times New Roman" w:hAnsi="Times New Roman" w:cs="Times New Roman" w:eastAsiaTheme="minorEastAsia"/>
                      <w:b w:val="0"/>
                      <w:bCs w:val="0"/>
                      <w:color w:val="auto"/>
                      <w:sz w:val="18"/>
                      <w:szCs w:val="18"/>
                      <w:highlight w:val="none"/>
                      <w:lang w:val="en-US" w:eastAsia="zh-CN"/>
                    </w:rPr>
                    <w:t>，水源由城市水厂联合供水。</w:t>
                  </w:r>
                </w:p>
              </w:tc>
              <w:tc>
                <w:tcPr>
                  <w:tcW w:w="1224" w:type="dxa"/>
                  <w:tcBorders>
                    <w:tl2br w:val="nil"/>
                    <w:tr2bl w:val="nil"/>
                  </w:tcBorders>
                  <w:vAlign w:val="center"/>
                </w:tcPr>
                <w:p w14:paraId="521D33BB">
                  <w:pPr>
                    <w:spacing w:line="240" w:lineRule="auto"/>
                    <w:jc w:val="center"/>
                    <w:rPr>
                      <w:rFonts w:hint="default" w:cs="Times New Roman" w:eastAsiaTheme="minorEastAsia"/>
                      <w:b w:val="0"/>
                      <w:bCs w:val="0"/>
                      <w:color w:val="auto"/>
                      <w:sz w:val="18"/>
                      <w:szCs w:val="18"/>
                      <w:highlight w:val="none"/>
                      <w:lang w:val="en-US" w:eastAsia="zh-CN"/>
                    </w:rPr>
                  </w:pPr>
                  <w:r>
                    <w:rPr>
                      <w:rFonts w:hint="eastAsia" w:cs="Times New Roman" w:eastAsiaTheme="minorEastAsia"/>
                      <w:b w:val="0"/>
                      <w:bCs w:val="0"/>
                      <w:color w:val="auto"/>
                      <w:sz w:val="18"/>
                      <w:szCs w:val="18"/>
                      <w:highlight w:val="none"/>
                      <w:lang w:val="en-US" w:eastAsia="zh-CN"/>
                    </w:rPr>
                    <w:t>园区已敷设完善的供水管网</w:t>
                  </w:r>
                </w:p>
              </w:tc>
              <w:tc>
                <w:tcPr>
                  <w:tcW w:w="0" w:type="auto"/>
                  <w:tcBorders>
                    <w:tl2br w:val="nil"/>
                    <w:tr2bl w:val="nil"/>
                  </w:tcBorders>
                  <w:vAlign w:val="center"/>
                </w:tcPr>
                <w:p w14:paraId="255E91DA">
                  <w:pPr>
                    <w:spacing w:line="240" w:lineRule="auto"/>
                    <w:jc w:val="center"/>
                    <w:rPr>
                      <w:rFonts w:hint="default" w:cs="Times New Roman" w:eastAsiaTheme="minorEastAsia"/>
                      <w:b w:val="0"/>
                      <w:bCs w:val="0"/>
                      <w:color w:val="auto"/>
                      <w:sz w:val="18"/>
                      <w:szCs w:val="18"/>
                      <w:highlight w:val="none"/>
                      <w:lang w:val="en-US" w:eastAsia="zh-CN"/>
                    </w:rPr>
                  </w:pPr>
                  <w:r>
                    <w:rPr>
                      <w:rFonts w:hint="eastAsia" w:cs="Times New Roman" w:eastAsiaTheme="minorEastAsia"/>
                      <w:b w:val="0"/>
                      <w:bCs w:val="0"/>
                      <w:color w:val="auto"/>
                      <w:sz w:val="18"/>
                      <w:szCs w:val="18"/>
                      <w:highlight w:val="none"/>
                      <w:lang w:val="en-US" w:eastAsia="zh-CN"/>
                    </w:rPr>
                    <w:t>本项目已接入园区已有供水管网</w:t>
                  </w:r>
                </w:p>
              </w:tc>
              <w:tc>
                <w:tcPr>
                  <w:tcW w:w="0" w:type="auto"/>
                  <w:tcBorders>
                    <w:tl2br w:val="nil"/>
                    <w:tr2bl w:val="nil"/>
                  </w:tcBorders>
                  <w:vAlign w:val="center"/>
                </w:tcPr>
                <w:p w14:paraId="7A2837DB">
                  <w:pPr>
                    <w:spacing w:line="240" w:lineRule="auto"/>
                    <w:ind w:firstLine="0" w:firstLineChars="0"/>
                    <w:jc w:val="center"/>
                    <w:rPr>
                      <w:rFonts w:hint="default" w:ascii="Times New Roman" w:hAnsi="Times New Roman" w:cs="Times New Roman" w:eastAsiaTheme="minorEastAsia"/>
                      <w:b w:val="0"/>
                      <w:bCs w:val="0"/>
                      <w:color w:val="auto"/>
                      <w:sz w:val="18"/>
                      <w:szCs w:val="18"/>
                      <w:highlight w:val="none"/>
                    </w:rPr>
                  </w:pPr>
                  <w:r>
                    <w:rPr>
                      <w:rFonts w:hint="default" w:ascii="Times New Roman" w:hAnsi="Times New Roman" w:cs="Times New Roman" w:eastAsiaTheme="minorEastAsia"/>
                      <w:b w:val="0"/>
                      <w:bCs w:val="0"/>
                      <w:color w:val="auto"/>
                      <w:sz w:val="18"/>
                      <w:szCs w:val="18"/>
                      <w:highlight w:val="none"/>
                    </w:rPr>
                    <w:t>可保证</w:t>
                  </w:r>
                </w:p>
              </w:tc>
            </w:tr>
            <w:tr w14:paraId="7AC8150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0" w:type="auto"/>
                  <w:tcBorders>
                    <w:tl2br w:val="nil"/>
                    <w:tr2bl w:val="nil"/>
                  </w:tcBorders>
                  <w:vAlign w:val="center"/>
                </w:tcPr>
                <w:p w14:paraId="11DF8461">
                  <w:pPr>
                    <w:spacing w:line="240" w:lineRule="auto"/>
                    <w:ind w:firstLine="0" w:firstLineChars="0"/>
                    <w:jc w:val="center"/>
                    <w:rPr>
                      <w:rFonts w:hint="default" w:ascii="Times New Roman" w:hAnsi="Times New Roman" w:cs="Times New Roman" w:eastAsiaTheme="minorEastAsia"/>
                      <w:b w:val="0"/>
                      <w:bCs w:val="0"/>
                      <w:color w:val="auto"/>
                      <w:sz w:val="18"/>
                      <w:szCs w:val="18"/>
                      <w:highlight w:val="none"/>
                      <w:lang w:val="en-US" w:eastAsia="zh-CN"/>
                    </w:rPr>
                  </w:pPr>
                  <w:r>
                    <w:rPr>
                      <w:rFonts w:hint="eastAsia" w:cs="Times New Roman" w:eastAsiaTheme="minorEastAsia"/>
                      <w:b w:val="0"/>
                      <w:bCs w:val="0"/>
                      <w:color w:val="auto"/>
                      <w:sz w:val="18"/>
                      <w:szCs w:val="18"/>
                      <w:highlight w:val="none"/>
                      <w:lang w:val="en-US" w:eastAsia="zh-CN"/>
                    </w:rPr>
                    <w:t>雨水工程</w:t>
                  </w:r>
                </w:p>
              </w:tc>
              <w:tc>
                <w:tcPr>
                  <w:tcW w:w="3713" w:type="dxa"/>
                  <w:tcBorders>
                    <w:tl2br w:val="nil"/>
                    <w:tr2bl w:val="nil"/>
                  </w:tcBorders>
                  <w:vAlign w:val="center"/>
                </w:tcPr>
                <w:p w14:paraId="79AB6082">
                  <w:pPr>
                    <w:spacing w:line="240" w:lineRule="auto"/>
                    <w:ind w:firstLine="180" w:firstLineChars="100"/>
                    <w:rPr>
                      <w:rFonts w:hint="eastAsia" w:ascii="Times New Roman" w:hAnsi="Times New Roman" w:cs="Times New Roman" w:eastAsiaTheme="minorEastAsia"/>
                      <w:b w:val="0"/>
                      <w:bCs w:val="0"/>
                      <w:color w:val="auto"/>
                      <w:sz w:val="18"/>
                      <w:szCs w:val="18"/>
                      <w:highlight w:val="none"/>
                      <w:lang w:eastAsia="zh-CN"/>
                    </w:rPr>
                  </w:pPr>
                  <w:r>
                    <w:rPr>
                      <w:rFonts w:hint="eastAsia" w:ascii="Times New Roman" w:hAnsi="Times New Roman" w:cs="Times New Roman" w:eastAsiaTheme="minorEastAsia"/>
                      <w:b w:val="0"/>
                      <w:bCs w:val="0"/>
                      <w:color w:val="auto"/>
                      <w:sz w:val="18"/>
                      <w:szCs w:val="18"/>
                      <w:highlight w:val="none"/>
                      <w:lang w:val="en-US" w:eastAsia="zh-CN"/>
                    </w:rPr>
                    <w:t>园区雨水管道设计重现期采用</w:t>
                  </w:r>
                  <w:r>
                    <w:rPr>
                      <w:rFonts w:hint="eastAsia" w:cs="Times New Roman" w:eastAsiaTheme="minorEastAsia"/>
                      <w:b w:val="0"/>
                      <w:bCs w:val="0"/>
                      <w:color w:val="auto"/>
                      <w:sz w:val="18"/>
                      <w:szCs w:val="18"/>
                      <w:highlight w:val="none"/>
                      <w:lang w:val="en-US" w:eastAsia="zh-CN"/>
                    </w:rPr>
                    <w:t>2-5</w:t>
                  </w:r>
                  <w:r>
                    <w:rPr>
                      <w:rFonts w:hint="eastAsia" w:ascii="Times New Roman" w:hAnsi="Times New Roman" w:cs="Times New Roman" w:eastAsiaTheme="minorEastAsia"/>
                      <w:b w:val="0"/>
                      <w:bCs w:val="0"/>
                      <w:color w:val="auto"/>
                      <w:sz w:val="18"/>
                      <w:szCs w:val="18"/>
                      <w:highlight w:val="none"/>
                      <w:lang w:val="en-US" w:eastAsia="zh-CN"/>
                    </w:rPr>
                    <w:t xml:space="preserve">年，建设用地综合径流系数控制上限不得大 于 </w:t>
                  </w:r>
                  <w:r>
                    <w:rPr>
                      <w:rFonts w:hint="default" w:ascii="Times New Roman" w:hAnsi="Times New Roman" w:cs="Times New Roman" w:eastAsiaTheme="minorEastAsia"/>
                      <w:b w:val="0"/>
                      <w:bCs w:val="0"/>
                      <w:color w:val="auto"/>
                      <w:sz w:val="18"/>
                      <w:szCs w:val="18"/>
                      <w:highlight w:val="none"/>
                      <w:lang w:val="en-US" w:eastAsia="zh-CN"/>
                    </w:rPr>
                    <w:t>0.5</w:t>
                  </w:r>
                  <w:r>
                    <w:rPr>
                      <w:rFonts w:hint="eastAsia" w:ascii="Times New Roman" w:hAnsi="Times New Roman" w:cs="Times New Roman" w:eastAsiaTheme="minorEastAsia"/>
                      <w:b w:val="0"/>
                      <w:bCs w:val="0"/>
                      <w:color w:val="auto"/>
                      <w:sz w:val="18"/>
                      <w:szCs w:val="18"/>
                      <w:highlight w:val="none"/>
                      <w:lang w:val="en-US" w:eastAsia="zh-CN"/>
                    </w:rPr>
                    <w:t>。沿道路及地形坡向布置各次级管道，片区南环路以北部分排入柳莺路雨水干管，南环路以南部分排入柳莺路主干管。</w:t>
                  </w:r>
                </w:p>
              </w:tc>
              <w:tc>
                <w:tcPr>
                  <w:tcW w:w="1224" w:type="dxa"/>
                  <w:tcBorders>
                    <w:tl2br w:val="nil"/>
                    <w:tr2bl w:val="nil"/>
                  </w:tcBorders>
                  <w:vAlign w:val="center"/>
                </w:tcPr>
                <w:p w14:paraId="61E8725D">
                  <w:pPr>
                    <w:spacing w:line="240" w:lineRule="auto"/>
                    <w:jc w:val="center"/>
                    <w:rPr>
                      <w:rFonts w:hint="default" w:cs="Times New Roman" w:eastAsiaTheme="minorEastAsia"/>
                      <w:b w:val="0"/>
                      <w:bCs w:val="0"/>
                      <w:color w:val="auto"/>
                      <w:sz w:val="18"/>
                      <w:szCs w:val="18"/>
                      <w:highlight w:val="none"/>
                      <w:lang w:val="en-US" w:eastAsia="zh-CN"/>
                    </w:rPr>
                  </w:pPr>
                  <w:r>
                    <w:rPr>
                      <w:rFonts w:hint="eastAsia" w:cs="Times New Roman" w:eastAsiaTheme="minorEastAsia"/>
                      <w:b w:val="0"/>
                      <w:bCs w:val="0"/>
                      <w:color w:val="auto"/>
                      <w:sz w:val="18"/>
                      <w:szCs w:val="18"/>
                      <w:highlight w:val="none"/>
                      <w:lang w:val="en-US" w:eastAsia="zh-CN"/>
                    </w:rPr>
                    <w:t>园区已敷设完善的雨水管网</w:t>
                  </w:r>
                </w:p>
              </w:tc>
              <w:tc>
                <w:tcPr>
                  <w:tcW w:w="0" w:type="auto"/>
                  <w:tcBorders>
                    <w:tl2br w:val="nil"/>
                    <w:tr2bl w:val="nil"/>
                  </w:tcBorders>
                  <w:vAlign w:val="center"/>
                </w:tcPr>
                <w:p w14:paraId="3EF1961F">
                  <w:pPr>
                    <w:spacing w:line="240" w:lineRule="auto"/>
                    <w:jc w:val="center"/>
                    <w:rPr>
                      <w:rFonts w:hint="default" w:cs="Times New Roman" w:eastAsiaTheme="minorEastAsia"/>
                      <w:b w:val="0"/>
                      <w:bCs w:val="0"/>
                      <w:color w:val="auto"/>
                      <w:sz w:val="18"/>
                      <w:szCs w:val="18"/>
                      <w:highlight w:val="none"/>
                      <w:lang w:val="en-US" w:eastAsia="zh-CN"/>
                    </w:rPr>
                  </w:pPr>
                  <w:r>
                    <w:rPr>
                      <w:rFonts w:hint="eastAsia" w:cs="Times New Roman" w:eastAsiaTheme="minorEastAsia"/>
                      <w:b w:val="0"/>
                      <w:bCs w:val="0"/>
                      <w:color w:val="auto"/>
                      <w:sz w:val="18"/>
                      <w:szCs w:val="18"/>
                      <w:highlight w:val="none"/>
                      <w:lang w:val="en-US" w:eastAsia="zh-CN"/>
                    </w:rPr>
                    <w:t>园区雨水管网覆盖本项目所在区域</w:t>
                  </w:r>
                </w:p>
              </w:tc>
              <w:tc>
                <w:tcPr>
                  <w:tcW w:w="0" w:type="auto"/>
                  <w:tcBorders>
                    <w:tl2br w:val="nil"/>
                    <w:tr2bl w:val="nil"/>
                  </w:tcBorders>
                  <w:vAlign w:val="center"/>
                </w:tcPr>
                <w:p w14:paraId="3A9E9F20">
                  <w:pPr>
                    <w:spacing w:line="240" w:lineRule="auto"/>
                    <w:ind w:firstLine="0" w:firstLineChars="0"/>
                    <w:jc w:val="center"/>
                    <w:rPr>
                      <w:rFonts w:hint="default" w:ascii="Times New Roman" w:hAnsi="Times New Roman" w:cs="Times New Roman" w:eastAsiaTheme="minorEastAsia"/>
                      <w:b w:val="0"/>
                      <w:bCs w:val="0"/>
                      <w:color w:val="auto"/>
                      <w:sz w:val="18"/>
                      <w:szCs w:val="18"/>
                      <w:highlight w:val="none"/>
                    </w:rPr>
                  </w:pPr>
                  <w:r>
                    <w:rPr>
                      <w:rFonts w:hint="default" w:ascii="Times New Roman" w:hAnsi="Times New Roman" w:cs="Times New Roman" w:eastAsiaTheme="minorEastAsia"/>
                      <w:b w:val="0"/>
                      <w:bCs w:val="0"/>
                      <w:color w:val="auto"/>
                      <w:sz w:val="18"/>
                      <w:szCs w:val="18"/>
                      <w:highlight w:val="none"/>
                    </w:rPr>
                    <w:t>可保证</w:t>
                  </w:r>
                </w:p>
              </w:tc>
            </w:tr>
            <w:tr w14:paraId="037A18B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0" w:type="auto"/>
                  <w:tcBorders>
                    <w:tl2br w:val="nil"/>
                    <w:tr2bl w:val="nil"/>
                  </w:tcBorders>
                  <w:vAlign w:val="center"/>
                </w:tcPr>
                <w:p w14:paraId="4A320C50">
                  <w:pPr>
                    <w:spacing w:line="240" w:lineRule="auto"/>
                    <w:ind w:firstLine="0" w:firstLineChars="0"/>
                    <w:jc w:val="center"/>
                    <w:rPr>
                      <w:rFonts w:hint="default" w:ascii="Times New Roman" w:hAnsi="Times New Roman" w:cs="Times New Roman" w:eastAsiaTheme="minorEastAsia"/>
                      <w:b w:val="0"/>
                      <w:bCs w:val="0"/>
                      <w:color w:val="auto"/>
                      <w:sz w:val="18"/>
                      <w:szCs w:val="18"/>
                      <w:highlight w:val="none"/>
                    </w:rPr>
                  </w:pPr>
                  <w:r>
                    <w:rPr>
                      <w:rFonts w:hint="eastAsia" w:cs="Times New Roman" w:eastAsiaTheme="minorEastAsia"/>
                      <w:b w:val="0"/>
                      <w:bCs w:val="0"/>
                      <w:color w:val="auto"/>
                      <w:sz w:val="18"/>
                      <w:szCs w:val="18"/>
                      <w:highlight w:val="none"/>
                      <w:lang w:val="en-US" w:eastAsia="zh-CN"/>
                    </w:rPr>
                    <w:t>污</w:t>
                  </w:r>
                  <w:r>
                    <w:rPr>
                      <w:rFonts w:hint="default" w:ascii="Times New Roman" w:hAnsi="Times New Roman" w:cs="Times New Roman" w:eastAsiaTheme="minorEastAsia"/>
                      <w:b w:val="0"/>
                      <w:bCs w:val="0"/>
                      <w:color w:val="auto"/>
                      <w:sz w:val="18"/>
                      <w:szCs w:val="18"/>
                      <w:highlight w:val="none"/>
                    </w:rPr>
                    <w:t>水工程</w:t>
                  </w:r>
                </w:p>
              </w:tc>
              <w:tc>
                <w:tcPr>
                  <w:tcW w:w="3713" w:type="dxa"/>
                  <w:tcBorders>
                    <w:tl2br w:val="nil"/>
                    <w:tr2bl w:val="nil"/>
                  </w:tcBorders>
                  <w:vAlign w:val="center"/>
                </w:tcPr>
                <w:p w14:paraId="52798084">
                  <w:pPr>
                    <w:spacing w:line="240" w:lineRule="auto"/>
                    <w:ind w:firstLine="180" w:firstLineChars="100"/>
                    <w:rPr>
                      <w:rFonts w:hint="default" w:ascii="Times New Roman" w:hAnsi="Times New Roman" w:cs="Times New Roman" w:eastAsiaTheme="minorEastAsia"/>
                      <w:b w:val="0"/>
                      <w:bCs w:val="0"/>
                      <w:color w:val="auto"/>
                      <w:sz w:val="18"/>
                      <w:szCs w:val="18"/>
                      <w:highlight w:val="none"/>
                    </w:rPr>
                  </w:pPr>
                  <w:r>
                    <w:rPr>
                      <w:rFonts w:hint="eastAsia" w:ascii="Times New Roman" w:hAnsi="Times New Roman" w:cs="Times New Roman" w:eastAsiaTheme="minorEastAsia"/>
                      <w:b w:val="0"/>
                      <w:bCs w:val="0"/>
                      <w:color w:val="auto"/>
                      <w:sz w:val="18"/>
                      <w:szCs w:val="18"/>
                      <w:highlight w:val="none"/>
                      <w:lang w:val="en-US" w:eastAsia="zh-CN"/>
                    </w:rPr>
                    <w:t>园区排水体制采用雨污分流制，污水收集处理率须达到</w:t>
                  </w:r>
                  <w:r>
                    <w:rPr>
                      <w:rFonts w:hint="default" w:ascii="Times New Roman" w:hAnsi="Times New Roman" w:cs="Times New Roman" w:eastAsiaTheme="minorEastAsia"/>
                      <w:b w:val="0"/>
                      <w:bCs w:val="0"/>
                      <w:color w:val="auto"/>
                      <w:sz w:val="18"/>
                      <w:szCs w:val="18"/>
                      <w:highlight w:val="none"/>
                      <w:lang w:val="en-US" w:eastAsia="zh-CN"/>
                    </w:rPr>
                    <w:t>100%</w:t>
                  </w:r>
                  <w:r>
                    <w:rPr>
                      <w:rFonts w:hint="eastAsia" w:cs="Times New Roman" w:eastAsiaTheme="minorEastAsia"/>
                      <w:b w:val="0"/>
                      <w:bCs w:val="0"/>
                      <w:color w:val="auto"/>
                      <w:sz w:val="18"/>
                      <w:szCs w:val="18"/>
                      <w:highlight w:val="none"/>
                      <w:lang w:val="en-US" w:eastAsia="zh-CN"/>
                    </w:rPr>
                    <w:t>，</w:t>
                  </w:r>
                  <w:r>
                    <w:rPr>
                      <w:rFonts w:hint="eastAsia" w:ascii="Times New Roman" w:hAnsi="Times New Roman" w:cs="Times New Roman" w:eastAsiaTheme="minorEastAsia"/>
                      <w:b w:val="0"/>
                      <w:bCs w:val="0"/>
                      <w:color w:val="auto"/>
                      <w:sz w:val="18"/>
                      <w:szCs w:val="18"/>
                      <w:highlight w:val="none"/>
                      <w:lang w:val="en-US" w:eastAsia="zh-CN"/>
                    </w:rPr>
                    <w:t>污水量约为</w:t>
                  </w:r>
                  <w:r>
                    <w:rPr>
                      <w:rFonts w:hint="default" w:ascii="Times New Roman" w:hAnsi="Times New Roman" w:cs="Times New Roman" w:eastAsiaTheme="minorEastAsia"/>
                      <w:b w:val="0"/>
                      <w:bCs w:val="0"/>
                      <w:color w:val="auto"/>
                      <w:sz w:val="18"/>
                      <w:szCs w:val="18"/>
                      <w:highlight w:val="none"/>
                      <w:lang w:val="en-US" w:eastAsia="zh-CN"/>
                    </w:rPr>
                    <w:t>2.04</w:t>
                  </w:r>
                  <w:r>
                    <w:rPr>
                      <w:rFonts w:hint="eastAsia" w:ascii="Times New Roman" w:hAnsi="Times New Roman" w:cs="Times New Roman" w:eastAsiaTheme="minorEastAsia"/>
                      <w:b w:val="0"/>
                      <w:bCs w:val="0"/>
                      <w:color w:val="auto"/>
                      <w:sz w:val="18"/>
                      <w:szCs w:val="18"/>
                      <w:highlight w:val="none"/>
                      <w:lang w:val="en-US" w:eastAsia="zh-CN"/>
                    </w:rPr>
                    <w:t>万</w:t>
                  </w:r>
                  <w:r>
                    <w:rPr>
                      <w:rFonts w:hint="default" w:ascii="Times New Roman" w:hAnsi="Times New Roman" w:cs="Times New Roman" w:eastAsiaTheme="minorEastAsia"/>
                      <w:b w:val="0"/>
                      <w:bCs w:val="0"/>
                      <w:color w:val="auto"/>
                      <w:sz w:val="18"/>
                      <w:szCs w:val="18"/>
                      <w:highlight w:val="none"/>
                      <w:lang w:val="en-US" w:eastAsia="zh-CN"/>
                    </w:rPr>
                    <w:t>m</w:t>
                  </w:r>
                  <w:r>
                    <w:rPr>
                      <w:rFonts w:hint="default" w:ascii="Times New Roman" w:hAnsi="Times New Roman" w:cs="Times New Roman" w:eastAsiaTheme="minorEastAsia"/>
                      <w:b w:val="0"/>
                      <w:bCs w:val="0"/>
                      <w:color w:val="auto"/>
                      <w:sz w:val="18"/>
                      <w:szCs w:val="18"/>
                      <w:highlight w:val="none"/>
                      <w:vertAlign w:val="superscript"/>
                      <w:lang w:val="en-US" w:eastAsia="zh-CN"/>
                    </w:rPr>
                    <w:t>3</w:t>
                  </w:r>
                  <w:r>
                    <w:rPr>
                      <w:rFonts w:hint="default" w:ascii="Times New Roman" w:hAnsi="Times New Roman" w:cs="Times New Roman" w:eastAsiaTheme="minorEastAsia"/>
                      <w:b w:val="0"/>
                      <w:bCs w:val="0"/>
                      <w:color w:val="auto"/>
                      <w:sz w:val="18"/>
                      <w:szCs w:val="18"/>
                      <w:highlight w:val="none"/>
                      <w:lang w:val="en-US" w:eastAsia="zh-CN"/>
                    </w:rPr>
                    <w:t>/d</w:t>
                  </w:r>
                  <w:r>
                    <w:rPr>
                      <w:rFonts w:hint="eastAsia" w:ascii="Times New Roman" w:hAnsi="Times New Roman" w:cs="Times New Roman" w:eastAsiaTheme="minorEastAsia"/>
                      <w:b w:val="0"/>
                      <w:bCs w:val="0"/>
                      <w:color w:val="auto"/>
                      <w:sz w:val="18"/>
                      <w:szCs w:val="18"/>
                      <w:highlight w:val="none"/>
                      <w:lang w:val="en-US" w:eastAsia="zh-CN"/>
                    </w:rPr>
                    <w:t>。 工 业废 水 先 行 处理 后 ， 低 于《 污 水 排 入城 镇 下 水 道水 质 标 准》（</w:t>
                  </w:r>
                  <w:r>
                    <w:rPr>
                      <w:rFonts w:hint="default" w:ascii="Times New Roman" w:hAnsi="Times New Roman" w:cs="Times New Roman" w:eastAsiaTheme="minorEastAsia"/>
                      <w:b w:val="0"/>
                      <w:bCs w:val="0"/>
                      <w:color w:val="auto"/>
                      <w:sz w:val="18"/>
                      <w:szCs w:val="18"/>
                      <w:highlight w:val="none"/>
                      <w:lang w:val="en-US" w:eastAsia="zh-CN"/>
                    </w:rPr>
                    <w:t>GB/T31962-2015</w:t>
                  </w:r>
                  <w:r>
                    <w:rPr>
                      <w:rFonts w:hint="eastAsia" w:ascii="Times New Roman" w:hAnsi="Times New Roman" w:cs="Times New Roman" w:eastAsiaTheme="minorEastAsia"/>
                      <w:b w:val="0"/>
                      <w:bCs w:val="0"/>
                      <w:color w:val="auto"/>
                      <w:sz w:val="18"/>
                      <w:szCs w:val="18"/>
                      <w:highlight w:val="none"/>
                      <w:lang w:val="en-US" w:eastAsia="zh-CN"/>
                    </w:rPr>
                    <w:t>）中</w:t>
                  </w:r>
                  <w:r>
                    <w:rPr>
                      <w:rFonts w:hint="default" w:ascii="Times New Roman" w:hAnsi="Times New Roman" w:cs="Times New Roman" w:eastAsiaTheme="minorEastAsia"/>
                      <w:b w:val="0"/>
                      <w:bCs w:val="0"/>
                      <w:color w:val="auto"/>
                      <w:sz w:val="18"/>
                      <w:szCs w:val="18"/>
                      <w:highlight w:val="none"/>
                      <w:lang w:val="en-US" w:eastAsia="zh-CN"/>
                    </w:rPr>
                    <w:t>B</w:t>
                  </w:r>
                  <w:r>
                    <w:rPr>
                      <w:rFonts w:hint="eastAsia" w:ascii="Times New Roman" w:hAnsi="Times New Roman" w:cs="Times New Roman" w:eastAsiaTheme="minorEastAsia"/>
                      <w:b w:val="0"/>
                      <w:bCs w:val="0"/>
                      <w:color w:val="auto"/>
                      <w:sz w:val="18"/>
                      <w:szCs w:val="18"/>
                      <w:highlight w:val="none"/>
                      <w:lang w:val="en-US" w:eastAsia="zh-CN"/>
                    </w:rPr>
                    <w:t>等级污染物控制项目的限值，再排入市政污水管网，最终排入大同市开发区污水处理厂。</w:t>
                  </w:r>
                </w:p>
              </w:tc>
              <w:tc>
                <w:tcPr>
                  <w:tcW w:w="1224" w:type="dxa"/>
                  <w:tcBorders>
                    <w:tl2br w:val="nil"/>
                    <w:tr2bl w:val="nil"/>
                  </w:tcBorders>
                  <w:vAlign w:val="center"/>
                </w:tcPr>
                <w:p w14:paraId="10F1D620">
                  <w:pPr>
                    <w:spacing w:line="240" w:lineRule="auto"/>
                    <w:jc w:val="center"/>
                    <w:rPr>
                      <w:rFonts w:hint="eastAsia" w:cs="Times New Roman" w:eastAsiaTheme="minorEastAsia"/>
                      <w:b w:val="0"/>
                      <w:bCs w:val="0"/>
                      <w:color w:val="auto"/>
                      <w:sz w:val="18"/>
                      <w:szCs w:val="18"/>
                      <w:highlight w:val="none"/>
                      <w:lang w:val="en-US" w:eastAsia="zh-CN"/>
                    </w:rPr>
                  </w:pPr>
                  <w:r>
                    <w:rPr>
                      <w:rFonts w:hint="default" w:cs="Times New Roman" w:eastAsiaTheme="minorEastAsia"/>
                      <w:b w:val="0"/>
                      <w:bCs w:val="0"/>
                      <w:color w:val="auto"/>
                      <w:sz w:val="18"/>
                      <w:szCs w:val="18"/>
                      <w:highlight w:val="none"/>
                      <w:lang w:val="en-US" w:eastAsia="zh-CN"/>
                    </w:rPr>
                    <w:t>园区污水处理厂</w:t>
                  </w:r>
                  <w:r>
                    <w:rPr>
                      <w:rFonts w:hint="eastAsia" w:cs="Times New Roman" w:eastAsiaTheme="minorEastAsia"/>
                      <w:b w:val="0"/>
                      <w:bCs w:val="0"/>
                      <w:color w:val="auto"/>
                      <w:sz w:val="18"/>
                      <w:szCs w:val="18"/>
                      <w:highlight w:val="none"/>
                      <w:lang w:val="en-US" w:eastAsia="zh-CN"/>
                    </w:rPr>
                    <w:t>目前处于正常运行状态</w:t>
                  </w:r>
                </w:p>
              </w:tc>
              <w:tc>
                <w:tcPr>
                  <w:tcW w:w="0" w:type="auto"/>
                  <w:tcBorders>
                    <w:tl2br w:val="nil"/>
                    <w:tr2bl w:val="nil"/>
                  </w:tcBorders>
                  <w:vAlign w:val="center"/>
                </w:tcPr>
                <w:p w14:paraId="4F704BA4">
                  <w:pPr>
                    <w:spacing w:line="240" w:lineRule="auto"/>
                    <w:jc w:val="center"/>
                    <w:rPr>
                      <w:rFonts w:hint="default" w:cs="Times New Roman" w:eastAsiaTheme="minorEastAsia"/>
                      <w:b w:val="0"/>
                      <w:bCs w:val="0"/>
                      <w:color w:val="auto"/>
                      <w:sz w:val="18"/>
                      <w:szCs w:val="18"/>
                      <w:highlight w:val="none"/>
                      <w:lang w:val="en-US" w:eastAsia="zh-CN"/>
                    </w:rPr>
                  </w:pPr>
                  <w:r>
                    <w:rPr>
                      <w:rFonts w:hint="default" w:cs="Times New Roman" w:eastAsiaTheme="minorEastAsia"/>
                      <w:b w:val="0"/>
                      <w:bCs w:val="0"/>
                      <w:color w:val="auto"/>
                      <w:sz w:val="18"/>
                      <w:szCs w:val="18"/>
                      <w:highlight w:val="none"/>
                      <w:lang w:val="en-US" w:eastAsia="zh-CN"/>
                    </w:rPr>
                    <w:t>企业自建污水处理</w:t>
                  </w:r>
                  <w:r>
                    <w:rPr>
                      <w:rFonts w:hint="eastAsia" w:cs="Times New Roman" w:eastAsiaTheme="minorEastAsia"/>
                      <w:b w:val="0"/>
                      <w:bCs w:val="0"/>
                      <w:color w:val="auto"/>
                      <w:sz w:val="18"/>
                      <w:szCs w:val="18"/>
                      <w:highlight w:val="none"/>
                      <w:lang w:val="en-US" w:eastAsia="zh-CN"/>
                    </w:rPr>
                    <w:t>站</w:t>
                  </w:r>
                  <w:r>
                    <w:rPr>
                      <w:rFonts w:hint="default" w:cs="Times New Roman" w:eastAsiaTheme="minorEastAsia"/>
                      <w:b w:val="0"/>
                      <w:bCs w:val="0"/>
                      <w:color w:val="auto"/>
                      <w:sz w:val="18"/>
                      <w:szCs w:val="18"/>
                      <w:highlight w:val="none"/>
                      <w:lang w:val="en-US" w:eastAsia="zh-CN"/>
                    </w:rPr>
                    <w:t>，污水处理</w:t>
                  </w:r>
                  <w:r>
                    <w:rPr>
                      <w:rFonts w:hint="eastAsia" w:cs="Times New Roman" w:eastAsiaTheme="minorEastAsia"/>
                      <w:b w:val="0"/>
                      <w:bCs w:val="0"/>
                      <w:color w:val="auto"/>
                      <w:sz w:val="18"/>
                      <w:szCs w:val="18"/>
                      <w:highlight w:val="none"/>
                      <w:lang w:val="en-US" w:eastAsia="zh-CN"/>
                    </w:rPr>
                    <w:t>达标后进入园区污水管网系统</w:t>
                  </w:r>
                </w:p>
              </w:tc>
              <w:tc>
                <w:tcPr>
                  <w:tcW w:w="0" w:type="auto"/>
                  <w:tcBorders>
                    <w:tl2br w:val="nil"/>
                    <w:tr2bl w:val="nil"/>
                  </w:tcBorders>
                  <w:vAlign w:val="center"/>
                </w:tcPr>
                <w:p w14:paraId="076DB2BF">
                  <w:pPr>
                    <w:spacing w:line="240" w:lineRule="auto"/>
                    <w:ind w:firstLine="0" w:firstLineChars="0"/>
                    <w:jc w:val="center"/>
                    <w:rPr>
                      <w:rFonts w:hint="default" w:ascii="Times New Roman" w:hAnsi="Times New Roman" w:cs="Times New Roman" w:eastAsiaTheme="minorEastAsia"/>
                      <w:b w:val="0"/>
                      <w:bCs w:val="0"/>
                      <w:color w:val="auto"/>
                      <w:sz w:val="18"/>
                      <w:szCs w:val="18"/>
                      <w:highlight w:val="none"/>
                    </w:rPr>
                  </w:pPr>
                  <w:r>
                    <w:rPr>
                      <w:rFonts w:hint="default" w:ascii="Times New Roman" w:hAnsi="Times New Roman" w:cs="Times New Roman" w:eastAsiaTheme="minorEastAsia"/>
                      <w:b w:val="0"/>
                      <w:bCs w:val="0"/>
                      <w:color w:val="auto"/>
                      <w:sz w:val="18"/>
                      <w:szCs w:val="18"/>
                      <w:highlight w:val="none"/>
                    </w:rPr>
                    <w:t>可保证</w:t>
                  </w:r>
                </w:p>
              </w:tc>
            </w:tr>
            <w:tr w14:paraId="1C61EC4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0" w:type="auto"/>
                  <w:tcBorders>
                    <w:tl2br w:val="nil"/>
                    <w:tr2bl w:val="nil"/>
                  </w:tcBorders>
                  <w:vAlign w:val="center"/>
                </w:tcPr>
                <w:p w14:paraId="59F31F3B">
                  <w:pPr>
                    <w:spacing w:line="240" w:lineRule="auto"/>
                    <w:ind w:firstLine="0" w:firstLineChars="0"/>
                    <w:jc w:val="center"/>
                    <w:rPr>
                      <w:rFonts w:hint="default" w:ascii="Times New Roman" w:hAnsi="Times New Roman" w:cs="Times New Roman" w:eastAsiaTheme="minorEastAsia"/>
                      <w:b w:val="0"/>
                      <w:bCs w:val="0"/>
                      <w:color w:val="auto"/>
                      <w:sz w:val="18"/>
                      <w:szCs w:val="18"/>
                      <w:highlight w:val="none"/>
                    </w:rPr>
                  </w:pPr>
                  <w:r>
                    <w:rPr>
                      <w:rFonts w:hint="default" w:ascii="Times New Roman" w:hAnsi="Times New Roman" w:cs="Times New Roman" w:eastAsiaTheme="minorEastAsia"/>
                      <w:b w:val="0"/>
                      <w:bCs w:val="0"/>
                      <w:color w:val="auto"/>
                      <w:sz w:val="18"/>
                      <w:szCs w:val="18"/>
                      <w:highlight w:val="none"/>
                    </w:rPr>
                    <w:t>供电工程</w:t>
                  </w:r>
                </w:p>
              </w:tc>
              <w:tc>
                <w:tcPr>
                  <w:tcW w:w="3713" w:type="dxa"/>
                  <w:tcBorders>
                    <w:tl2br w:val="nil"/>
                    <w:tr2bl w:val="nil"/>
                  </w:tcBorders>
                  <w:vAlign w:val="center"/>
                </w:tcPr>
                <w:p w14:paraId="76BA3FD8">
                  <w:pPr>
                    <w:spacing w:line="240" w:lineRule="auto"/>
                    <w:ind w:firstLine="180" w:firstLineChars="100"/>
                    <w:rPr>
                      <w:rFonts w:hint="default" w:ascii="Times New Roman" w:hAnsi="Times New Roman" w:cs="Times New Roman" w:eastAsiaTheme="minorEastAsia"/>
                      <w:b w:val="0"/>
                      <w:bCs w:val="0"/>
                      <w:color w:val="auto"/>
                      <w:sz w:val="18"/>
                      <w:szCs w:val="18"/>
                      <w:highlight w:val="none"/>
                    </w:rPr>
                  </w:pPr>
                  <w:r>
                    <w:rPr>
                      <w:rFonts w:hint="eastAsia" w:ascii="Times New Roman" w:hAnsi="Times New Roman" w:cs="Times New Roman" w:eastAsiaTheme="minorEastAsia"/>
                      <w:b w:val="0"/>
                      <w:bCs w:val="0"/>
                      <w:color w:val="auto"/>
                      <w:sz w:val="18"/>
                      <w:szCs w:val="18"/>
                      <w:highlight w:val="none"/>
                      <w:lang w:val="en-US" w:eastAsia="zh-CN"/>
                    </w:rPr>
                    <w:t>园区用电最大负荷为</w:t>
                  </w:r>
                  <w:r>
                    <w:rPr>
                      <w:rFonts w:hint="default" w:ascii="Times New Roman" w:hAnsi="Times New Roman" w:cs="Times New Roman" w:eastAsiaTheme="minorEastAsia"/>
                      <w:b w:val="0"/>
                      <w:bCs w:val="0"/>
                      <w:color w:val="auto"/>
                      <w:sz w:val="18"/>
                      <w:szCs w:val="18"/>
                      <w:highlight w:val="none"/>
                      <w:lang w:val="en-US" w:eastAsia="zh-CN"/>
                    </w:rPr>
                    <w:t>10.76</w:t>
                  </w:r>
                  <w:r>
                    <w:rPr>
                      <w:rFonts w:hint="eastAsia" w:ascii="Times New Roman" w:hAnsi="Times New Roman" w:cs="Times New Roman" w:eastAsiaTheme="minorEastAsia"/>
                      <w:b w:val="0"/>
                      <w:bCs w:val="0"/>
                      <w:color w:val="auto"/>
                      <w:sz w:val="18"/>
                      <w:szCs w:val="18"/>
                      <w:highlight w:val="none"/>
                      <w:lang w:val="en-US" w:eastAsia="zh-CN"/>
                    </w:rPr>
                    <w:t>万</w:t>
                  </w:r>
                  <w:r>
                    <w:rPr>
                      <w:rFonts w:hint="default" w:ascii="Times New Roman" w:hAnsi="Times New Roman" w:cs="Times New Roman" w:eastAsiaTheme="minorEastAsia"/>
                      <w:b w:val="0"/>
                      <w:bCs w:val="0"/>
                      <w:color w:val="auto"/>
                      <w:sz w:val="18"/>
                      <w:szCs w:val="18"/>
                      <w:highlight w:val="none"/>
                      <w:lang w:val="en-US" w:eastAsia="zh-CN"/>
                    </w:rPr>
                    <w:t>kW</w:t>
                  </w:r>
                  <w:r>
                    <w:rPr>
                      <w:rFonts w:hint="eastAsia" w:ascii="Times New Roman" w:hAnsi="Times New Roman" w:cs="Times New Roman" w:eastAsiaTheme="minorEastAsia"/>
                      <w:b w:val="0"/>
                      <w:bCs w:val="0"/>
                      <w:color w:val="auto"/>
                      <w:sz w:val="18"/>
                      <w:szCs w:val="18"/>
                      <w:highlight w:val="none"/>
                      <w:lang w:val="en-US" w:eastAsia="zh-CN"/>
                    </w:rPr>
                    <w:t>。规划供电电源近期为大同二电厂，远期为大同二电厂及湖东电厂。</w:t>
                  </w:r>
                  <w:r>
                    <w:rPr>
                      <w:rFonts w:hint="default" w:ascii="Times New Roman" w:hAnsi="Times New Roman" w:cs="Times New Roman" w:eastAsiaTheme="minorEastAsia"/>
                      <w:b w:val="0"/>
                      <w:bCs w:val="0"/>
                      <w:color w:val="auto"/>
                      <w:sz w:val="18"/>
                      <w:szCs w:val="18"/>
                      <w:highlight w:val="none"/>
                      <w:lang w:val="en-US" w:eastAsia="zh-CN"/>
                    </w:rPr>
                    <w:t xml:space="preserve">110kV </w:t>
                  </w:r>
                  <w:r>
                    <w:rPr>
                      <w:rFonts w:hint="eastAsia" w:ascii="Times New Roman" w:hAnsi="Times New Roman" w:cs="Times New Roman" w:eastAsiaTheme="minorEastAsia"/>
                      <w:b w:val="0"/>
                      <w:bCs w:val="0"/>
                      <w:color w:val="auto"/>
                      <w:sz w:val="18"/>
                      <w:szCs w:val="18"/>
                      <w:highlight w:val="none"/>
                      <w:lang w:val="en-US" w:eastAsia="zh-CN"/>
                    </w:rPr>
                    <w:t xml:space="preserve">高压线走廊宽度为 </w:t>
                  </w:r>
                  <w:r>
                    <w:rPr>
                      <w:rFonts w:hint="default" w:ascii="Times New Roman" w:hAnsi="Times New Roman" w:cs="Times New Roman" w:eastAsiaTheme="minorEastAsia"/>
                      <w:b w:val="0"/>
                      <w:bCs w:val="0"/>
                      <w:color w:val="auto"/>
                      <w:sz w:val="18"/>
                      <w:szCs w:val="18"/>
                      <w:highlight w:val="none"/>
                      <w:lang w:val="en-US" w:eastAsia="zh-CN"/>
                    </w:rPr>
                    <w:t>20m</w:t>
                  </w:r>
                  <w:r>
                    <w:rPr>
                      <w:rFonts w:hint="eastAsia" w:ascii="Times New Roman" w:hAnsi="Times New Roman" w:cs="Times New Roman" w:eastAsiaTheme="minorEastAsia"/>
                      <w:b w:val="0"/>
                      <w:bCs w:val="0"/>
                      <w:color w:val="auto"/>
                      <w:sz w:val="18"/>
                      <w:szCs w:val="18"/>
                      <w:highlight w:val="none"/>
                      <w:lang w:val="en-US" w:eastAsia="zh-CN"/>
                    </w:rPr>
                    <w:t>。</w:t>
                  </w:r>
                </w:p>
              </w:tc>
              <w:tc>
                <w:tcPr>
                  <w:tcW w:w="1224" w:type="dxa"/>
                  <w:tcBorders>
                    <w:tl2br w:val="nil"/>
                    <w:tr2bl w:val="nil"/>
                  </w:tcBorders>
                  <w:vAlign w:val="center"/>
                </w:tcPr>
                <w:p w14:paraId="71055998">
                  <w:pPr>
                    <w:spacing w:line="240" w:lineRule="auto"/>
                    <w:jc w:val="center"/>
                    <w:rPr>
                      <w:rFonts w:hint="default" w:cs="Times New Roman" w:eastAsiaTheme="minorEastAsia"/>
                      <w:b w:val="0"/>
                      <w:bCs w:val="0"/>
                      <w:color w:val="auto"/>
                      <w:sz w:val="18"/>
                      <w:szCs w:val="18"/>
                      <w:highlight w:val="none"/>
                      <w:lang w:val="en-US" w:eastAsia="zh-CN"/>
                    </w:rPr>
                  </w:pPr>
                  <w:r>
                    <w:rPr>
                      <w:rFonts w:hint="eastAsia" w:cs="Times New Roman" w:eastAsiaTheme="minorEastAsia"/>
                      <w:b w:val="0"/>
                      <w:bCs w:val="0"/>
                      <w:color w:val="auto"/>
                      <w:sz w:val="18"/>
                      <w:szCs w:val="18"/>
                      <w:highlight w:val="none"/>
                      <w:lang w:val="en-US" w:eastAsia="zh-CN"/>
                    </w:rPr>
                    <w:t>园区已配备完善的供电工程及变电站</w:t>
                  </w:r>
                </w:p>
              </w:tc>
              <w:tc>
                <w:tcPr>
                  <w:tcW w:w="0" w:type="auto"/>
                  <w:tcBorders>
                    <w:tl2br w:val="nil"/>
                    <w:tr2bl w:val="nil"/>
                  </w:tcBorders>
                  <w:vAlign w:val="center"/>
                </w:tcPr>
                <w:p w14:paraId="2A7564F6">
                  <w:pPr>
                    <w:spacing w:line="240" w:lineRule="auto"/>
                    <w:jc w:val="center"/>
                    <w:rPr>
                      <w:rFonts w:hint="default" w:cs="Times New Roman" w:eastAsiaTheme="minorEastAsia"/>
                      <w:b w:val="0"/>
                      <w:bCs w:val="0"/>
                      <w:color w:val="auto"/>
                      <w:sz w:val="18"/>
                      <w:szCs w:val="18"/>
                      <w:highlight w:val="none"/>
                      <w:lang w:val="en-US" w:eastAsia="zh-CN"/>
                    </w:rPr>
                  </w:pPr>
                  <w:r>
                    <w:rPr>
                      <w:rFonts w:hint="eastAsia" w:cs="Times New Roman" w:eastAsiaTheme="minorEastAsia"/>
                      <w:b w:val="0"/>
                      <w:bCs w:val="0"/>
                      <w:color w:val="auto"/>
                      <w:sz w:val="18"/>
                      <w:szCs w:val="18"/>
                      <w:highlight w:val="none"/>
                      <w:lang w:val="en-US" w:eastAsia="zh-CN"/>
                    </w:rPr>
                    <w:t>本项目用电由园区附近变电站引入</w:t>
                  </w:r>
                  <w:r>
                    <w:rPr>
                      <w:rFonts w:hint="default" w:cs="Times New Roman" w:eastAsiaTheme="minorEastAsia"/>
                      <w:b w:val="0"/>
                      <w:bCs w:val="0"/>
                      <w:color w:val="auto"/>
                      <w:sz w:val="18"/>
                      <w:szCs w:val="18"/>
                      <w:highlight w:val="none"/>
                      <w:lang w:val="en-US" w:eastAsia="zh-CN"/>
                    </w:rPr>
                    <w:t>，</w:t>
                  </w:r>
                  <w:r>
                    <w:rPr>
                      <w:rFonts w:hint="eastAsia" w:cs="Times New Roman" w:eastAsiaTheme="minorEastAsia"/>
                      <w:b w:val="0"/>
                      <w:bCs w:val="0"/>
                      <w:color w:val="auto"/>
                      <w:sz w:val="18"/>
                      <w:szCs w:val="18"/>
                      <w:highlight w:val="none"/>
                      <w:lang w:val="en-US" w:eastAsia="zh-CN"/>
                    </w:rPr>
                    <w:t>院</w:t>
                  </w:r>
                  <w:r>
                    <w:rPr>
                      <w:rFonts w:hint="default" w:cs="Times New Roman" w:eastAsiaTheme="minorEastAsia"/>
                      <w:b w:val="0"/>
                      <w:bCs w:val="0"/>
                      <w:color w:val="auto"/>
                      <w:sz w:val="18"/>
                      <w:szCs w:val="18"/>
                      <w:highlight w:val="none"/>
                      <w:lang w:val="en-US" w:eastAsia="zh-CN"/>
                    </w:rPr>
                    <w:t>区内新建</w:t>
                  </w:r>
                  <w:r>
                    <w:rPr>
                      <w:rFonts w:hint="eastAsia" w:cs="Times New Roman" w:eastAsiaTheme="minorEastAsia"/>
                      <w:b w:val="0"/>
                      <w:bCs w:val="0"/>
                      <w:color w:val="auto"/>
                      <w:sz w:val="18"/>
                      <w:szCs w:val="18"/>
                      <w:highlight w:val="none"/>
                      <w:lang w:val="en-US" w:eastAsia="zh-CN"/>
                    </w:rPr>
                    <w:t>变电所</w:t>
                  </w:r>
                </w:p>
              </w:tc>
              <w:tc>
                <w:tcPr>
                  <w:tcW w:w="0" w:type="auto"/>
                  <w:tcBorders>
                    <w:tl2br w:val="nil"/>
                    <w:tr2bl w:val="nil"/>
                  </w:tcBorders>
                  <w:vAlign w:val="center"/>
                </w:tcPr>
                <w:p w14:paraId="4F392785">
                  <w:pPr>
                    <w:spacing w:line="240" w:lineRule="auto"/>
                    <w:ind w:firstLine="0" w:firstLineChars="0"/>
                    <w:jc w:val="center"/>
                    <w:rPr>
                      <w:rFonts w:hint="default" w:ascii="Times New Roman" w:hAnsi="Times New Roman" w:cs="Times New Roman" w:eastAsiaTheme="minorEastAsia"/>
                      <w:b w:val="0"/>
                      <w:bCs w:val="0"/>
                      <w:color w:val="auto"/>
                      <w:sz w:val="18"/>
                      <w:szCs w:val="18"/>
                      <w:highlight w:val="none"/>
                    </w:rPr>
                  </w:pPr>
                  <w:r>
                    <w:rPr>
                      <w:rFonts w:hint="default" w:ascii="Times New Roman" w:hAnsi="Times New Roman" w:cs="Times New Roman" w:eastAsiaTheme="minorEastAsia"/>
                      <w:b w:val="0"/>
                      <w:bCs w:val="0"/>
                      <w:color w:val="auto"/>
                      <w:sz w:val="18"/>
                      <w:szCs w:val="18"/>
                      <w:highlight w:val="none"/>
                    </w:rPr>
                    <w:t>可保证</w:t>
                  </w:r>
                </w:p>
              </w:tc>
            </w:tr>
            <w:tr w14:paraId="5703199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0" w:type="auto"/>
                  <w:tcBorders>
                    <w:tl2br w:val="nil"/>
                    <w:tr2bl w:val="nil"/>
                  </w:tcBorders>
                  <w:vAlign w:val="center"/>
                </w:tcPr>
                <w:p w14:paraId="20C0D6BD">
                  <w:pPr>
                    <w:spacing w:line="240" w:lineRule="auto"/>
                    <w:ind w:firstLine="0" w:firstLineChars="0"/>
                    <w:jc w:val="center"/>
                    <w:rPr>
                      <w:rFonts w:hint="default" w:ascii="Times New Roman" w:hAnsi="Times New Roman" w:cs="Times New Roman" w:eastAsiaTheme="minorEastAsia"/>
                      <w:b w:val="0"/>
                      <w:bCs w:val="0"/>
                      <w:color w:val="auto"/>
                      <w:sz w:val="18"/>
                      <w:szCs w:val="18"/>
                      <w:highlight w:val="none"/>
                    </w:rPr>
                  </w:pPr>
                  <w:r>
                    <w:rPr>
                      <w:rFonts w:hint="default" w:ascii="Times New Roman" w:hAnsi="Times New Roman" w:cs="Times New Roman" w:eastAsiaTheme="minorEastAsia"/>
                      <w:b w:val="0"/>
                      <w:bCs w:val="0"/>
                      <w:color w:val="auto"/>
                      <w:sz w:val="18"/>
                      <w:szCs w:val="18"/>
                      <w:highlight w:val="none"/>
                    </w:rPr>
                    <w:t>供热工程</w:t>
                  </w:r>
                </w:p>
              </w:tc>
              <w:tc>
                <w:tcPr>
                  <w:tcW w:w="3713" w:type="dxa"/>
                  <w:tcBorders>
                    <w:tl2br w:val="nil"/>
                    <w:tr2bl w:val="nil"/>
                  </w:tcBorders>
                  <w:vAlign w:val="center"/>
                </w:tcPr>
                <w:p w14:paraId="18010CCE">
                  <w:pPr>
                    <w:spacing w:line="240" w:lineRule="auto"/>
                    <w:ind w:firstLine="180" w:firstLineChars="100"/>
                    <w:jc w:val="left"/>
                    <w:rPr>
                      <w:rFonts w:hint="default" w:ascii="Times New Roman" w:hAnsi="Times New Roman" w:cs="Times New Roman" w:eastAsiaTheme="minorEastAsia"/>
                      <w:b w:val="0"/>
                      <w:bCs w:val="0"/>
                      <w:color w:val="auto"/>
                      <w:sz w:val="18"/>
                      <w:szCs w:val="18"/>
                      <w:highlight w:val="none"/>
                    </w:rPr>
                  </w:pPr>
                  <w:r>
                    <w:rPr>
                      <w:rFonts w:hint="eastAsia" w:ascii="Times New Roman" w:hAnsi="Times New Roman" w:cs="Times New Roman" w:eastAsiaTheme="minorEastAsia"/>
                      <w:b w:val="0"/>
                      <w:bCs w:val="0"/>
                      <w:color w:val="auto"/>
                      <w:sz w:val="18"/>
                      <w:szCs w:val="18"/>
                      <w:highlight w:val="none"/>
                      <w:lang w:val="en-US" w:eastAsia="zh-CN"/>
                    </w:rPr>
                    <w:t>规划范围内建筑必须采用节能措施，以节能降耗，片区内总热负荷为</w:t>
                  </w:r>
                  <w:r>
                    <w:rPr>
                      <w:rFonts w:hint="default" w:ascii="Times New Roman" w:hAnsi="Times New Roman" w:cs="Times New Roman" w:eastAsiaTheme="minorEastAsia"/>
                      <w:b w:val="0"/>
                      <w:bCs w:val="0"/>
                      <w:color w:val="auto"/>
                      <w:sz w:val="18"/>
                      <w:szCs w:val="18"/>
                      <w:highlight w:val="none"/>
                      <w:lang w:val="en-US" w:eastAsia="zh-CN"/>
                    </w:rPr>
                    <w:t>84.21MW</w:t>
                  </w:r>
                  <w:r>
                    <w:rPr>
                      <w:rFonts w:hint="eastAsia" w:ascii="Times New Roman" w:hAnsi="Times New Roman" w:cs="Times New Roman" w:eastAsiaTheme="minorEastAsia"/>
                      <w:b w:val="0"/>
                      <w:bCs w:val="0"/>
                      <w:color w:val="auto"/>
                      <w:sz w:val="18"/>
                      <w:szCs w:val="18"/>
                      <w:highlight w:val="none"/>
                      <w:lang w:val="en-US" w:eastAsia="zh-CN"/>
                    </w:rPr>
                    <w:t>。采用城市统一集中供热方式，近期由大同二电厂供热，远期由大同二电厂及湖东电厂供热。规划</w:t>
                  </w:r>
                  <w:r>
                    <w:rPr>
                      <w:rFonts w:hint="default" w:ascii="Times New Roman" w:hAnsi="Times New Roman" w:cs="Times New Roman" w:eastAsiaTheme="minorEastAsia"/>
                      <w:b w:val="0"/>
                      <w:bCs w:val="0"/>
                      <w:color w:val="auto"/>
                      <w:sz w:val="18"/>
                      <w:szCs w:val="18"/>
                      <w:highlight w:val="none"/>
                      <w:lang w:val="en-US" w:eastAsia="zh-CN"/>
                    </w:rPr>
                    <w:t>13</w:t>
                  </w:r>
                  <w:r>
                    <w:rPr>
                      <w:rFonts w:hint="eastAsia" w:ascii="Times New Roman" w:hAnsi="Times New Roman" w:cs="Times New Roman" w:eastAsiaTheme="minorEastAsia"/>
                      <w:b w:val="0"/>
                      <w:bCs w:val="0"/>
                      <w:color w:val="auto"/>
                      <w:sz w:val="18"/>
                      <w:szCs w:val="18"/>
                      <w:highlight w:val="none"/>
                      <w:lang w:val="en-US" w:eastAsia="zh-CN"/>
                    </w:rPr>
                    <w:t>座换热站，根据各供热区的供热面积，单座换热站规模宜控制在</w:t>
                  </w:r>
                  <w:r>
                    <w:rPr>
                      <w:rFonts w:hint="default" w:ascii="Times New Roman" w:hAnsi="Times New Roman" w:cs="Times New Roman" w:eastAsiaTheme="minorEastAsia"/>
                      <w:b w:val="0"/>
                      <w:bCs w:val="0"/>
                      <w:color w:val="auto"/>
                      <w:sz w:val="18"/>
                      <w:szCs w:val="18"/>
                      <w:highlight w:val="none"/>
                      <w:lang w:val="en-US" w:eastAsia="zh-CN"/>
                    </w:rPr>
                    <w:t>20</w:t>
                  </w:r>
                  <w:r>
                    <w:rPr>
                      <w:rFonts w:hint="eastAsia" w:ascii="Times New Roman" w:hAnsi="Times New Roman" w:cs="Times New Roman" w:eastAsiaTheme="minorEastAsia"/>
                      <w:b w:val="0"/>
                      <w:bCs w:val="0"/>
                      <w:color w:val="auto"/>
                      <w:sz w:val="18"/>
                      <w:szCs w:val="18"/>
                      <w:highlight w:val="none"/>
                      <w:lang w:val="en-US" w:eastAsia="zh-CN"/>
                    </w:rPr>
                    <w:t>～</w:t>
                  </w:r>
                  <w:r>
                    <w:rPr>
                      <w:rFonts w:hint="default" w:ascii="Times New Roman" w:hAnsi="Times New Roman" w:cs="Times New Roman" w:eastAsiaTheme="minorEastAsia"/>
                      <w:b w:val="0"/>
                      <w:bCs w:val="0"/>
                      <w:color w:val="auto"/>
                      <w:sz w:val="18"/>
                      <w:szCs w:val="18"/>
                      <w:highlight w:val="none"/>
                      <w:lang w:val="en-US" w:eastAsia="zh-CN"/>
                    </w:rPr>
                    <w:t>50MW</w:t>
                  </w:r>
                  <w:r>
                    <w:rPr>
                      <w:rFonts w:hint="eastAsia" w:ascii="Times New Roman" w:hAnsi="Times New Roman" w:cs="Times New Roman" w:eastAsiaTheme="minorEastAsia"/>
                      <w:b w:val="0"/>
                      <w:bCs w:val="0"/>
                      <w:color w:val="auto"/>
                      <w:sz w:val="18"/>
                      <w:szCs w:val="18"/>
                      <w:highlight w:val="none"/>
                      <w:lang w:val="en-US" w:eastAsia="zh-CN"/>
                    </w:rPr>
                    <w:t>以内。</w:t>
                  </w:r>
                </w:p>
              </w:tc>
              <w:tc>
                <w:tcPr>
                  <w:tcW w:w="1224" w:type="dxa"/>
                  <w:tcBorders>
                    <w:tl2br w:val="nil"/>
                    <w:tr2bl w:val="nil"/>
                  </w:tcBorders>
                  <w:vAlign w:val="center"/>
                </w:tcPr>
                <w:p w14:paraId="1E4B033B">
                  <w:pPr>
                    <w:spacing w:line="240" w:lineRule="auto"/>
                    <w:jc w:val="center"/>
                    <w:rPr>
                      <w:rFonts w:hint="default" w:cs="Times New Roman" w:eastAsiaTheme="minorEastAsia"/>
                      <w:b w:val="0"/>
                      <w:bCs w:val="0"/>
                      <w:color w:val="auto"/>
                      <w:sz w:val="18"/>
                      <w:szCs w:val="18"/>
                      <w:highlight w:val="none"/>
                      <w:lang w:val="en-US" w:eastAsia="zh-CN"/>
                    </w:rPr>
                  </w:pPr>
                  <w:r>
                    <w:rPr>
                      <w:rFonts w:hint="default" w:cs="Times New Roman" w:eastAsiaTheme="minorEastAsia"/>
                      <w:b w:val="0"/>
                      <w:bCs w:val="0"/>
                      <w:color w:val="auto"/>
                      <w:sz w:val="18"/>
                      <w:szCs w:val="18"/>
                      <w:highlight w:val="none"/>
                      <w:lang w:val="en-US" w:eastAsia="zh-CN"/>
                    </w:rPr>
                    <w:t>园区</w:t>
                  </w:r>
                  <w:r>
                    <w:rPr>
                      <w:rFonts w:hint="eastAsia" w:cs="Times New Roman" w:eastAsiaTheme="minorEastAsia"/>
                      <w:b w:val="0"/>
                      <w:bCs w:val="0"/>
                      <w:color w:val="auto"/>
                      <w:sz w:val="18"/>
                      <w:szCs w:val="18"/>
                      <w:highlight w:val="none"/>
                      <w:lang w:val="en-US" w:eastAsia="zh-CN"/>
                    </w:rPr>
                    <w:t>基本实现</w:t>
                  </w:r>
                  <w:r>
                    <w:rPr>
                      <w:rFonts w:hint="default" w:cs="Times New Roman" w:eastAsiaTheme="minorEastAsia"/>
                      <w:b w:val="0"/>
                      <w:bCs w:val="0"/>
                      <w:color w:val="auto"/>
                      <w:sz w:val="18"/>
                      <w:szCs w:val="18"/>
                      <w:highlight w:val="none"/>
                      <w:lang w:val="en-US" w:eastAsia="zh-CN"/>
                    </w:rPr>
                    <w:t>集中供热</w:t>
                  </w:r>
                </w:p>
              </w:tc>
              <w:tc>
                <w:tcPr>
                  <w:tcW w:w="0" w:type="auto"/>
                  <w:tcBorders>
                    <w:tl2br w:val="nil"/>
                    <w:tr2bl w:val="nil"/>
                  </w:tcBorders>
                  <w:vAlign w:val="center"/>
                </w:tcPr>
                <w:p w14:paraId="67A2DC61">
                  <w:pPr>
                    <w:spacing w:line="240" w:lineRule="auto"/>
                    <w:jc w:val="center"/>
                    <w:rPr>
                      <w:rFonts w:hint="default" w:cs="Times New Roman" w:eastAsiaTheme="minorEastAsia"/>
                      <w:b w:val="0"/>
                      <w:bCs w:val="0"/>
                      <w:color w:val="auto"/>
                      <w:sz w:val="18"/>
                      <w:szCs w:val="18"/>
                      <w:highlight w:val="none"/>
                      <w:lang w:val="en-US" w:eastAsia="zh-CN"/>
                    </w:rPr>
                  </w:pPr>
                  <w:r>
                    <w:rPr>
                      <w:rFonts w:hint="eastAsia" w:cs="Times New Roman" w:eastAsiaTheme="minorEastAsia"/>
                      <w:b w:val="0"/>
                      <w:bCs w:val="0"/>
                      <w:color w:val="auto"/>
                      <w:sz w:val="18"/>
                      <w:szCs w:val="18"/>
                      <w:highlight w:val="none"/>
                      <w:lang w:val="en-US" w:eastAsia="zh-CN"/>
                    </w:rPr>
                    <w:t>本项目采用园区集中供热</w:t>
                  </w:r>
                </w:p>
              </w:tc>
              <w:tc>
                <w:tcPr>
                  <w:tcW w:w="0" w:type="auto"/>
                  <w:tcBorders>
                    <w:tl2br w:val="nil"/>
                    <w:tr2bl w:val="nil"/>
                  </w:tcBorders>
                  <w:vAlign w:val="center"/>
                </w:tcPr>
                <w:p w14:paraId="3B1771FE">
                  <w:pPr>
                    <w:spacing w:line="240" w:lineRule="auto"/>
                    <w:ind w:firstLine="0" w:firstLineChars="0"/>
                    <w:jc w:val="center"/>
                    <w:rPr>
                      <w:rFonts w:hint="default" w:ascii="Times New Roman" w:hAnsi="Times New Roman" w:cs="Times New Roman" w:eastAsiaTheme="minorEastAsia"/>
                      <w:b w:val="0"/>
                      <w:bCs w:val="0"/>
                      <w:color w:val="auto"/>
                      <w:sz w:val="18"/>
                      <w:szCs w:val="18"/>
                      <w:highlight w:val="none"/>
                    </w:rPr>
                  </w:pPr>
                  <w:r>
                    <w:rPr>
                      <w:rFonts w:hint="default" w:ascii="Times New Roman" w:hAnsi="Times New Roman" w:cs="Times New Roman" w:eastAsiaTheme="minorEastAsia"/>
                      <w:b w:val="0"/>
                      <w:bCs w:val="0"/>
                      <w:color w:val="auto"/>
                      <w:sz w:val="18"/>
                      <w:szCs w:val="18"/>
                      <w:highlight w:val="none"/>
                    </w:rPr>
                    <w:t>可保证</w:t>
                  </w:r>
                </w:p>
              </w:tc>
            </w:tr>
          </w:tbl>
          <w:p w14:paraId="607D49D8">
            <w:pPr>
              <w:pStyle w:val="77"/>
              <w:snapToGrid/>
              <w:ind w:firstLine="422"/>
              <w:rPr>
                <w:rFonts w:hint="eastAsia" w:ascii="Times New Roman" w:hAnsi="Times New Roman" w:eastAsia="宋体" w:cs="Times New Roman"/>
                <w:b w:val="0"/>
                <w:bCs w:val="0"/>
                <w:color w:val="auto"/>
                <w:szCs w:val="21"/>
                <w:lang w:val="en-US" w:eastAsia="zh-CN"/>
              </w:rPr>
            </w:pPr>
            <w:r>
              <w:rPr>
                <w:rFonts w:hint="eastAsia" w:ascii="Times New Roman" w:hAnsi="Times New Roman" w:eastAsia="宋体" w:cs="Times New Roman"/>
                <w:b w:val="0"/>
                <w:bCs w:val="0"/>
                <w:color w:val="auto"/>
                <w:szCs w:val="21"/>
                <w:lang w:val="en-US" w:eastAsia="zh-CN"/>
              </w:rPr>
              <w:t>根据表1-2分析</w:t>
            </w:r>
            <w:r>
              <w:rPr>
                <w:rFonts w:hint="eastAsia" w:ascii="Times New Roman" w:hAnsi="Times New Roman" w:cs="Times New Roman"/>
                <w:b w:val="0"/>
                <w:bCs w:val="0"/>
                <w:color w:val="auto"/>
                <w:szCs w:val="21"/>
                <w:lang w:val="en-US" w:eastAsia="zh-CN"/>
              </w:rPr>
              <w:t>可知，园区基础设施均已完善，可</w:t>
            </w:r>
            <w:r>
              <w:rPr>
                <w:rFonts w:hint="eastAsia" w:ascii="Times New Roman" w:hAnsi="Times New Roman" w:eastAsia="宋体" w:cs="Times New Roman"/>
                <w:b w:val="0"/>
                <w:bCs w:val="0"/>
                <w:color w:val="auto"/>
                <w:szCs w:val="21"/>
                <w:lang w:val="en-US" w:eastAsia="zh-CN"/>
              </w:rPr>
              <w:t>保证</w:t>
            </w:r>
            <w:r>
              <w:rPr>
                <w:rFonts w:hint="eastAsia" w:ascii="Times New Roman" w:hAnsi="Times New Roman" w:cs="Times New Roman"/>
                <w:b w:val="0"/>
                <w:bCs w:val="0"/>
                <w:color w:val="auto"/>
                <w:szCs w:val="21"/>
                <w:lang w:val="en-US" w:eastAsia="zh-CN"/>
              </w:rPr>
              <w:t>本</w:t>
            </w:r>
            <w:r>
              <w:rPr>
                <w:rFonts w:hint="eastAsia" w:ascii="Times New Roman" w:hAnsi="Times New Roman" w:eastAsia="宋体" w:cs="Times New Roman"/>
                <w:b w:val="0"/>
                <w:bCs w:val="0"/>
                <w:color w:val="auto"/>
                <w:szCs w:val="21"/>
                <w:lang w:val="en-US" w:eastAsia="zh-CN"/>
              </w:rPr>
              <w:t>项目正常运行。</w:t>
            </w:r>
          </w:p>
          <w:p w14:paraId="5DE8DDF0">
            <w:pPr>
              <w:pStyle w:val="77"/>
              <w:snapToGrid/>
              <w:ind w:firstLine="422"/>
              <w:rPr>
                <w:rFonts w:hint="eastAsia" w:ascii="Times New Roman" w:hAnsi="Times New Roman" w:eastAsia="宋体" w:cs="Times New Roman"/>
                <w:b/>
                <w:bCs/>
                <w:color w:val="auto"/>
                <w:szCs w:val="21"/>
                <w:lang w:val="en-US" w:eastAsia="zh-CN"/>
              </w:rPr>
            </w:pPr>
            <w:r>
              <w:rPr>
                <w:rFonts w:hint="eastAsia" w:ascii="Times New Roman" w:hAnsi="Times New Roman" w:eastAsia="宋体" w:cs="Times New Roman"/>
                <w:b/>
                <w:bCs/>
                <w:color w:val="auto"/>
                <w:szCs w:val="21"/>
                <w:lang w:val="en-US" w:eastAsia="zh-CN"/>
              </w:rPr>
              <w:t>2、与《大同经济技术开发区起步区控制性详细规划（现代服务产业园区）（2021-2035年）环境影响报告书》的符合性分析</w:t>
            </w:r>
          </w:p>
          <w:p w14:paraId="73DCF0FE">
            <w:pPr>
              <w:pStyle w:val="77"/>
              <w:snapToGrid/>
              <w:ind w:firstLine="422"/>
              <w:rPr>
                <w:rFonts w:hint="eastAsia" w:ascii="Times New Roman" w:hAnsi="Times New Roman" w:eastAsia="宋体" w:cs="Times New Roman"/>
                <w:b w:val="0"/>
                <w:bCs w:val="0"/>
                <w:color w:val="auto"/>
                <w:szCs w:val="21"/>
                <w:lang w:val="en-US" w:eastAsia="zh-CN"/>
              </w:rPr>
            </w:pPr>
            <w:r>
              <w:rPr>
                <w:rFonts w:hint="eastAsia" w:ascii="Times New Roman" w:hAnsi="Times New Roman" w:eastAsia="宋体" w:cs="Times New Roman"/>
                <w:b w:val="0"/>
                <w:bCs w:val="0"/>
                <w:color w:val="auto"/>
                <w:szCs w:val="21"/>
                <w:lang w:val="en-US" w:eastAsia="zh-CN"/>
              </w:rPr>
              <w:t>项目建设与《</w:t>
            </w:r>
            <w:r>
              <w:rPr>
                <w:rFonts w:hint="eastAsia" w:ascii="Times New Roman" w:hAnsi="Times New Roman" w:cs="Times New Roman"/>
                <w:b w:val="0"/>
                <w:bCs w:val="0"/>
                <w:color w:val="auto"/>
                <w:szCs w:val="21"/>
                <w:highlight w:val="none"/>
                <w:lang w:val="en-US" w:eastAsia="zh-CN"/>
              </w:rPr>
              <w:t>大同经济技术开发区起步区控制性详细规划（现代服务产业园区）（2021-2035年）</w:t>
            </w:r>
            <w:r>
              <w:rPr>
                <w:rFonts w:hint="eastAsia" w:ascii="Times New Roman" w:hAnsi="Times New Roman" w:eastAsia="宋体" w:cs="Times New Roman"/>
                <w:b w:val="0"/>
                <w:bCs w:val="0"/>
                <w:color w:val="auto"/>
                <w:szCs w:val="21"/>
                <w:lang w:val="en-US" w:eastAsia="zh-CN"/>
              </w:rPr>
              <w:t>环境影响报告书》环境准入要求符合分析见表1-3。</w:t>
            </w:r>
          </w:p>
          <w:p w14:paraId="32FF976B">
            <w:pPr>
              <w:pStyle w:val="46"/>
              <w:spacing w:after="0" w:line="240" w:lineRule="auto"/>
              <w:ind w:left="0" w:leftChars="0" w:firstLine="0" w:firstLineChars="0"/>
              <w:jc w:val="center"/>
              <w:rPr>
                <w:b/>
                <w:bCs/>
                <w:color w:val="auto"/>
                <w:sz w:val="21"/>
                <w:highlight w:val="none"/>
              </w:rPr>
            </w:pPr>
            <w:r>
              <w:rPr>
                <w:rFonts w:hint="eastAsia" w:ascii="Times New Roman" w:hAnsi="Times New Roman" w:eastAsia="宋体" w:cs="Times New Roman"/>
                <w:b/>
                <w:bCs/>
                <w:color w:val="auto"/>
                <w:kern w:val="2"/>
                <w:sz w:val="18"/>
                <w:szCs w:val="18"/>
                <w:highlight w:val="none"/>
                <w:lang w:val="en-US" w:eastAsia="zh-CN" w:bidi="ar-SA"/>
              </w:rPr>
              <w:t>表1-3  环境准入要求符合性分析</w:t>
            </w:r>
          </w:p>
          <w:tbl>
            <w:tblPr>
              <w:tblStyle w:val="4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396"/>
              <w:gridCol w:w="3264"/>
              <w:gridCol w:w="2665"/>
              <w:gridCol w:w="640"/>
            </w:tblGrid>
            <w:tr w14:paraId="09EA7D8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4" w:hRule="atLeast"/>
                <w:jc w:val="center"/>
              </w:trPr>
              <w:tc>
                <w:tcPr>
                  <w:tcW w:w="284" w:type="pct"/>
                  <w:tcBorders>
                    <w:tl2br w:val="nil"/>
                    <w:tr2bl w:val="nil"/>
                  </w:tcBorders>
                  <w:vAlign w:val="center"/>
                </w:tcPr>
                <w:p w14:paraId="6A616FB1">
                  <w:pPr>
                    <w:pStyle w:val="190"/>
                    <w:spacing w:line="240" w:lineRule="auto"/>
                    <w:rPr>
                      <w:rFonts w:hint="default" w:ascii="Times New Roman" w:hAnsi="Times New Roman" w:cs="Times New Roman" w:eastAsiaTheme="minorEastAsia"/>
                      <w:b w:val="0"/>
                      <w:bCs w:val="0"/>
                      <w:color w:val="auto"/>
                      <w:sz w:val="18"/>
                      <w:szCs w:val="18"/>
                      <w:highlight w:val="none"/>
                    </w:rPr>
                  </w:pPr>
                  <w:r>
                    <w:rPr>
                      <w:rFonts w:hint="default" w:ascii="Times New Roman" w:hAnsi="Times New Roman" w:cs="Times New Roman" w:eastAsiaTheme="minorEastAsia"/>
                      <w:b w:val="0"/>
                      <w:bCs w:val="0"/>
                      <w:color w:val="auto"/>
                      <w:sz w:val="18"/>
                      <w:szCs w:val="18"/>
                      <w:highlight w:val="none"/>
                    </w:rPr>
                    <w:t>项目</w:t>
                  </w:r>
                </w:p>
              </w:tc>
              <w:tc>
                <w:tcPr>
                  <w:tcW w:w="2343" w:type="pct"/>
                  <w:tcBorders>
                    <w:tl2br w:val="nil"/>
                    <w:tr2bl w:val="nil"/>
                  </w:tcBorders>
                  <w:vAlign w:val="center"/>
                </w:tcPr>
                <w:p w14:paraId="50AD6939">
                  <w:pPr>
                    <w:pStyle w:val="190"/>
                    <w:spacing w:line="240" w:lineRule="auto"/>
                    <w:rPr>
                      <w:rFonts w:hint="default" w:ascii="Times New Roman" w:hAnsi="Times New Roman" w:cs="Times New Roman" w:eastAsiaTheme="minorEastAsia"/>
                      <w:b w:val="0"/>
                      <w:bCs w:val="0"/>
                      <w:color w:val="auto"/>
                      <w:sz w:val="18"/>
                      <w:szCs w:val="18"/>
                      <w:highlight w:val="none"/>
                    </w:rPr>
                  </w:pPr>
                  <w:r>
                    <w:rPr>
                      <w:rFonts w:hint="default" w:ascii="Times New Roman" w:hAnsi="Times New Roman" w:cs="Times New Roman" w:eastAsiaTheme="minorEastAsia"/>
                      <w:b w:val="0"/>
                      <w:bCs w:val="0"/>
                      <w:color w:val="auto"/>
                      <w:sz w:val="18"/>
                      <w:szCs w:val="18"/>
                      <w:highlight w:val="none"/>
                    </w:rPr>
                    <w:t>准入内容</w:t>
                  </w:r>
                </w:p>
              </w:tc>
              <w:tc>
                <w:tcPr>
                  <w:tcW w:w="1913" w:type="pct"/>
                  <w:tcBorders>
                    <w:tl2br w:val="nil"/>
                    <w:tr2bl w:val="nil"/>
                  </w:tcBorders>
                  <w:vAlign w:val="center"/>
                </w:tcPr>
                <w:p w14:paraId="28D5C007">
                  <w:pPr>
                    <w:pStyle w:val="190"/>
                    <w:spacing w:line="240" w:lineRule="auto"/>
                    <w:rPr>
                      <w:rFonts w:hint="default" w:ascii="Times New Roman" w:hAnsi="Times New Roman" w:cs="Times New Roman" w:eastAsiaTheme="minorEastAsia"/>
                      <w:b w:val="0"/>
                      <w:bCs w:val="0"/>
                      <w:color w:val="auto"/>
                      <w:sz w:val="18"/>
                      <w:szCs w:val="18"/>
                      <w:highlight w:val="none"/>
                    </w:rPr>
                  </w:pPr>
                  <w:r>
                    <w:rPr>
                      <w:rFonts w:hint="default" w:ascii="Times New Roman" w:hAnsi="Times New Roman" w:cs="Times New Roman" w:eastAsiaTheme="minorEastAsia"/>
                      <w:b w:val="0"/>
                      <w:bCs w:val="0"/>
                      <w:color w:val="auto"/>
                      <w:sz w:val="18"/>
                      <w:szCs w:val="18"/>
                      <w:highlight w:val="none"/>
                    </w:rPr>
                    <w:t>项目情况</w:t>
                  </w:r>
                </w:p>
              </w:tc>
              <w:tc>
                <w:tcPr>
                  <w:tcW w:w="459" w:type="pct"/>
                  <w:tcBorders>
                    <w:tl2br w:val="nil"/>
                    <w:tr2bl w:val="nil"/>
                  </w:tcBorders>
                  <w:vAlign w:val="center"/>
                </w:tcPr>
                <w:p w14:paraId="25770F8A">
                  <w:pPr>
                    <w:pStyle w:val="190"/>
                    <w:spacing w:line="240" w:lineRule="auto"/>
                    <w:rPr>
                      <w:rFonts w:hint="default" w:ascii="Times New Roman" w:hAnsi="Times New Roman" w:cs="Times New Roman" w:eastAsiaTheme="minorEastAsia"/>
                      <w:b w:val="0"/>
                      <w:bCs w:val="0"/>
                      <w:color w:val="auto"/>
                      <w:sz w:val="18"/>
                      <w:szCs w:val="18"/>
                      <w:highlight w:val="none"/>
                    </w:rPr>
                  </w:pPr>
                  <w:r>
                    <w:rPr>
                      <w:rFonts w:hint="default" w:ascii="Times New Roman" w:hAnsi="Times New Roman" w:cs="Times New Roman" w:eastAsiaTheme="minorEastAsia"/>
                      <w:b w:val="0"/>
                      <w:bCs w:val="0"/>
                      <w:color w:val="auto"/>
                      <w:sz w:val="18"/>
                      <w:szCs w:val="18"/>
                      <w:highlight w:val="none"/>
                    </w:rPr>
                    <w:t>符合性</w:t>
                  </w:r>
                </w:p>
              </w:tc>
            </w:tr>
            <w:tr w14:paraId="28AD596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4" w:hRule="atLeast"/>
                <w:jc w:val="center"/>
              </w:trPr>
              <w:tc>
                <w:tcPr>
                  <w:tcW w:w="284" w:type="pct"/>
                  <w:tcBorders>
                    <w:tl2br w:val="nil"/>
                    <w:tr2bl w:val="nil"/>
                  </w:tcBorders>
                  <w:vAlign w:val="center"/>
                </w:tcPr>
                <w:p w14:paraId="774F4F20">
                  <w:pPr>
                    <w:pStyle w:val="190"/>
                    <w:spacing w:line="240" w:lineRule="auto"/>
                    <w:rPr>
                      <w:rFonts w:hint="default" w:ascii="Times New Roman" w:hAnsi="Times New Roman" w:cs="Times New Roman" w:eastAsiaTheme="minorEastAsia"/>
                      <w:b w:val="0"/>
                      <w:bCs w:val="0"/>
                      <w:color w:val="auto"/>
                      <w:sz w:val="18"/>
                      <w:szCs w:val="18"/>
                      <w:highlight w:val="none"/>
                      <w:lang w:val="en-US" w:eastAsia="zh-CN"/>
                    </w:rPr>
                  </w:pPr>
                  <w:r>
                    <w:rPr>
                      <w:rFonts w:hint="eastAsia" w:cs="Times New Roman" w:eastAsiaTheme="minorEastAsia"/>
                      <w:b w:val="0"/>
                      <w:bCs w:val="0"/>
                      <w:color w:val="auto"/>
                      <w:sz w:val="18"/>
                      <w:szCs w:val="18"/>
                      <w:highlight w:val="none"/>
                      <w:lang w:val="en-US" w:eastAsia="zh-CN"/>
                    </w:rPr>
                    <w:t>产业定位</w:t>
                  </w:r>
                </w:p>
              </w:tc>
              <w:tc>
                <w:tcPr>
                  <w:tcW w:w="2343" w:type="pct"/>
                  <w:tcBorders>
                    <w:tl2br w:val="nil"/>
                    <w:tr2bl w:val="nil"/>
                  </w:tcBorders>
                  <w:vAlign w:val="center"/>
                </w:tcPr>
                <w:p w14:paraId="090CD42C">
                  <w:pPr>
                    <w:spacing w:line="240" w:lineRule="auto"/>
                    <w:ind w:firstLine="180" w:firstLineChars="100"/>
                    <w:rPr>
                      <w:rFonts w:hint="default" w:ascii="Times New Roman" w:hAnsi="Times New Roman" w:cs="Times New Roman" w:eastAsiaTheme="minorEastAsia"/>
                      <w:b w:val="0"/>
                      <w:bCs w:val="0"/>
                      <w:color w:val="auto"/>
                      <w:sz w:val="18"/>
                      <w:szCs w:val="18"/>
                      <w:highlight w:val="none"/>
                    </w:rPr>
                  </w:pPr>
                  <w:r>
                    <w:rPr>
                      <w:rFonts w:hint="eastAsia" w:ascii="Times New Roman" w:hAnsi="Times New Roman" w:cs="Times New Roman" w:eastAsiaTheme="minorEastAsia"/>
                      <w:b w:val="0"/>
                      <w:bCs w:val="0"/>
                      <w:color w:val="auto"/>
                      <w:sz w:val="18"/>
                      <w:szCs w:val="18"/>
                      <w:highlight w:val="none"/>
                      <w:lang w:val="en-US" w:eastAsia="zh-CN"/>
                    </w:rPr>
                    <w:t>园区日后将发挥区位优势，聚集滨湖休闲、商业娱乐、公共服务等多项城市功能，建设美好生活示范区；重点发展电商物流、金融商务、研发培训、信息技术服务等，培育和扶持高新技术中小企业，形成国际化科创研发集群。</w:t>
                  </w:r>
                </w:p>
              </w:tc>
              <w:tc>
                <w:tcPr>
                  <w:tcW w:w="1913" w:type="pct"/>
                  <w:tcBorders>
                    <w:tl2br w:val="nil"/>
                    <w:tr2bl w:val="nil"/>
                  </w:tcBorders>
                  <w:vAlign w:val="center"/>
                </w:tcPr>
                <w:p w14:paraId="264FB08C">
                  <w:pPr>
                    <w:spacing w:line="240" w:lineRule="auto"/>
                    <w:ind w:firstLine="180" w:firstLineChars="100"/>
                    <w:rPr>
                      <w:rFonts w:hint="default" w:ascii="Times New Roman" w:hAnsi="Times New Roman" w:cs="Times New Roman" w:eastAsiaTheme="minorEastAsia"/>
                      <w:b w:val="0"/>
                      <w:bCs w:val="0"/>
                      <w:color w:val="auto"/>
                      <w:sz w:val="18"/>
                      <w:szCs w:val="18"/>
                      <w:highlight w:val="none"/>
                      <w:lang w:val="en-US" w:eastAsia="zh-CN"/>
                    </w:rPr>
                  </w:pPr>
                  <w:r>
                    <w:rPr>
                      <w:rFonts w:hint="eastAsia" w:ascii="Times New Roman" w:hAnsi="Times New Roman" w:cs="Times New Roman" w:eastAsiaTheme="minorEastAsia"/>
                      <w:b w:val="0"/>
                      <w:bCs w:val="0"/>
                      <w:color w:val="auto"/>
                      <w:sz w:val="18"/>
                      <w:szCs w:val="18"/>
                      <w:highlight w:val="none"/>
                      <w:lang w:val="en-US" w:eastAsia="zh-CN"/>
                    </w:rPr>
                    <w:t>本工程为疗养院项目，不违背园区产业定位。</w:t>
                  </w:r>
                </w:p>
              </w:tc>
              <w:tc>
                <w:tcPr>
                  <w:tcW w:w="459" w:type="pct"/>
                  <w:tcBorders>
                    <w:tl2br w:val="nil"/>
                    <w:tr2bl w:val="nil"/>
                  </w:tcBorders>
                  <w:vAlign w:val="center"/>
                </w:tcPr>
                <w:p w14:paraId="62432B9D">
                  <w:pPr>
                    <w:pStyle w:val="190"/>
                    <w:spacing w:line="240" w:lineRule="auto"/>
                    <w:rPr>
                      <w:rFonts w:hint="default" w:ascii="Times New Roman" w:hAnsi="Times New Roman" w:cs="Times New Roman" w:eastAsiaTheme="minorEastAsia"/>
                      <w:b w:val="0"/>
                      <w:bCs w:val="0"/>
                      <w:color w:val="auto"/>
                      <w:sz w:val="18"/>
                      <w:szCs w:val="18"/>
                      <w:highlight w:val="none"/>
                      <w:lang w:val="en-US" w:eastAsia="zh-CN"/>
                    </w:rPr>
                  </w:pPr>
                  <w:r>
                    <w:rPr>
                      <w:rFonts w:hint="eastAsia" w:cs="Times New Roman" w:eastAsiaTheme="minorEastAsia"/>
                      <w:b w:val="0"/>
                      <w:bCs w:val="0"/>
                      <w:color w:val="auto"/>
                      <w:sz w:val="18"/>
                      <w:szCs w:val="18"/>
                      <w:highlight w:val="none"/>
                      <w:lang w:val="en-US" w:eastAsia="zh-CN"/>
                    </w:rPr>
                    <w:t>符合</w:t>
                  </w:r>
                </w:p>
              </w:tc>
            </w:tr>
            <w:tr w14:paraId="4DF1370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84" w:type="pct"/>
                  <w:vMerge w:val="restart"/>
                  <w:tcBorders>
                    <w:tl2br w:val="nil"/>
                    <w:tr2bl w:val="nil"/>
                  </w:tcBorders>
                  <w:vAlign w:val="center"/>
                </w:tcPr>
                <w:p w14:paraId="74C8F411">
                  <w:pPr>
                    <w:spacing w:line="240" w:lineRule="auto"/>
                    <w:jc w:val="center"/>
                    <w:rPr>
                      <w:rFonts w:hint="default" w:ascii="Times New Roman" w:hAnsi="Times New Roman" w:cs="Times New Roman" w:eastAsiaTheme="minorEastAsia"/>
                      <w:b w:val="0"/>
                      <w:bCs w:val="0"/>
                      <w:color w:val="auto"/>
                      <w:sz w:val="18"/>
                      <w:szCs w:val="18"/>
                      <w:highlight w:val="none"/>
                    </w:rPr>
                  </w:pPr>
                  <w:r>
                    <w:rPr>
                      <w:rFonts w:hint="default" w:ascii="Times New Roman" w:hAnsi="Times New Roman" w:cs="Times New Roman" w:eastAsiaTheme="minorEastAsia"/>
                      <w:b w:val="0"/>
                      <w:bCs w:val="0"/>
                      <w:color w:val="auto"/>
                      <w:sz w:val="18"/>
                      <w:szCs w:val="18"/>
                      <w:highlight w:val="none"/>
                    </w:rPr>
                    <w:t>空间布局约束</w:t>
                  </w:r>
                </w:p>
              </w:tc>
              <w:tc>
                <w:tcPr>
                  <w:tcW w:w="2343" w:type="pct"/>
                  <w:vMerge w:val="restart"/>
                  <w:tcBorders>
                    <w:tl2br w:val="nil"/>
                    <w:tr2bl w:val="nil"/>
                  </w:tcBorders>
                  <w:vAlign w:val="center"/>
                </w:tcPr>
                <w:p w14:paraId="530533C5">
                  <w:pPr>
                    <w:spacing w:line="240" w:lineRule="auto"/>
                    <w:ind w:firstLine="180" w:firstLineChars="100"/>
                    <w:rPr>
                      <w:rFonts w:hint="eastAsia" w:ascii="Times New Roman" w:hAnsi="Times New Roman" w:cs="Times New Roman" w:eastAsiaTheme="minorEastAsia"/>
                      <w:b w:val="0"/>
                      <w:bCs w:val="0"/>
                      <w:color w:val="auto"/>
                      <w:sz w:val="18"/>
                      <w:szCs w:val="18"/>
                      <w:highlight w:val="none"/>
                      <w:lang w:val="en-US" w:eastAsia="zh-CN"/>
                    </w:rPr>
                  </w:pPr>
                  <w:r>
                    <w:rPr>
                      <w:rFonts w:hint="default" w:ascii="Times New Roman" w:hAnsi="Times New Roman" w:cs="Times New Roman" w:eastAsiaTheme="minorEastAsia"/>
                      <w:b w:val="0"/>
                      <w:bCs w:val="0"/>
                      <w:color w:val="auto"/>
                      <w:sz w:val="18"/>
                      <w:szCs w:val="18"/>
                      <w:highlight w:val="none"/>
                      <w:lang w:val="en-US" w:eastAsia="zh-CN"/>
                    </w:rPr>
                    <w:t>1.</w:t>
                  </w:r>
                  <w:r>
                    <w:rPr>
                      <w:rFonts w:hint="eastAsia" w:ascii="Times New Roman" w:hAnsi="Times New Roman" w:cs="Times New Roman" w:eastAsiaTheme="minorEastAsia"/>
                      <w:b w:val="0"/>
                      <w:bCs w:val="0"/>
                      <w:color w:val="auto"/>
                      <w:sz w:val="18"/>
                      <w:szCs w:val="18"/>
                      <w:highlight w:val="none"/>
                      <w:lang w:val="en-US" w:eastAsia="zh-CN"/>
                    </w:rPr>
                    <w:t xml:space="preserve">严格控制用地规模，不可开发区域保持现状，禁止开发。 </w:t>
                  </w:r>
                </w:p>
                <w:p w14:paraId="3B5EAB38">
                  <w:pPr>
                    <w:spacing w:line="240" w:lineRule="auto"/>
                    <w:ind w:firstLine="180" w:firstLineChars="100"/>
                    <w:rPr>
                      <w:rFonts w:hint="eastAsia" w:ascii="Times New Roman" w:hAnsi="Times New Roman" w:cs="Times New Roman" w:eastAsiaTheme="minorEastAsia"/>
                      <w:b w:val="0"/>
                      <w:bCs w:val="0"/>
                      <w:color w:val="auto"/>
                      <w:sz w:val="18"/>
                      <w:szCs w:val="18"/>
                      <w:highlight w:val="none"/>
                      <w:lang w:val="en-US" w:eastAsia="zh-CN"/>
                    </w:rPr>
                  </w:pPr>
                  <w:r>
                    <w:rPr>
                      <w:rFonts w:hint="default" w:ascii="Times New Roman" w:hAnsi="Times New Roman" w:cs="Times New Roman" w:eastAsiaTheme="minorEastAsia"/>
                      <w:b w:val="0"/>
                      <w:bCs w:val="0"/>
                      <w:color w:val="auto"/>
                      <w:sz w:val="18"/>
                      <w:szCs w:val="18"/>
                      <w:highlight w:val="none"/>
                      <w:lang w:val="en-US" w:eastAsia="zh-CN"/>
                    </w:rPr>
                    <w:t>2.</w:t>
                  </w:r>
                  <w:r>
                    <w:rPr>
                      <w:rFonts w:hint="eastAsia" w:ascii="Times New Roman" w:hAnsi="Times New Roman" w:cs="Times New Roman" w:eastAsiaTheme="minorEastAsia"/>
                      <w:b w:val="0"/>
                      <w:bCs w:val="0"/>
                      <w:color w:val="auto"/>
                      <w:sz w:val="18"/>
                      <w:szCs w:val="18"/>
                      <w:highlight w:val="none"/>
                      <w:lang w:val="en-US" w:eastAsia="zh-CN"/>
                    </w:rPr>
                    <w:t xml:space="preserve">园区建筑高度遵守控高要求。 </w:t>
                  </w:r>
                </w:p>
                <w:p w14:paraId="562CF8A3">
                  <w:pPr>
                    <w:spacing w:line="240" w:lineRule="auto"/>
                    <w:ind w:firstLine="180" w:firstLineChars="100"/>
                    <w:rPr>
                      <w:rFonts w:hint="default" w:ascii="Times New Roman" w:hAnsi="Times New Roman" w:cs="Times New Roman" w:eastAsiaTheme="minorEastAsia"/>
                      <w:b w:val="0"/>
                      <w:bCs w:val="0"/>
                      <w:color w:val="auto"/>
                      <w:sz w:val="18"/>
                      <w:szCs w:val="18"/>
                      <w:highlight w:val="none"/>
                      <w:lang w:val="en-US" w:eastAsia="zh-CN"/>
                    </w:rPr>
                  </w:pPr>
                  <w:r>
                    <w:rPr>
                      <w:rFonts w:hint="default" w:ascii="Times New Roman" w:hAnsi="Times New Roman" w:cs="Times New Roman" w:eastAsiaTheme="minorEastAsia"/>
                      <w:b w:val="0"/>
                      <w:bCs w:val="0"/>
                      <w:color w:val="auto"/>
                      <w:sz w:val="18"/>
                      <w:szCs w:val="18"/>
                      <w:highlight w:val="none"/>
                      <w:lang w:val="en-US" w:eastAsia="zh-CN"/>
                    </w:rPr>
                    <w:t>3.</w:t>
                  </w:r>
                  <w:r>
                    <w:rPr>
                      <w:rFonts w:hint="eastAsia" w:ascii="Times New Roman" w:hAnsi="Times New Roman" w:cs="Times New Roman" w:eastAsiaTheme="minorEastAsia"/>
                      <w:b w:val="0"/>
                      <w:bCs w:val="0"/>
                      <w:color w:val="auto"/>
                      <w:sz w:val="18"/>
                      <w:szCs w:val="18"/>
                      <w:highlight w:val="none"/>
                      <w:lang w:val="en-US" w:eastAsia="zh-CN"/>
                    </w:rPr>
                    <w:t>在编制防沙治沙范围内开发建设项目环境影响报告书（表）时，要增设专门的防沙治沙内容，提出对沙区植被的保护与修复内容，做好保护与修复工作，尽量减少对沙化土地的破坏，避免沙化土地进一步发生，实现项目开发与沙化土地保护和修复工作和谐共生发展。</w:t>
                  </w:r>
                </w:p>
              </w:tc>
              <w:tc>
                <w:tcPr>
                  <w:tcW w:w="1913" w:type="pct"/>
                  <w:tcBorders>
                    <w:tl2br w:val="nil"/>
                    <w:tr2bl w:val="nil"/>
                  </w:tcBorders>
                  <w:vAlign w:val="center"/>
                </w:tcPr>
                <w:p w14:paraId="5C0FCBC1">
                  <w:pPr>
                    <w:spacing w:line="240" w:lineRule="auto"/>
                    <w:ind w:firstLine="180" w:firstLineChars="100"/>
                    <w:rPr>
                      <w:rFonts w:hint="default" w:ascii="Times New Roman" w:hAnsi="Times New Roman" w:cs="Times New Roman" w:eastAsiaTheme="minorEastAsia"/>
                      <w:b w:val="0"/>
                      <w:bCs w:val="0"/>
                      <w:color w:val="auto"/>
                      <w:sz w:val="18"/>
                      <w:szCs w:val="18"/>
                      <w:highlight w:val="none"/>
                    </w:rPr>
                  </w:pPr>
                  <w:r>
                    <w:rPr>
                      <w:rFonts w:hint="default" w:ascii="Times New Roman" w:hAnsi="Times New Roman" w:cs="Times New Roman" w:eastAsiaTheme="minorEastAsia"/>
                      <w:b w:val="0"/>
                      <w:bCs w:val="0"/>
                      <w:color w:val="auto"/>
                      <w:sz w:val="18"/>
                      <w:szCs w:val="18"/>
                      <w:highlight w:val="none"/>
                    </w:rPr>
                    <w:t>项目</w:t>
                  </w:r>
                  <w:r>
                    <w:rPr>
                      <w:rFonts w:hint="eastAsia" w:ascii="Times New Roman" w:hAnsi="Times New Roman" w:cs="Times New Roman" w:eastAsiaTheme="minorEastAsia"/>
                      <w:b w:val="0"/>
                      <w:bCs w:val="0"/>
                      <w:color w:val="auto"/>
                      <w:sz w:val="18"/>
                      <w:szCs w:val="18"/>
                      <w:highlight w:val="none"/>
                      <w:lang w:val="en-US" w:eastAsia="zh-CN"/>
                    </w:rPr>
                    <w:t>占地</w:t>
                  </w:r>
                  <w:r>
                    <w:rPr>
                      <w:rFonts w:hint="default" w:ascii="Times New Roman" w:hAnsi="Times New Roman" w:cs="Times New Roman" w:eastAsiaTheme="minorEastAsia"/>
                      <w:b w:val="0"/>
                      <w:bCs w:val="0"/>
                      <w:color w:val="auto"/>
                      <w:sz w:val="18"/>
                      <w:szCs w:val="18"/>
                      <w:highlight w:val="none"/>
                    </w:rPr>
                    <w:t>不在</w:t>
                  </w:r>
                  <w:r>
                    <w:rPr>
                      <w:rFonts w:hint="eastAsia" w:cs="Times New Roman" w:eastAsiaTheme="minorEastAsia"/>
                      <w:b w:val="0"/>
                      <w:bCs w:val="0"/>
                      <w:color w:val="auto"/>
                      <w:sz w:val="18"/>
                      <w:szCs w:val="18"/>
                      <w:highlight w:val="none"/>
                      <w:lang w:val="en-US" w:eastAsia="zh-CN"/>
                    </w:rPr>
                    <w:t>园区规定的不可开发区</w:t>
                  </w:r>
                  <w:r>
                    <w:rPr>
                      <w:rFonts w:hint="eastAsia" w:ascii="Times New Roman" w:hAnsi="Times New Roman" w:cs="Times New Roman" w:eastAsiaTheme="minorEastAsia"/>
                      <w:b w:val="0"/>
                      <w:bCs w:val="0"/>
                      <w:color w:val="auto"/>
                      <w:sz w:val="18"/>
                      <w:szCs w:val="18"/>
                      <w:highlight w:val="none"/>
                      <w:lang w:val="en-US" w:eastAsia="zh-CN"/>
                    </w:rPr>
                    <w:t>范围内</w:t>
                  </w:r>
                  <w:r>
                    <w:rPr>
                      <w:rFonts w:hint="default" w:ascii="Times New Roman" w:hAnsi="Times New Roman" w:cs="Times New Roman" w:eastAsiaTheme="minorEastAsia"/>
                      <w:b w:val="0"/>
                      <w:bCs w:val="0"/>
                      <w:color w:val="auto"/>
                      <w:sz w:val="18"/>
                      <w:szCs w:val="18"/>
                      <w:highlight w:val="none"/>
                    </w:rPr>
                    <w:t>。</w:t>
                  </w:r>
                </w:p>
                <w:p w14:paraId="28E72D42">
                  <w:pPr>
                    <w:spacing w:line="240" w:lineRule="auto"/>
                    <w:ind w:firstLine="180" w:firstLineChars="100"/>
                    <w:rPr>
                      <w:rFonts w:hint="default" w:ascii="Times New Roman" w:hAnsi="Times New Roman" w:cs="Times New Roman" w:eastAsiaTheme="minorEastAsia"/>
                      <w:b w:val="0"/>
                      <w:bCs w:val="0"/>
                      <w:color w:val="auto"/>
                      <w:sz w:val="18"/>
                      <w:szCs w:val="18"/>
                      <w:highlight w:val="none"/>
                    </w:rPr>
                  </w:pPr>
                  <w:r>
                    <w:rPr>
                      <w:rFonts w:hint="default" w:ascii="Times New Roman" w:hAnsi="Times New Roman" w:cs="Times New Roman" w:eastAsiaTheme="minorEastAsia"/>
                      <w:b w:val="0"/>
                      <w:bCs w:val="0"/>
                      <w:color w:val="auto"/>
                      <w:sz w:val="18"/>
                      <w:szCs w:val="18"/>
                      <w:highlight w:val="none"/>
                    </w:rPr>
                    <w:t>根据</w:t>
                  </w:r>
                  <w:r>
                    <w:rPr>
                      <w:rFonts w:hint="eastAsia" w:ascii="Times New Roman" w:hAnsi="Times New Roman" w:cs="Times New Roman" w:eastAsiaTheme="minorEastAsia"/>
                      <w:b w:val="0"/>
                      <w:bCs w:val="0"/>
                      <w:color w:val="auto"/>
                      <w:sz w:val="18"/>
                      <w:szCs w:val="18"/>
                      <w:highlight w:val="none"/>
                      <w:lang w:val="en-US" w:eastAsia="zh-CN"/>
                    </w:rPr>
                    <w:t>附图</w:t>
                  </w:r>
                  <w:r>
                    <w:rPr>
                      <w:rFonts w:hint="eastAsia" w:cs="Times New Roman" w:eastAsiaTheme="minorEastAsia"/>
                      <w:b w:val="0"/>
                      <w:bCs w:val="0"/>
                      <w:color w:val="auto"/>
                      <w:sz w:val="18"/>
                      <w:szCs w:val="18"/>
                      <w:highlight w:val="none"/>
                      <w:lang w:val="en-US" w:eastAsia="zh-CN"/>
                    </w:rPr>
                    <w:t>6</w:t>
                  </w:r>
                  <w:r>
                    <w:rPr>
                      <w:rFonts w:hint="eastAsia" w:ascii="Times New Roman" w:hAnsi="Times New Roman" w:cs="Times New Roman" w:eastAsiaTheme="minorEastAsia"/>
                      <w:b w:val="0"/>
                      <w:bCs w:val="0"/>
                      <w:color w:val="auto"/>
                      <w:sz w:val="18"/>
                      <w:szCs w:val="18"/>
                      <w:highlight w:val="none"/>
                      <w:lang w:val="en-US" w:eastAsia="zh-CN"/>
                    </w:rPr>
                    <w:t>，项目占地</w:t>
                  </w:r>
                  <w:r>
                    <w:rPr>
                      <w:rFonts w:hint="eastAsia" w:cs="Times New Roman" w:eastAsiaTheme="minorEastAsia"/>
                      <w:b w:val="0"/>
                      <w:bCs w:val="0"/>
                      <w:color w:val="auto"/>
                      <w:sz w:val="18"/>
                      <w:szCs w:val="18"/>
                      <w:highlight w:val="none"/>
                      <w:lang w:val="en-US" w:eastAsia="zh-CN"/>
                    </w:rPr>
                    <w:t>属于园区可开发区范围内</w:t>
                  </w:r>
                  <w:r>
                    <w:rPr>
                      <w:rFonts w:hint="default" w:ascii="Times New Roman" w:hAnsi="Times New Roman" w:cs="Times New Roman" w:eastAsiaTheme="minorEastAsia"/>
                      <w:b w:val="0"/>
                      <w:bCs w:val="0"/>
                      <w:color w:val="auto"/>
                      <w:sz w:val="18"/>
                      <w:szCs w:val="18"/>
                      <w:highlight w:val="none"/>
                    </w:rPr>
                    <w:t>。</w:t>
                  </w:r>
                </w:p>
              </w:tc>
              <w:tc>
                <w:tcPr>
                  <w:tcW w:w="459" w:type="pct"/>
                  <w:vMerge w:val="restart"/>
                  <w:tcBorders>
                    <w:tl2br w:val="nil"/>
                    <w:tr2bl w:val="nil"/>
                  </w:tcBorders>
                  <w:vAlign w:val="center"/>
                </w:tcPr>
                <w:p w14:paraId="1D6BAD06">
                  <w:pPr>
                    <w:pStyle w:val="190"/>
                    <w:spacing w:line="240" w:lineRule="auto"/>
                    <w:rPr>
                      <w:rFonts w:hint="default" w:ascii="Times New Roman" w:hAnsi="Times New Roman" w:cs="Times New Roman" w:eastAsiaTheme="minorEastAsia"/>
                      <w:b w:val="0"/>
                      <w:bCs w:val="0"/>
                      <w:color w:val="auto"/>
                      <w:sz w:val="18"/>
                      <w:szCs w:val="18"/>
                      <w:highlight w:val="none"/>
                    </w:rPr>
                  </w:pPr>
                  <w:r>
                    <w:rPr>
                      <w:rFonts w:hint="default" w:ascii="Times New Roman" w:hAnsi="Times New Roman" w:cs="Times New Roman" w:eastAsiaTheme="minorEastAsia"/>
                      <w:b w:val="0"/>
                      <w:bCs w:val="0"/>
                      <w:color w:val="auto"/>
                      <w:sz w:val="18"/>
                      <w:szCs w:val="18"/>
                      <w:highlight w:val="none"/>
                    </w:rPr>
                    <w:t>符合</w:t>
                  </w:r>
                </w:p>
              </w:tc>
            </w:tr>
            <w:tr w14:paraId="7CFCE19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7" w:hRule="atLeast"/>
                <w:jc w:val="center"/>
              </w:trPr>
              <w:tc>
                <w:tcPr>
                  <w:tcW w:w="284" w:type="pct"/>
                  <w:vMerge w:val="continue"/>
                  <w:tcBorders>
                    <w:tl2br w:val="nil"/>
                    <w:tr2bl w:val="nil"/>
                  </w:tcBorders>
                  <w:vAlign w:val="center"/>
                </w:tcPr>
                <w:p w14:paraId="4247D2A2">
                  <w:pPr>
                    <w:spacing w:line="240" w:lineRule="auto"/>
                    <w:jc w:val="center"/>
                    <w:rPr>
                      <w:rFonts w:hint="default" w:ascii="Times New Roman" w:hAnsi="Times New Roman" w:cs="Times New Roman" w:eastAsiaTheme="minorEastAsia"/>
                      <w:b w:val="0"/>
                      <w:bCs w:val="0"/>
                      <w:color w:val="auto"/>
                      <w:sz w:val="18"/>
                      <w:szCs w:val="18"/>
                      <w:highlight w:val="none"/>
                    </w:rPr>
                  </w:pPr>
                </w:p>
              </w:tc>
              <w:tc>
                <w:tcPr>
                  <w:tcW w:w="2343" w:type="pct"/>
                  <w:vMerge w:val="continue"/>
                  <w:tcBorders>
                    <w:tl2br w:val="nil"/>
                    <w:tr2bl w:val="nil"/>
                  </w:tcBorders>
                  <w:vAlign w:val="center"/>
                </w:tcPr>
                <w:p w14:paraId="530400D8">
                  <w:pPr>
                    <w:spacing w:line="240" w:lineRule="auto"/>
                    <w:ind w:firstLine="180" w:firstLineChars="100"/>
                    <w:rPr>
                      <w:rFonts w:hint="default" w:ascii="Times New Roman" w:hAnsi="Times New Roman" w:cs="Times New Roman" w:eastAsiaTheme="minorEastAsia"/>
                      <w:b w:val="0"/>
                      <w:bCs w:val="0"/>
                      <w:color w:val="auto"/>
                      <w:sz w:val="18"/>
                      <w:szCs w:val="18"/>
                      <w:highlight w:val="none"/>
                      <w:lang w:val="en-US" w:eastAsia="zh-CN"/>
                    </w:rPr>
                  </w:pPr>
                </w:p>
              </w:tc>
              <w:tc>
                <w:tcPr>
                  <w:tcW w:w="1913" w:type="pct"/>
                  <w:tcBorders>
                    <w:tl2br w:val="nil"/>
                    <w:tr2bl w:val="nil"/>
                  </w:tcBorders>
                  <w:vAlign w:val="center"/>
                </w:tcPr>
                <w:p w14:paraId="1295DC73">
                  <w:pPr>
                    <w:spacing w:line="240" w:lineRule="auto"/>
                    <w:ind w:firstLine="180" w:firstLineChars="100"/>
                    <w:rPr>
                      <w:rFonts w:hint="default" w:ascii="Times New Roman" w:hAnsi="Times New Roman" w:cs="Times New Roman" w:eastAsiaTheme="minorEastAsia"/>
                      <w:b w:val="0"/>
                      <w:bCs w:val="0"/>
                      <w:color w:val="auto"/>
                      <w:sz w:val="18"/>
                      <w:szCs w:val="18"/>
                      <w:highlight w:val="none"/>
                      <w:lang w:val="en-US" w:eastAsia="zh-CN"/>
                    </w:rPr>
                  </w:pPr>
                  <w:r>
                    <w:rPr>
                      <w:rFonts w:hint="eastAsia" w:cs="Times New Roman" w:eastAsiaTheme="minorEastAsia"/>
                      <w:b w:val="0"/>
                      <w:bCs w:val="0"/>
                      <w:color w:val="auto"/>
                      <w:sz w:val="18"/>
                      <w:szCs w:val="18"/>
                      <w:highlight w:val="none"/>
                      <w:lang w:val="en-US" w:eastAsia="zh-CN"/>
                    </w:rPr>
                    <w:t>本项目严格按照园区要求，对所规划的构筑物进行正规设计和施工。</w:t>
                  </w:r>
                </w:p>
              </w:tc>
              <w:tc>
                <w:tcPr>
                  <w:tcW w:w="459" w:type="pct"/>
                  <w:vMerge w:val="continue"/>
                  <w:tcBorders>
                    <w:tl2br w:val="nil"/>
                    <w:tr2bl w:val="nil"/>
                  </w:tcBorders>
                  <w:vAlign w:val="center"/>
                </w:tcPr>
                <w:p w14:paraId="2D77C905">
                  <w:pPr>
                    <w:pStyle w:val="190"/>
                    <w:spacing w:line="240" w:lineRule="auto"/>
                    <w:jc w:val="both"/>
                    <w:rPr>
                      <w:rFonts w:hint="default" w:ascii="Times New Roman" w:hAnsi="Times New Roman" w:cs="Times New Roman" w:eastAsiaTheme="minorEastAsia"/>
                      <w:b w:val="0"/>
                      <w:bCs w:val="0"/>
                      <w:color w:val="auto"/>
                      <w:sz w:val="18"/>
                      <w:szCs w:val="18"/>
                      <w:highlight w:val="none"/>
                    </w:rPr>
                  </w:pPr>
                </w:p>
              </w:tc>
            </w:tr>
            <w:tr w14:paraId="7113912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3" w:hRule="atLeast"/>
                <w:jc w:val="center"/>
              </w:trPr>
              <w:tc>
                <w:tcPr>
                  <w:tcW w:w="284" w:type="pct"/>
                  <w:vMerge w:val="continue"/>
                  <w:tcBorders>
                    <w:tl2br w:val="nil"/>
                    <w:tr2bl w:val="nil"/>
                  </w:tcBorders>
                  <w:vAlign w:val="center"/>
                </w:tcPr>
                <w:p w14:paraId="3A0441AE">
                  <w:pPr>
                    <w:spacing w:line="240" w:lineRule="auto"/>
                    <w:jc w:val="center"/>
                    <w:rPr>
                      <w:rFonts w:hint="default" w:ascii="Times New Roman" w:hAnsi="Times New Roman" w:cs="Times New Roman" w:eastAsiaTheme="minorEastAsia"/>
                      <w:b w:val="0"/>
                      <w:bCs w:val="0"/>
                      <w:color w:val="auto"/>
                      <w:sz w:val="18"/>
                      <w:szCs w:val="18"/>
                      <w:highlight w:val="none"/>
                    </w:rPr>
                  </w:pPr>
                </w:p>
              </w:tc>
              <w:tc>
                <w:tcPr>
                  <w:tcW w:w="2343" w:type="pct"/>
                  <w:vMerge w:val="continue"/>
                  <w:tcBorders>
                    <w:tl2br w:val="nil"/>
                    <w:tr2bl w:val="nil"/>
                  </w:tcBorders>
                  <w:vAlign w:val="center"/>
                </w:tcPr>
                <w:p w14:paraId="365C7B01">
                  <w:pPr>
                    <w:spacing w:line="240" w:lineRule="auto"/>
                    <w:ind w:firstLine="180" w:firstLineChars="100"/>
                    <w:rPr>
                      <w:rFonts w:hint="default" w:ascii="Times New Roman" w:hAnsi="Times New Roman" w:cs="Times New Roman" w:eastAsiaTheme="minorEastAsia"/>
                      <w:b w:val="0"/>
                      <w:bCs w:val="0"/>
                      <w:color w:val="auto"/>
                      <w:sz w:val="18"/>
                      <w:szCs w:val="18"/>
                      <w:highlight w:val="none"/>
                      <w:lang w:val="en-US" w:eastAsia="zh-CN"/>
                    </w:rPr>
                  </w:pPr>
                </w:p>
              </w:tc>
              <w:tc>
                <w:tcPr>
                  <w:tcW w:w="1913" w:type="pct"/>
                  <w:tcBorders>
                    <w:tl2br w:val="nil"/>
                    <w:tr2bl w:val="nil"/>
                  </w:tcBorders>
                  <w:vAlign w:val="center"/>
                </w:tcPr>
                <w:p w14:paraId="2D0B9398">
                  <w:pPr>
                    <w:spacing w:line="240" w:lineRule="auto"/>
                    <w:ind w:firstLine="180" w:firstLineChars="100"/>
                    <w:rPr>
                      <w:rFonts w:hint="default" w:ascii="Times New Roman" w:hAnsi="Times New Roman" w:cs="Times New Roman" w:eastAsiaTheme="minorEastAsia"/>
                      <w:b w:val="0"/>
                      <w:bCs w:val="0"/>
                      <w:color w:val="auto"/>
                      <w:sz w:val="18"/>
                      <w:szCs w:val="18"/>
                      <w:highlight w:val="none"/>
                    </w:rPr>
                  </w:pPr>
                  <w:r>
                    <w:rPr>
                      <w:rFonts w:hint="eastAsia" w:cs="Times New Roman" w:eastAsiaTheme="minorEastAsia"/>
                      <w:b w:val="0"/>
                      <w:bCs w:val="0"/>
                      <w:color w:val="auto"/>
                      <w:sz w:val="18"/>
                      <w:szCs w:val="18"/>
                      <w:highlight w:val="none"/>
                      <w:lang w:val="en-US" w:eastAsia="zh-CN"/>
                    </w:rPr>
                    <w:t>本项目环评中针对防沙治沙有专门篇章进行分析</w:t>
                  </w:r>
                  <w:r>
                    <w:rPr>
                      <w:rFonts w:hint="default" w:ascii="Times New Roman" w:hAnsi="Times New Roman" w:cs="Times New Roman" w:eastAsiaTheme="minorEastAsia"/>
                      <w:b w:val="0"/>
                      <w:bCs w:val="0"/>
                      <w:color w:val="auto"/>
                      <w:sz w:val="18"/>
                      <w:szCs w:val="18"/>
                      <w:highlight w:val="none"/>
                    </w:rPr>
                    <w:t>。</w:t>
                  </w:r>
                </w:p>
              </w:tc>
              <w:tc>
                <w:tcPr>
                  <w:tcW w:w="459" w:type="pct"/>
                  <w:vMerge w:val="continue"/>
                  <w:tcBorders>
                    <w:tl2br w:val="nil"/>
                    <w:tr2bl w:val="nil"/>
                  </w:tcBorders>
                  <w:vAlign w:val="center"/>
                </w:tcPr>
                <w:p w14:paraId="776A79E1">
                  <w:pPr>
                    <w:pStyle w:val="190"/>
                    <w:spacing w:line="240" w:lineRule="auto"/>
                    <w:jc w:val="both"/>
                    <w:rPr>
                      <w:rFonts w:hint="default" w:ascii="Times New Roman" w:hAnsi="Times New Roman" w:cs="Times New Roman" w:eastAsiaTheme="minorEastAsia"/>
                      <w:b w:val="0"/>
                      <w:bCs w:val="0"/>
                      <w:color w:val="auto"/>
                      <w:sz w:val="18"/>
                      <w:szCs w:val="18"/>
                      <w:highlight w:val="none"/>
                    </w:rPr>
                  </w:pPr>
                </w:p>
              </w:tc>
            </w:tr>
            <w:tr w14:paraId="39278D9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1" w:hRule="atLeast"/>
                <w:jc w:val="center"/>
              </w:trPr>
              <w:tc>
                <w:tcPr>
                  <w:tcW w:w="284" w:type="pct"/>
                  <w:vMerge w:val="restart"/>
                  <w:tcBorders>
                    <w:tl2br w:val="nil"/>
                    <w:tr2bl w:val="nil"/>
                  </w:tcBorders>
                  <w:vAlign w:val="center"/>
                </w:tcPr>
                <w:p w14:paraId="71B49D6C">
                  <w:pPr>
                    <w:spacing w:line="240" w:lineRule="auto"/>
                    <w:jc w:val="center"/>
                    <w:rPr>
                      <w:rFonts w:hint="eastAsia" w:ascii="Times New Roman" w:hAnsi="Times New Roman" w:cs="Times New Roman" w:eastAsiaTheme="minorEastAsia"/>
                      <w:b w:val="0"/>
                      <w:bCs w:val="0"/>
                      <w:color w:val="auto"/>
                      <w:sz w:val="18"/>
                      <w:szCs w:val="18"/>
                      <w:highlight w:val="none"/>
                      <w:lang w:val="en-US" w:eastAsia="zh-CN"/>
                    </w:rPr>
                  </w:pPr>
                  <w:r>
                    <w:rPr>
                      <w:rFonts w:hint="default" w:ascii="Times New Roman" w:hAnsi="Times New Roman" w:cs="Times New Roman" w:eastAsiaTheme="minorEastAsia"/>
                      <w:b w:val="0"/>
                      <w:bCs w:val="0"/>
                      <w:color w:val="auto"/>
                      <w:sz w:val="18"/>
                      <w:szCs w:val="18"/>
                      <w:highlight w:val="none"/>
                    </w:rPr>
                    <w:t>污染物排放管控</w:t>
                  </w:r>
                  <w:r>
                    <w:rPr>
                      <w:rFonts w:hint="eastAsia" w:cs="Times New Roman" w:eastAsiaTheme="minorEastAsia"/>
                      <w:b w:val="0"/>
                      <w:bCs w:val="0"/>
                      <w:color w:val="auto"/>
                      <w:sz w:val="18"/>
                      <w:szCs w:val="18"/>
                      <w:highlight w:val="none"/>
                      <w:lang w:val="en-US" w:eastAsia="zh-CN"/>
                    </w:rPr>
                    <w:t>要求</w:t>
                  </w:r>
                </w:p>
              </w:tc>
              <w:tc>
                <w:tcPr>
                  <w:tcW w:w="2343" w:type="pct"/>
                  <w:vMerge w:val="restart"/>
                  <w:tcBorders>
                    <w:tl2br w:val="nil"/>
                    <w:tr2bl w:val="nil"/>
                  </w:tcBorders>
                  <w:vAlign w:val="center"/>
                </w:tcPr>
                <w:p w14:paraId="3CB64EF2">
                  <w:pPr>
                    <w:spacing w:line="240" w:lineRule="auto"/>
                    <w:ind w:firstLine="180" w:firstLineChars="100"/>
                    <w:rPr>
                      <w:rFonts w:hint="eastAsia" w:ascii="Times New Roman" w:hAnsi="Times New Roman" w:cs="Times New Roman" w:eastAsiaTheme="minorEastAsia"/>
                      <w:b w:val="0"/>
                      <w:bCs w:val="0"/>
                      <w:color w:val="auto"/>
                      <w:sz w:val="18"/>
                      <w:szCs w:val="18"/>
                      <w:highlight w:val="none"/>
                      <w:lang w:val="en-US" w:eastAsia="zh-CN"/>
                    </w:rPr>
                  </w:pPr>
                  <w:r>
                    <w:rPr>
                      <w:rFonts w:hint="default" w:ascii="Times New Roman" w:hAnsi="Times New Roman" w:cs="Times New Roman" w:eastAsiaTheme="minorEastAsia"/>
                      <w:b w:val="0"/>
                      <w:bCs w:val="0"/>
                      <w:color w:val="auto"/>
                      <w:sz w:val="18"/>
                      <w:szCs w:val="18"/>
                      <w:highlight w:val="none"/>
                      <w:lang w:val="en-US" w:eastAsia="zh-CN"/>
                    </w:rPr>
                    <w:t>1.</w:t>
                  </w:r>
                  <w:r>
                    <w:rPr>
                      <w:rFonts w:hint="eastAsia" w:ascii="Times New Roman" w:hAnsi="Times New Roman" w:cs="Times New Roman" w:eastAsiaTheme="minorEastAsia"/>
                      <w:b w:val="0"/>
                      <w:bCs w:val="0"/>
                      <w:color w:val="auto"/>
                      <w:sz w:val="18"/>
                      <w:szCs w:val="18"/>
                      <w:highlight w:val="none"/>
                      <w:lang w:val="en-US" w:eastAsia="zh-CN"/>
                    </w:rPr>
                    <w:t xml:space="preserve">污染物排放总量严格落实“十四五”相关目标指标。 </w:t>
                  </w:r>
                </w:p>
                <w:p w14:paraId="1F44ED2C">
                  <w:pPr>
                    <w:spacing w:line="240" w:lineRule="auto"/>
                    <w:ind w:firstLine="180" w:firstLineChars="100"/>
                    <w:rPr>
                      <w:rFonts w:hint="eastAsia" w:ascii="Times New Roman" w:hAnsi="Times New Roman" w:cs="Times New Roman" w:eastAsiaTheme="minorEastAsia"/>
                      <w:b w:val="0"/>
                      <w:bCs w:val="0"/>
                      <w:color w:val="auto"/>
                      <w:sz w:val="18"/>
                      <w:szCs w:val="18"/>
                      <w:highlight w:val="none"/>
                      <w:lang w:val="en-US" w:eastAsia="zh-CN"/>
                    </w:rPr>
                  </w:pPr>
                  <w:r>
                    <w:rPr>
                      <w:rFonts w:hint="default" w:ascii="Times New Roman" w:hAnsi="Times New Roman" w:cs="Times New Roman" w:eastAsiaTheme="minorEastAsia"/>
                      <w:b w:val="0"/>
                      <w:bCs w:val="0"/>
                      <w:color w:val="auto"/>
                      <w:sz w:val="18"/>
                      <w:szCs w:val="18"/>
                      <w:highlight w:val="none"/>
                      <w:lang w:val="en-US" w:eastAsia="zh-CN"/>
                    </w:rPr>
                    <w:t>2.</w:t>
                  </w:r>
                  <w:r>
                    <w:rPr>
                      <w:rFonts w:hint="eastAsia" w:ascii="Times New Roman" w:hAnsi="Times New Roman" w:cs="Times New Roman" w:eastAsiaTheme="minorEastAsia"/>
                      <w:b w:val="0"/>
                      <w:bCs w:val="0"/>
                      <w:color w:val="auto"/>
                      <w:sz w:val="18"/>
                      <w:szCs w:val="18"/>
                      <w:highlight w:val="none"/>
                      <w:lang w:val="en-US" w:eastAsia="zh-CN"/>
                    </w:rPr>
                    <w:t xml:space="preserve">新增项目要求清洁生产水平达到同行业国内先进水平，有特别排放限值的污染物排放标准执行特别排放限值或更严格的排放限值。 </w:t>
                  </w:r>
                </w:p>
                <w:p w14:paraId="20465076">
                  <w:pPr>
                    <w:spacing w:line="240" w:lineRule="auto"/>
                    <w:ind w:firstLine="180" w:firstLineChars="100"/>
                    <w:rPr>
                      <w:rFonts w:hint="eastAsia" w:ascii="Times New Roman" w:hAnsi="Times New Roman" w:cs="Times New Roman" w:eastAsiaTheme="minorEastAsia"/>
                      <w:b w:val="0"/>
                      <w:bCs w:val="0"/>
                      <w:color w:val="auto"/>
                      <w:sz w:val="18"/>
                      <w:szCs w:val="18"/>
                      <w:highlight w:val="none"/>
                      <w:lang w:val="en-US" w:eastAsia="zh-CN"/>
                    </w:rPr>
                  </w:pPr>
                  <w:r>
                    <w:rPr>
                      <w:rFonts w:hint="default" w:ascii="Times New Roman" w:hAnsi="Times New Roman" w:cs="Times New Roman" w:eastAsiaTheme="minorEastAsia"/>
                      <w:b w:val="0"/>
                      <w:bCs w:val="0"/>
                      <w:color w:val="auto"/>
                      <w:sz w:val="18"/>
                      <w:szCs w:val="18"/>
                      <w:highlight w:val="none"/>
                      <w:lang w:val="en-US" w:eastAsia="zh-CN"/>
                    </w:rPr>
                    <w:t>3.</w:t>
                  </w:r>
                  <w:r>
                    <w:rPr>
                      <w:rFonts w:hint="eastAsia" w:ascii="Times New Roman" w:hAnsi="Times New Roman" w:cs="Times New Roman" w:eastAsiaTheme="minorEastAsia"/>
                      <w:b w:val="0"/>
                      <w:bCs w:val="0"/>
                      <w:color w:val="auto"/>
                      <w:sz w:val="18"/>
                      <w:szCs w:val="18"/>
                      <w:highlight w:val="none"/>
                      <w:lang w:val="en-US" w:eastAsia="zh-CN"/>
                    </w:rPr>
                    <w:t xml:space="preserve">严格执行园区生态环境分区管控对“污染物排放”的要求。 </w:t>
                  </w:r>
                </w:p>
                <w:p w14:paraId="57D387BE">
                  <w:pPr>
                    <w:spacing w:line="240" w:lineRule="auto"/>
                    <w:ind w:firstLine="180" w:firstLineChars="100"/>
                    <w:rPr>
                      <w:rFonts w:hint="default" w:ascii="Times New Roman" w:hAnsi="Times New Roman" w:cs="Times New Roman" w:eastAsiaTheme="minorEastAsia"/>
                      <w:b w:val="0"/>
                      <w:bCs w:val="0"/>
                      <w:color w:val="auto"/>
                      <w:sz w:val="18"/>
                      <w:szCs w:val="18"/>
                      <w:highlight w:val="none"/>
                      <w:lang w:val="en-US" w:eastAsia="zh-CN"/>
                    </w:rPr>
                  </w:pPr>
                  <w:r>
                    <w:rPr>
                      <w:rFonts w:hint="default" w:ascii="Times New Roman" w:hAnsi="Times New Roman" w:cs="Times New Roman" w:eastAsiaTheme="minorEastAsia"/>
                      <w:b w:val="0"/>
                      <w:bCs w:val="0"/>
                      <w:color w:val="auto"/>
                      <w:sz w:val="18"/>
                      <w:szCs w:val="18"/>
                      <w:highlight w:val="none"/>
                      <w:lang w:val="en-US" w:eastAsia="zh-CN"/>
                    </w:rPr>
                    <w:t>4.</w:t>
                  </w:r>
                  <w:r>
                    <w:rPr>
                      <w:rFonts w:hint="eastAsia" w:ascii="Times New Roman" w:hAnsi="Times New Roman" w:cs="Times New Roman" w:eastAsiaTheme="minorEastAsia"/>
                      <w:b w:val="0"/>
                      <w:bCs w:val="0"/>
                      <w:color w:val="auto"/>
                      <w:sz w:val="18"/>
                      <w:szCs w:val="18"/>
                      <w:highlight w:val="none"/>
                      <w:lang w:val="en-US" w:eastAsia="zh-CN"/>
                    </w:rPr>
                    <w:t>园区按照实际情况划定禁止使用高排放非道路移动机械区域。在禁止使用高排放非道路移动机械区域内，优先使用新能源或清洁能源非道路移动机械。</w:t>
                  </w:r>
                </w:p>
              </w:tc>
              <w:tc>
                <w:tcPr>
                  <w:tcW w:w="1913" w:type="pct"/>
                  <w:tcBorders>
                    <w:tl2br w:val="nil"/>
                    <w:tr2bl w:val="nil"/>
                  </w:tcBorders>
                  <w:vAlign w:val="center"/>
                </w:tcPr>
                <w:p w14:paraId="393ACEB8">
                  <w:pPr>
                    <w:spacing w:line="240" w:lineRule="auto"/>
                    <w:ind w:firstLine="180" w:firstLineChars="100"/>
                    <w:rPr>
                      <w:rFonts w:hint="default" w:ascii="Times New Roman" w:hAnsi="Times New Roman" w:cs="Times New Roman" w:eastAsiaTheme="minorEastAsia"/>
                      <w:b w:val="0"/>
                      <w:bCs w:val="0"/>
                      <w:color w:val="auto"/>
                      <w:sz w:val="18"/>
                      <w:szCs w:val="18"/>
                      <w:highlight w:val="none"/>
                      <w:lang w:val="en-US" w:eastAsia="zh-CN"/>
                    </w:rPr>
                  </w:pPr>
                  <w:r>
                    <w:rPr>
                      <w:rFonts w:hint="eastAsia" w:cs="Times New Roman" w:eastAsiaTheme="minorEastAsia"/>
                      <w:b w:val="0"/>
                      <w:bCs w:val="0"/>
                      <w:color w:val="auto"/>
                      <w:sz w:val="18"/>
                      <w:szCs w:val="18"/>
                      <w:highlight w:val="none"/>
                      <w:lang w:val="en-US" w:eastAsia="zh-CN"/>
                    </w:rPr>
                    <w:t>本项目运营期主要污染物为无组织氨、硫化氢和油烟，不属于总量控制指标要求内容。</w:t>
                  </w:r>
                </w:p>
              </w:tc>
              <w:tc>
                <w:tcPr>
                  <w:tcW w:w="459" w:type="pct"/>
                  <w:vMerge w:val="restart"/>
                  <w:tcBorders>
                    <w:tl2br w:val="nil"/>
                    <w:tr2bl w:val="nil"/>
                  </w:tcBorders>
                  <w:vAlign w:val="center"/>
                </w:tcPr>
                <w:p w14:paraId="0725FB18">
                  <w:pPr>
                    <w:pStyle w:val="190"/>
                    <w:spacing w:line="240" w:lineRule="auto"/>
                    <w:rPr>
                      <w:rFonts w:hint="default" w:ascii="Times New Roman" w:hAnsi="Times New Roman" w:cs="Times New Roman" w:eastAsiaTheme="minorEastAsia"/>
                      <w:b w:val="0"/>
                      <w:bCs w:val="0"/>
                      <w:color w:val="auto"/>
                      <w:sz w:val="18"/>
                      <w:szCs w:val="18"/>
                      <w:highlight w:val="none"/>
                    </w:rPr>
                  </w:pPr>
                  <w:r>
                    <w:rPr>
                      <w:rFonts w:hint="default" w:ascii="Times New Roman" w:hAnsi="Times New Roman" w:cs="Times New Roman" w:eastAsiaTheme="minorEastAsia"/>
                      <w:b w:val="0"/>
                      <w:bCs w:val="0"/>
                      <w:color w:val="auto"/>
                      <w:sz w:val="18"/>
                      <w:szCs w:val="18"/>
                      <w:highlight w:val="none"/>
                    </w:rPr>
                    <w:t>符合</w:t>
                  </w:r>
                </w:p>
              </w:tc>
            </w:tr>
            <w:tr w14:paraId="541E42F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5" w:hRule="atLeast"/>
                <w:jc w:val="center"/>
              </w:trPr>
              <w:tc>
                <w:tcPr>
                  <w:tcW w:w="284" w:type="pct"/>
                  <w:vMerge w:val="continue"/>
                  <w:tcBorders>
                    <w:tl2br w:val="nil"/>
                    <w:tr2bl w:val="nil"/>
                  </w:tcBorders>
                  <w:vAlign w:val="center"/>
                </w:tcPr>
                <w:p w14:paraId="3076D5D5">
                  <w:pPr>
                    <w:spacing w:line="240" w:lineRule="auto"/>
                    <w:ind w:firstLine="210" w:firstLineChars="100"/>
                  </w:pPr>
                </w:p>
              </w:tc>
              <w:tc>
                <w:tcPr>
                  <w:tcW w:w="2343" w:type="pct"/>
                  <w:vMerge w:val="continue"/>
                  <w:tcBorders>
                    <w:tl2br w:val="nil"/>
                    <w:tr2bl w:val="nil"/>
                  </w:tcBorders>
                  <w:vAlign w:val="center"/>
                </w:tcPr>
                <w:p w14:paraId="1091F0EA">
                  <w:pPr>
                    <w:spacing w:line="240" w:lineRule="auto"/>
                    <w:ind w:firstLine="210" w:firstLineChars="100"/>
                  </w:pPr>
                </w:p>
              </w:tc>
              <w:tc>
                <w:tcPr>
                  <w:tcW w:w="1913" w:type="pct"/>
                  <w:tcBorders>
                    <w:tl2br w:val="nil"/>
                    <w:tr2bl w:val="nil"/>
                  </w:tcBorders>
                  <w:vAlign w:val="center"/>
                </w:tcPr>
                <w:p w14:paraId="0E9F011F">
                  <w:pPr>
                    <w:spacing w:line="240" w:lineRule="auto"/>
                    <w:ind w:firstLine="180" w:firstLineChars="100"/>
                    <w:rPr>
                      <w:rFonts w:hint="default" w:ascii="Times New Roman" w:hAnsi="Times New Roman" w:cs="Times New Roman" w:eastAsiaTheme="minorEastAsia"/>
                      <w:b w:val="0"/>
                      <w:bCs w:val="0"/>
                      <w:color w:val="auto"/>
                      <w:sz w:val="18"/>
                      <w:szCs w:val="18"/>
                      <w:highlight w:val="none"/>
                      <w:lang w:val="en-US" w:eastAsia="zh-CN"/>
                    </w:rPr>
                  </w:pPr>
                  <w:r>
                    <w:rPr>
                      <w:rFonts w:hint="eastAsia" w:cs="Times New Roman" w:eastAsiaTheme="minorEastAsia"/>
                      <w:b w:val="0"/>
                      <w:bCs w:val="0"/>
                      <w:color w:val="auto"/>
                      <w:sz w:val="18"/>
                      <w:szCs w:val="18"/>
                      <w:highlight w:val="none"/>
                      <w:lang w:val="en-US" w:eastAsia="zh-CN"/>
                    </w:rPr>
                    <w:t>本项目采用先进设备及仪器，满足清洁生产水平要求。</w:t>
                  </w:r>
                </w:p>
              </w:tc>
              <w:tc>
                <w:tcPr>
                  <w:tcW w:w="459" w:type="pct"/>
                  <w:vMerge w:val="continue"/>
                  <w:tcBorders>
                    <w:tl2br w:val="nil"/>
                    <w:tr2bl w:val="nil"/>
                  </w:tcBorders>
                  <w:vAlign w:val="center"/>
                </w:tcPr>
                <w:p w14:paraId="62365A97">
                  <w:pPr>
                    <w:spacing w:line="240" w:lineRule="auto"/>
                    <w:ind w:firstLine="180" w:firstLineChars="100"/>
                    <w:rPr>
                      <w:rFonts w:hint="default" w:ascii="Times New Roman" w:hAnsi="Times New Roman" w:cs="Times New Roman" w:eastAsiaTheme="minorEastAsia"/>
                      <w:b w:val="0"/>
                      <w:bCs w:val="0"/>
                      <w:color w:val="auto"/>
                      <w:sz w:val="18"/>
                      <w:szCs w:val="18"/>
                      <w:highlight w:val="none"/>
                    </w:rPr>
                  </w:pPr>
                </w:p>
              </w:tc>
            </w:tr>
            <w:tr w14:paraId="5402C85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334" w:hRule="atLeast"/>
                <w:jc w:val="center"/>
              </w:trPr>
              <w:tc>
                <w:tcPr>
                  <w:tcW w:w="284" w:type="pct"/>
                  <w:vMerge w:val="continue"/>
                  <w:tcBorders>
                    <w:tl2br w:val="nil"/>
                    <w:tr2bl w:val="nil"/>
                  </w:tcBorders>
                  <w:vAlign w:val="center"/>
                </w:tcPr>
                <w:p w14:paraId="5AF28C5C">
                  <w:pPr>
                    <w:spacing w:line="240" w:lineRule="auto"/>
                    <w:ind w:firstLine="180" w:firstLineChars="100"/>
                    <w:rPr>
                      <w:rFonts w:hint="default" w:ascii="Times New Roman" w:hAnsi="Times New Roman" w:cs="Times New Roman" w:eastAsiaTheme="minorEastAsia"/>
                      <w:b w:val="0"/>
                      <w:bCs w:val="0"/>
                      <w:color w:val="auto"/>
                      <w:sz w:val="18"/>
                      <w:szCs w:val="18"/>
                      <w:highlight w:val="none"/>
                    </w:rPr>
                  </w:pPr>
                </w:p>
              </w:tc>
              <w:tc>
                <w:tcPr>
                  <w:tcW w:w="2343" w:type="pct"/>
                  <w:vMerge w:val="continue"/>
                  <w:tcBorders>
                    <w:tl2br w:val="nil"/>
                    <w:tr2bl w:val="nil"/>
                  </w:tcBorders>
                  <w:vAlign w:val="center"/>
                </w:tcPr>
                <w:p w14:paraId="36CAC6E3">
                  <w:pPr>
                    <w:spacing w:line="240" w:lineRule="auto"/>
                    <w:ind w:firstLine="180" w:firstLineChars="100"/>
                    <w:rPr>
                      <w:rFonts w:hint="default" w:ascii="Times New Roman" w:hAnsi="Times New Roman" w:cs="Times New Roman" w:eastAsiaTheme="minorEastAsia"/>
                      <w:b w:val="0"/>
                      <w:bCs w:val="0"/>
                      <w:color w:val="auto"/>
                      <w:sz w:val="18"/>
                      <w:szCs w:val="18"/>
                      <w:highlight w:val="none"/>
                    </w:rPr>
                  </w:pPr>
                </w:p>
              </w:tc>
              <w:tc>
                <w:tcPr>
                  <w:tcW w:w="1913" w:type="pct"/>
                  <w:tcBorders>
                    <w:tl2br w:val="nil"/>
                    <w:tr2bl w:val="nil"/>
                  </w:tcBorders>
                  <w:vAlign w:val="center"/>
                </w:tcPr>
                <w:p w14:paraId="5B0B0D10">
                  <w:pPr>
                    <w:spacing w:line="240" w:lineRule="auto"/>
                    <w:ind w:firstLine="180" w:firstLineChars="100"/>
                    <w:rPr>
                      <w:rFonts w:hint="default" w:ascii="Times New Roman" w:hAnsi="Times New Roman" w:cs="Times New Roman" w:eastAsiaTheme="minorEastAsia"/>
                      <w:b w:val="0"/>
                      <w:bCs w:val="0"/>
                      <w:color w:val="auto"/>
                      <w:sz w:val="18"/>
                      <w:szCs w:val="18"/>
                      <w:highlight w:val="none"/>
                      <w:lang w:val="en-US" w:eastAsia="zh-CN"/>
                    </w:rPr>
                  </w:pPr>
                  <w:r>
                    <w:rPr>
                      <w:rFonts w:hint="eastAsia" w:cs="Times New Roman" w:eastAsiaTheme="minorEastAsia"/>
                      <w:b w:val="0"/>
                      <w:bCs w:val="0"/>
                      <w:color w:val="auto"/>
                      <w:sz w:val="18"/>
                      <w:szCs w:val="18"/>
                      <w:highlight w:val="none"/>
                      <w:lang w:val="en-US" w:eastAsia="zh-CN"/>
                    </w:rPr>
                    <w:t>根据园区生态环境分区管控对污染物排放的要求：本项目所在地不属于区域划分的禁燃区，项目运营期不设置燃煤、重油等炉窑设施；项目所在区域属达标区，不涉及污染物倍量削减；项目运营期废水经自建污水处理站处理达标后进入园区污水管网系统，最终进入大同市开发区污水处理厂。</w:t>
                  </w:r>
                </w:p>
              </w:tc>
              <w:tc>
                <w:tcPr>
                  <w:tcW w:w="459" w:type="pct"/>
                  <w:vMerge w:val="continue"/>
                  <w:tcBorders>
                    <w:tl2br w:val="nil"/>
                    <w:tr2bl w:val="nil"/>
                  </w:tcBorders>
                  <w:vAlign w:val="center"/>
                </w:tcPr>
                <w:p w14:paraId="13A5536F">
                  <w:pPr>
                    <w:spacing w:line="240" w:lineRule="auto"/>
                    <w:ind w:firstLine="180" w:firstLineChars="100"/>
                    <w:rPr>
                      <w:rFonts w:hint="default" w:ascii="Times New Roman" w:hAnsi="Times New Roman" w:cs="Times New Roman" w:eastAsiaTheme="minorEastAsia"/>
                      <w:b w:val="0"/>
                      <w:bCs w:val="0"/>
                      <w:color w:val="auto"/>
                      <w:sz w:val="18"/>
                      <w:szCs w:val="18"/>
                      <w:highlight w:val="none"/>
                    </w:rPr>
                  </w:pPr>
                </w:p>
              </w:tc>
            </w:tr>
            <w:tr w14:paraId="5F9054B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5" w:hRule="atLeast"/>
                <w:jc w:val="center"/>
              </w:trPr>
              <w:tc>
                <w:tcPr>
                  <w:tcW w:w="284" w:type="pct"/>
                  <w:vMerge w:val="continue"/>
                  <w:tcBorders>
                    <w:tl2br w:val="nil"/>
                    <w:tr2bl w:val="nil"/>
                  </w:tcBorders>
                  <w:vAlign w:val="center"/>
                </w:tcPr>
                <w:p w14:paraId="5F1A2A1E">
                  <w:pPr>
                    <w:spacing w:line="240" w:lineRule="auto"/>
                    <w:ind w:firstLine="180" w:firstLineChars="100"/>
                    <w:rPr>
                      <w:rFonts w:hint="default" w:ascii="Times New Roman" w:hAnsi="Times New Roman" w:cs="Times New Roman" w:eastAsiaTheme="minorEastAsia"/>
                      <w:b w:val="0"/>
                      <w:bCs w:val="0"/>
                      <w:color w:val="auto"/>
                      <w:sz w:val="18"/>
                      <w:szCs w:val="18"/>
                      <w:highlight w:val="none"/>
                    </w:rPr>
                  </w:pPr>
                </w:p>
              </w:tc>
              <w:tc>
                <w:tcPr>
                  <w:tcW w:w="2343" w:type="pct"/>
                  <w:vMerge w:val="continue"/>
                  <w:tcBorders>
                    <w:tl2br w:val="nil"/>
                    <w:tr2bl w:val="nil"/>
                  </w:tcBorders>
                  <w:vAlign w:val="center"/>
                </w:tcPr>
                <w:p w14:paraId="7069DE4F">
                  <w:pPr>
                    <w:spacing w:line="240" w:lineRule="auto"/>
                    <w:ind w:firstLine="180" w:firstLineChars="100"/>
                    <w:rPr>
                      <w:rFonts w:hint="default" w:ascii="Times New Roman" w:hAnsi="Times New Roman" w:cs="Times New Roman" w:eastAsiaTheme="minorEastAsia"/>
                      <w:b w:val="0"/>
                      <w:bCs w:val="0"/>
                      <w:color w:val="auto"/>
                      <w:sz w:val="18"/>
                      <w:szCs w:val="18"/>
                      <w:highlight w:val="none"/>
                    </w:rPr>
                  </w:pPr>
                </w:p>
              </w:tc>
              <w:tc>
                <w:tcPr>
                  <w:tcW w:w="1913" w:type="pct"/>
                  <w:tcBorders>
                    <w:tl2br w:val="nil"/>
                    <w:tr2bl w:val="nil"/>
                  </w:tcBorders>
                  <w:vAlign w:val="center"/>
                </w:tcPr>
                <w:p w14:paraId="592947E6">
                  <w:pPr>
                    <w:spacing w:line="240" w:lineRule="auto"/>
                    <w:ind w:firstLine="180" w:firstLineChars="100"/>
                    <w:rPr>
                      <w:rFonts w:hint="default" w:ascii="Times New Roman" w:hAnsi="Times New Roman" w:cs="Times New Roman" w:eastAsiaTheme="minorEastAsia"/>
                      <w:b w:val="0"/>
                      <w:bCs w:val="0"/>
                      <w:color w:val="auto"/>
                      <w:sz w:val="18"/>
                      <w:szCs w:val="18"/>
                      <w:highlight w:val="none"/>
                      <w:lang w:val="en-US" w:eastAsia="zh-CN"/>
                    </w:rPr>
                  </w:pPr>
                  <w:r>
                    <w:rPr>
                      <w:rFonts w:hint="eastAsia" w:cs="Times New Roman" w:eastAsiaTheme="minorEastAsia"/>
                      <w:b w:val="0"/>
                      <w:bCs w:val="0"/>
                      <w:color w:val="auto"/>
                      <w:sz w:val="18"/>
                      <w:szCs w:val="18"/>
                      <w:highlight w:val="none"/>
                      <w:lang w:val="en-US" w:eastAsia="zh-CN"/>
                    </w:rPr>
                    <w:t>本项目为疗养院项目，不涉及</w:t>
                  </w:r>
                  <w:r>
                    <w:rPr>
                      <w:rFonts w:hint="eastAsia" w:ascii="Times New Roman" w:hAnsi="Times New Roman" w:cs="Times New Roman" w:eastAsiaTheme="minorEastAsia"/>
                      <w:b w:val="0"/>
                      <w:bCs w:val="0"/>
                      <w:color w:val="auto"/>
                      <w:sz w:val="18"/>
                      <w:szCs w:val="18"/>
                      <w:highlight w:val="none"/>
                      <w:lang w:val="en-US" w:eastAsia="zh-CN"/>
                    </w:rPr>
                    <w:t>高排放非道路移动机械</w:t>
                  </w:r>
                  <w:r>
                    <w:rPr>
                      <w:rFonts w:hint="eastAsia" w:cs="Times New Roman" w:eastAsiaTheme="minorEastAsia"/>
                      <w:b w:val="0"/>
                      <w:bCs w:val="0"/>
                      <w:color w:val="auto"/>
                      <w:sz w:val="18"/>
                      <w:szCs w:val="18"/>
                      <w:highlight w:val="none"/>
                      <w:lang w:val="en-US" w:eastAsia="zh-CN"/>
                    </w:rPr>
                    <w:t>。</w:t>
                  </w:r>
                </w:p>
              </w:tc>
              <w:tc>
                <w:tcPr>
                  <w:tcW w:w="459" w:type="pct"/>
                  <w:vMerge w:val="continue"/>
                  <w:tcBorders>
                    <w:tl2br w:val="nil"/>
                    <w:tr2bl w:val="nil"/>
                  </w:tcBorders>
                  <w:vAlign w:val="center"/>
                </w:tcPr>
                <w:p w14:paraId="156912CB">
                  <w:pPr>
                    <w:spacing w:line="240" w:lineRule="auto"/>
                    <w:ind w:firstLine="180" w:firstLineChars="100"/>
                    <w:rPr>
                      <w:rFonts w:hint="default" w:ascii="Times New Roman" w:hAnsi="Times New Roman" w:cs="Times New Roman" w:eastAsiaTheme="minorEastAsia"/>
                      <w:b w:val="0"/>
                      <w:bCs w:val="0"/>
                      <w:color w:val="auto"/>
                      <w:sz w:val="18"/>
                      <w:szCs w:val="18"/>
                      <w:highlight w:val="none"/>
                    </w:rPr>
                  </w:pPr>
                </w:p>
              </w:tc>
            </w:tr>
            <w:tr w14:paraId="550C6FD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5" w:hRule="atLeast"/>
                <w:jc w:val="center"/>
              </w:trPr>
              <w:tc>
                <w:tcPr>
                  <w:tcW w:w="284" w:type="pct"/>
                  <w:vMerge w:val="restart"/>
                  <w:tcBorders>
                    <w:tl2br w:val="nil"/>
                    <w:tr2bl w:val="nil"/>
                  </w:tcBorders>
                  <w:vAlign w:val="center"/>
                </w:tcPr>
                <w:p w14:paraId="0F77991A">
                  <w:pPr>
                    <w:spacing w:line="240" w:lineRule="auto"/>
                    <w:jc w:val="center"/>
                    <w:rPr>
                      <w:rFonts w:hint="default" w:ascii="Times New Roman" w:hAnsi="Times New Roman" w:cs="Times New Roman" w:eastAsiaTheme="minorEastAsia"/>
                      <w:b w:val="0"/>
                      <w:bCs w:val="0"/>
                      <w:color w:val="auto"/>
                      <w:sz w:val="18"/>
                      <w:szCs w:val="18"/>
                      <w:highlight w:val="none"/>
                    </w:rPr>
                  </w:pPr>
                  <w:r>
                    <w:rPr>
                      <w:rFonts w:hint="default" w:ascii="Times New Roman" w:hAnsi="Times New Roman" w:cs="Times New Roman" w:eastAsiaTheme="minorEastAsia"/>
                      <w:b w:val="0"/>
                      <w:bCs w:val="0"/>
                      <w:color w:val="auto"/>
                      <w:sz w:val="18"/>
                      <w:szCs w:val="18"/>
                      <w:highlight w:val="none"/>
                    </w:rPr>
                    <w:t>资源开发利用要求</w:t>
                  </w:r>
                </w:p>
              </w:tc>
              <w:tc>
                <w:tcPr>
                  <w:tcW w:w="2343" w:type="pct"/>
                  <w:tcBorders>
                    <w:tl2br w:val="nil"/>
                    <w:tr2bl w:val="nil"/>
                  </w:tcBorders>
                  <w:vAlign w:val="center"/>
                </w:tcPr>
                <w:p w14:paraId="1A97BA93">
                  <w:pPr>
                    <w:spacing w:line="240" w:lineRule="auto"/>
                    <w:ind w:firstLine="180" w:firstLineChars="100"/>
                    <w:rPr>
                      <w:rFonts w:hint="eastAsia" w:ascii="Times New Roman" w:hAnsi="Times New Roman" w:cs="Times New Roman" w:eastAsiaTheme="minorEastAsia"/>
                      <w:b w:val="0"/>
                      <w:bCs w:val="0"/>
                      <w:color w:val="auto"/>
                      <w:sz w:val="18"/>
                      <w:szCs w:val="18"/>
                      <w:highlight w:val="none"/>
                      <w:lang w:val="en-US" w:eastAsia="zh-CN"/>
                    </w:rPr>
                  </w:pPr>
                  <w:r>
                    <w:rPr>
                      <w:rFonts w:hint="eastAsia" w:ascii="Times New Roman" w:hAnsi="Times New Roman" w:cs="Times New Roman" w:eastAsiaTheme="minorEastAsia"/>
                      <w:b w:val="0"/>
                      <w:bCs w:val="0"/>
                      <w:color w:val="auto"/>
                      <w:sz w:val="18"/>
                      <w:szCs w:val="18"/>
                      <w:highlight w:val="none"/>
                      <w:lang w:val="en-US" w:eastAsia="zh-CN"/>
                    </w:rPr>
                    <w:t>水资源：</w:t>
                  </w:r>
                </w:p>
                <w:p w14:paraId="52A0A758">
                  <w:pPr>
                    <w:spacing w:line="240" w:lineRule="auto"/>
                    <w:ind w:firstLine="180" w:firstLineChars="100"/>
                    <w:rPr>
                      <w:rFonts w:hint="eastAsia" w:ascii="Times New Roman" w:hAnsi="Times New Roman" w:cs="Times New Roman" w:eastAsiaTheme="minorEastAsia"/>
                      <w:b w:val="0"/>
                      <w:bCs w:val="0"/>
                      <w:color w:val="auto"/>
                      <w:sz w:val="18"/>
                      <w:szCs w:val="18"/>
                      <w:highlight w:val="none"/>
                      <w:lang w:val="en-US" w:eastAsia="zh-CN"/>
                    </w:rPr>
                  </w:pPr>
                  <w:r>
                    <w:rPr>
                      <w:rFonts w:hint="default" w:ascii="Times New Roman" w:hAnsi="Times New Roman" w:cs="Times New Roman" w:eastAsiaTheme="minorEastAsia"/>
                      <w:b w:val="0"/>
                      <w:bCs w:val="0"/>
                      <w:color w:val="auto"/>
                      <w:sz w:val="18"/>
                      <w:szCs w:val="18"/>
                      <w:highlight w:val="none"/>
                      <w:lang w:val="en-US" w:eastAsia="zh-CN"/>
                    </w:rPr>
                    <w:t>1.</w:t>
                  </w:r>
                  <w:r>
                    <w:rPr>
                      <w:rFonts w:hint="eastAsia" w:ascii="Times New Roman" w:hAnsi="Times New Roman" w:cs="Times New Roman" w:eastAsiaTheme="minorEastAsia"/>
                      <w:b w:val="0"/>
                      <w:bCs w:val="0"/>
                      <w:color w:val="auto"/>
                      <w:sz w:val="18"/>
                      <w:szCs w:val="18"/>
                      <w:highlight w:val="none"/>
                      <w:lang w:val="en-US" w:eastAsia="zh-CN"/>
                    </w:rPr>
                    <w:t xml:space="preserve">水资源利用上线严格落实“十四五”相关目标指标。 </w:t>
                  </w:r>
                </w:p>
                <w:p w14:paraId="67FCED66">
                  <w:pPr>
                    <w:spacing w:line="240" w:lineRule="auto"/>
                    <w:ind w:firstLine="180" w:firstLineChars="100"/>
                    <w:rPr>
                      <w:rFonts w:hint="eastAsia" w:ascii="Times New Roman" w:hAnsi="Times New Roman" w:cs="Times New Roman" w:eastAsiaTheme="minorEastAsia"/>
                      <w:b w:val="0"/>
                      <w:bCs w:val="0"/>
                      <w:color w:val="auto"/>
                      <w:sz w:val="18"/>
                      <w:szCs w:val="18"/>
                      <w:highlight w:val="none"/>
                      <w:lang w:val="en-US" w:eastAsia="zh-CN"/>
                    </w:rPr>
                  </w:pPr>
                  <w:r>
                    <w:rPr>
                      <w:rFonts w:hint="default" w:ascii="Times New Roman" w:hAnsi="Times New Roman" w:cs="Times New Roman" w:eastAsiaTheme="minorEastAsia"/>
                      <w:b w:val="0"/>
                      <w:bCs w:val="0"/>
                      <w:color w:val="auto"/>
                      <w:sz w:val="18"/>
                      <w:szCs w:val="18"/>
                      <w:highlight w:val="none"/>
                      <w:lang w:val="en-US" w:eastAsia="zh-CN"/>
                    </w:rPr>
                    <w:t>2.</w:t>
                  </w:r>
                  <w:r>
                    <w:rPr>
                      <w:rFonts w:hint="eastAsia" w:ascii="Times New Roman" w:hAnsi="Times New Roman" w:cs="Times New Roman" w:eastAsiaTheme="minorEastAsia"/>
                      <w:b w:val="0"/>
                      <w:bCs w:val="0"/>
                      <w:color w:val="auto"/>
                      <w:sz w:val="18"/>
                      <w:szCs w:val="18"/>
                      <w:highlight w:val="none"/>
                      <w:lang w:val="en-US" w:eastAsia="zh-CN"/>
                    </w:rPr>
                    <w:t>鼓励开发节水产品与工艺。</w:t>
                  </w:r>
                </w:p>
              </w:tc>
              <w:tc>
                <w:tcPr>
                  <w:tcW w:w="1913" w:type="pct"/>
                  <w:tcBorders>
                    <w:tl2br w:val="nil"/>
                    <w:tr2bl w:val="nil"/>
                  </w:tcBorders>
                  <w:vAlign w:val="center"/>
                </w:tcPr>
                <w:p w14:paraId="636C4419">
                  <w:pPr>
                    <w:spacing w:line="240" w:lineRule="auto"/>
                    <w:ind w:firstLine="180" w:firstLineChars="100"/>
                    <w:rPr>
                      <w:rFonts w:hint="default" w:ascii="Times New Roman" w:hAnsi="Times New Roman" w:cs="Times New Roman" w:eastAsiaTheme="minorEastAsia"/>
                      <w:b w:val="0"/>
                      <w:bCs w:val="0"/>
                      <w:color w:val="auto"/>
                      <w:sz w:val="18"/>
                      <w:szCs w:val="18"/>
                      <w:highlight w:val="none"/>
                    </w:rPr>
                  </w:pPr>
                  <w:r>
                    <w:rPr>
                      <w:rFonts w:hint="eastAsia" w:cs="Times New Roman" w:eastAsiaTheme="minorEastAsia"/>
                      <w:b w:val="0"/>
                      <w:bCs w:val="0"/>
                      <w:color w:val="auto"/>
                      <w:sz w:val="18"/>
                      <w:szCs w:val="18"/>
                      <w:highlight w:val="none"/>
                      <w:lang w:val="en-US" w:eastAsia="zh-CN"/>
                    </w:rPr>
                    <w:t>本项目为疗养院项目，运营期用水主要包括职工、病患等生活用水、医疗用水等，用水量较小，由园区供水管网提供，不涉及开采或使用地下水资源。</w:t>
                  </w:r>
                  <w:r>
                    <w:rPr>
                      <w:rFonts w:hint="default" w:ascii="Times New Roman" w:hAnsi="Times New Roman" w:cs="Times New Roman" w:eastAsiaTheme="minorEastAsia"/>
                      <w:b w:val="0"/>
                      <w:bCs w:val="0"/>
                      <w:color w:val="auto"/>
                      <w:sz w:val="18"/>
                      <w:szCs w:val="18"/>
                      <w:highlight w:val="none"/>
                    </w:rPr>
                    <w:t>本项目的建设符合园区土地资源、水资源开发满足资源利用上线清单要求。</w:t>
                  </w:r>
                </w:p>
              </w:tc>
              <w:tc>
                <w:tcPr>
                  <w:tcW w:w="459" w:type="pct"/>
                  <w:vMerge w:val="restart"/>
                  <w:tcBorders>
                    <w:tl2br w:val="nil"/>
                    <w:tr2bl w:val="nil"/>
                  </w:tcBorders>
                  <w:vAlign w:val="center"/>
                </w:tcPr>
                <w:p w14:paraId="48D3A5FB">
                  <w:pPr>
                    <w:pStyle w:val="190"/>
                    <w:spacing w:line="240" w:lineRule="auto"/>
                    <w:rPr>
                      <w:rFonts w:hint="default" w:ascii="Times New Roman" w:hAnsi="Times New Roman" w:cs="Times New Roman" w:eastAsiaTheme="minorEastAsia"/>
                      <w:b w:val="0"/>
                      <w:bCs w:val="0"/>
                      <w:color w:val="auto"/>
                      <w:sz w:val="18"/>
                      <w:szCs w:val="18"/>
                      <w:highlight w:val="none"/>
                    </w:rPr>
                  </w:pPr>
                  <w:r>
                    <w:rPr>
                      <w:rFonts w:hint="default" w:ascii="Times New Roman" w:hAnsi="Times New Roman" w:cs="Times New Roman" w:eastAsiaTheme="minorEastAsia"/>
                      <w:b w:val="0"/>
                      <w:bCs w:val="0"/>
                      <w:color w:val="auto"/>
                      <w:sz w:val="18"/>
                      <w:szCs w:val="18"/>
                      <w:highlight w:val="none"/>
                    </w:rPr>
                    <w:t>符合</w:t>
                  </w:r>
                </w:p>
              </w:tc>
            </w:tr>
            <w:tr w14:paraId="44ABD7E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78" w:hRule="atLeast"/>
                <w:jc w:val="center"/>
              </w:trPr>
              <w:tc>
                <w:tcPr>
                  <w:tcW w:w="284" w:type="pct"/>
                  <w:vMerge w:val="continue"/>
                  <w:tcBorders>
                    <w:tl2br w:val="nil"/>
                    <w:tr2bl w:val="nil"/>
                  </w:tcBorders>
                  <w:vAlign w:val="center"/>
                </w:tcPr>
                <w:p w14:paraId="18487447">
                  <w:pPr>
                    <w:spacing w:line="240" w:lineRule="auto"/>
                    <w:jc w:val="center"/>
                    <w:rPr>
                      <w:rFonts w:hint="default" w:ascii="Times New Roman" w:hAnsi="Times New Roman" w:cs="Times New Roman" w:eastAsiaTheme="minorEastAsia"/>
                      <w:b w:val="0"/>
                      <w:bCs w:val="0"/>
                      <w:color w:val="auto"/>
                      <w:sz w:val="18"/>
                      <w:szCs w:val="18"/>
                      <w:highlight w:val="none"/>
                    </w:rPr>
                  </w:pPr>
                </w:p>
              </w:tc>
              <w:tc>
                <w:tcPr>
                  <w:tcW w:w="2343" w:type="pct"/>
                  <w:tcBorders>
                    <w:tl2br w:val="nil"/>
                    <w:tr2bl w:val="nil"/>
                  </w:tcBorders>
                  <w:vAlign w:val="center"/>
                </w:tcPr>
                <w:p w14:paraId="7CB4301F">
                  <w:pPr>
                    <w:spacing w:line="240" w:lineRule="auto"/>
                    <w:ind w:firstLine="180" w:firstLineChars="100"/>
                    <w:rPr>
                      <w:rFonts w:hint="eastAsia" w:ascii="Times New Roman" w:hAnsi="Times New Roman" w:cs="Times New Roman" w:eastAsiaTheme="minorEastAsia"/>
                      <w:b w:val="0"/>
                      <w:bCs w:val="0"/>
                      <w:color w:val="auto"/>
                      <w:sz w:val="18"/>
                      <w:szCs w:val="18"/>
                      <w:highlight w:val="none"/>
                      <w:lang w:val="en-US" w:eastAsia="zh-CN"/>
                    </w:rPr>
                  </w:pPr>
                  <w:r>
                    <w:rPr>
                      <w:rFonts w:hint="eastAsia" w:ascii="Times New Roman" w:hAnsi="Times New Roman" w:cs="Times New Roman" w:eastAsiaTheme="minorEastAsia"/>
                      <w:b w:val="0"/>
                      <w:bCs w:val="0"/>
                      <w:color w:val="auto"/>
                      <w:sz w:val="18"/>
                      <w:szCs w:val="18"/>
                      <w:highlight w:val="none"/>
                      <w:lang w:val="en-US" w:eastAsia="zh-CN"/>
                    </w:rPr>
                    <w:t>土地资源：</w:t>
                  </w:r>
                </w:p>
                <w:p w14:paraId="1D7C9DA3">
                  <w:pPr>
                    <w:spacing w:line="240" w:lineRule="auto"/>
                    <w:ind w:firstLine="180" w:firstLineChars="100"/>
                    <w:rPr>
                      <w:rFonts w:hint="default" w:ascii="Times New Roman" w:hAnsi="Times New Roman" w:cs="Times New Roman" w:eastAsiaTheme="minorEastAsia"/>
                      <w:b w:val="0"/>
                      <w:bCs w:val="0"/>
                      <w:color w:val="auto"/>
                      <w:sz w:val="18"/>
                      <w:szCs w:val="18"/>
                      <w:highlight w:val="none"/>
                      <w:lang w:val="en-US" w:eastAsia="zh-CN"/>
                    </w:rPr>
                  </w:pPr>
                  <w:r>
                    <w:rPr>
                      <w:rFonts w:hint="eastAsia" w:ascii="Times New Roman" w:hAnsi="Times New Roman" w:cs="Times New Roman" w:eastAsiaTheme="minorEastAsia"/>
                      <w:b w:val="0"/>
                      <w:bCs w:val="0"/>
                      <w:color w:val="auto"/>
                      <w:sz w:val="18"/>
                      <w:szCs w:val="18"/>
                      <w:highlight w:val="none"/>
                      <w:lang w:val="en-US" w:eastAsia="zh-CN"/>
                    </w:rPr>
                    <w:t>土地资源利用上线严格落实“十四五”相关目标指标。</w:t>
                  </w:r>
                </w:p>
              </w:tc>
              <w:tc>
                <w:tcPr>
                  <w:tcW w:w="1913" w:type="pct"/>
                  <w:tcBorders>
                    <w:tl2br w:val="nil"/>
                    <w:tr2bl w:val="nil"/>
                  </w:tcBorders>
                  <w:vAlign w:val="center"/>
                </w:tcPr>
                <w:p w14:paraId="45937646">
                  <w:pPr>
                    <w:spacing w:line="240" w:lineRule="auto"/>
                    <w:ind w:firstLine="180" w:firstLineChars="100"/>
                    <w:rPr>
                      <w:rFonts w:hint="default" w:ascii="Times New Roman" w:hAnsi="Times New Roman" w:cs="Times New Roman" w:eastAsiaTheme="minorEastAsia"/>
                      <w:b w:val="0"/>
                      <w:bCs w:val="0"/>
                      <w:color w:val="auto"/>
                      <w:sz w:val="18"/>
                      <w:szCs w:val="18"/>
                      <w:highlight w:val="none"/>
                    </w:rPr>
                  </w:pPr>
                  <w:r>
                    <w:rPr>
                      <w:rFonts w:hint="eastAsia" w:cs="Times New Roman" w:eastAsiaTheme="minorEastAsia"/>
                      <w:b w:val="0"/>
                      <w:bCs w:val="0"/>
                      <w:color w:val="auto"/>
                      <w:sz w:val="18"/>
                      <w:szCs w:val="18"/>
                      <w:highlight w:val="none"/>
                      <w:lang w:val="en-US" w:eastAsia="zh-CN"/>
                    </w:rPr>
                    <w:t>项目严格控制用地，落实</w:t>
                  </w:r>
                  <w:r>
                    <w:rPr>
                      <w:rFonts w:hint="eastAsia" w:ascii="Times New Roman" w:hAnsi="Times New Roman" w:cs="Times New Roman" w:eastAsiaTheme="minorEastAsia"/>
                      <w:b w:val="0"/>
                      <w:bCs w:val="0"/>
                      <w:color w:val="auto"/>
                      <w:sz w:val="18"/>
                      <w:szCs w:val="18"/>
                      <w:highlight w:val="none"/>
                      <w:lang w:val="en-US" w:eastAsia="zh-CN"/>
                    </w:rPr>
                    <w:t>“十四五”相关目标指标</w:t>
                  </w:r>
                  <w:r>
                    <w:rPr>
                      <w:rFonts w:hint="default" w:ascii="Times New Roman" w:hAnsi="Times New Roman" w:cs="Times New Roman" w:eastAsiaTheme="minorEastAsia"/>
                      <w:b w:val="0"/>
                      <w:bCs w:val="0"/>
                      <w:color w:val="auto"/>
                      <w:sz w:val="18"/>
                      <w:szCs w:val="18"/>
                      <w:highlight w:val="none"/>
                    </w:rPr>
                    <w:t>。</w:t>
                  </w:r>
                </w:p>
              </w:tc>
              <w:tc>
                <w:tcPr>
                  <w:tcW w:w="459" w:type="pct"/>
                  <w:vMerge w:val="continue"/>
                  <w:tcBorders>
                    <w:tl2br w:val="nil"/>
                    <w:tr2bl w:val="nil"/>
                  </w:tcBorders>
                  <w:vAlign w:val="center"/>
                </w:tcPr>
                <w:p w14:paraId="0A87A996">
                  <w:pPr>
                    <w:pStyle w:val="190"/>
                    <w:spacing w:line="240" w:lineRule="auto"/>
                    <w:jc w:val="both"/>
                    <w:rPr>
                      <w:rFonts w:hint="default" w:ascii="Times New Roman" w:hAnsi="Times New Roman" w:cs="Times New Roman" w:eastAsiaTheme="minorEastAsia"/>
                      <w:b w:val="0"/>
                      <w:bCs w:val="0"/>
                      <w:color w:val="auto"/>
                      <w:sz w:val="18"/>
                      <w:szCs w:val="18"/>
                      <w:highlight w:val="none"/>
                    </w:rPr>
                  </w:pPr>
                </w:p>
              </w:tc>
            </w:tr>
            <w:tr w14:paraId="0E6B923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78" w:hRule="atLeast"/>
                <w:jc w:val="center"/>
              </w:trPr>
              <w:tc>
                <w:tcPr>
                  <w:tcW w:w="284" w:type="pct"/>
                  <w:vMerge w:val="continue"/>
                  <w:tcBorders>
                    <w:tl2br w:val="nil"/>
                    <w:tr2bl w:val="nil"/>
                  </w:tcBorders>
                  <w:vAlign w:val="center"/>
                </w:tcPr>
                <w:p w14:paraId="734F6503">
                  <w:pPr>
                    <w:spacing w:line="240" w:lineRule="auto"/>
                    <w:jc w:val="center"/>
                    <w:rPr>
                      <w:rFonts w:hint="default" w:ascii="Times New Roman" w:hAnsi="Times New Roman" w:cs="Times New Roman" w:eastAsiaTheme="minorEastAsia"/>
                      <w:b w:val="0"/>
                      <w:bCs w:val="0"/>
                      <w:color w:val="auto"/>
                      <w:sz w:val="18"/>
                      <w:szCs w:val="18"/>
                      <w:highlight w:val="none"/>
                    </w:rPr>
                  </w:pPr>
                </w:p>
              </w:tc>
              <w:tc>
                <w:tcPr>
                  <w:tcW w:w="2343" w:type="pct"/>
                  <w:tcBorders>
                    <w:tl2br w:val="nil"/>
                    <w:tr2bl w:val="nil"/>
                  </w:tcBorders>
                  <w:vAlign w:val="center"/>
                </w:tcPr>
                <w:p w14:paraId="1DAD8D14">
                  <w:pPr>
                    <w:spacing w:line="240" w:lineRule="auto"/>
                    <w:ind w:firstLine="180" w:firstLineChars="100"/>
                    <w:rPr>
                      <w:rFonts w:hint="eastAsia" w:ascii="Times New Roman" w:hAnsi="Times New Roman" w:cs="Times New Roman" w:eastAsiaTheme="minorEastAsia"/>
                      <w:b w:val="0"/>
                      <w:bCs w:val="0"/>
                      <w:color w:val="auto"/>
                      <w:sz w:val="18"/>
                      <w:szCs w:val="18"/>
                      <w:highlight w:val="none"/>
                      <w:lang w:val="en-US" w:eastAsia="zh-CN"/>
                    </w:rPr>
                  </w:pPr>
                  <w:r>
                    <w:rPr>
                      <w:rFonts w:hint="eastAsia" w:ascii="Times New Roman" w:hAnsi="Times New Roman" w:cs="Times New Roman" w:eastAsiaTheme="minorEastAsia"/>
                      <w:b w:val="0"/>
                      <w:bCs w:val="0"/>
                      <w:color w:val="auto"/>
                      <w:sz w:val="18"/>
                      <w:szCs w:val="18"/>
                      <w:highlight w:val="none"/>
                      <w:lang w:val="en-US" w:eastAsia="zh-CN"/>
                    </w:rPr>
                    <w:t>能源利用：</w:t>
                  </w:r>
                </w:p>
                <w:p w14:paraId="40C54EAB">
                  <w:pPr>
                    <w:spacing w:line="240" w:lineRule="auto"/>
                    <w:ind w:firstLine="180" w:firstLineChars="100"/>
                    <w:rPr>
                      <w:rFonts w:hint="eastAsia" w:ascii="Times New Roman" w:hAnsi="Times New Roman" w:cs="Times New Roman" w:eastAsiaTheme="minorEastAsia"/>
                      <w:b w:val="0"/>
                      <w:bCs w:val="0"/>
                      <w:color w:val="auto"/>
                      <w:sz w:val="18"/>
                      <w:szCs w:val="18"/>
                      <w:highlight w:val="none"/>
                      <w:lang w:val="en-US" w:eastAsia="zh-CN"/>
                    </w:rPr>
                  </w:pPr>
                  <w:r>
                    <w:rPr>
                      <w:rFonts w:hint="default" w:ascii="Times New Roman" w:hAnsi="Times New Roman" w:cs="Times New Roman" w:eastAsiaTheme="minorEastAsia"/>
                      <w:b w:val="0"/>
                      <w:bCs w:val="0"/>
                      <w:color w:val="auto"/>
                      <w:sz w:val="18"/>
                      <w:szCs w:val="18"/>
                      <w:highlight w:val="none"/>
                      <w:lang w:val="en-US" w:eastAsia="zh-CN"/>
                    </w:rPr>
                    <w:t>1.</w:t>
                  </w:r>
                  <w:r>
                    <w:rPr>
                      <w:rFonts w:hint="eastAsia" w:ascii="Times New Roman" w:hAnsi="Times New Roman" w:cs="Times New Roman" w:eastAsiaTheme="minorEastAsia"/>
                      <w:b w:val="0"/>
                      <w:bCs w:val="0"/>
                      <w:color w:val="auto"/>
                      <w:sz w:val="18"/>
                      <w:szCs w:val="18"/>
                      <w:highlight w:val="none"/>
                      <w:lang w:val="en-US" w:eastAsia="zh-CN"/>
                    </w:rPr>
                    <w:t xml:space="preserve">能源利用上线严格落实碳达峰、碳中和相关要求以及“十四五”相关目标指标。 </w:t>
                  </w:r>
                </w:p>
                <w:p w14:paraId="00B040C6">
                  <w:pPr>
                    <w:spacing w:line="240" w:lineRule="auto"/>
                    <w:ind w:firstLine="180" w:firstLineChars="100"/>
                    <w:rPr>
                      <w:rFonts w:hint="eastAsia" w:ascii="Times New Roman" w:hAnsi="Times New Roman" w:cs="Times New Roman" w:eastAsiaTheme="minorEastAsia"/>
                      <w:b w:val="0"/>
                      <w:bCs w:val="0"/>
                      <w:color w:val="auto"/>
                      <w:sz w:val="18"/>
                      <w:szCs w:val="18"/>
                      <w:highlight w:val="none"/>
                      <w:lang w:val="en-US" w:eastAsia="zh-CN"/>
                    </w:rPr>
                  </w:pPr>
                  <w:r>
                    <w:rPr>
                      <w:rFonts w:hint="default" w:ascii="Times New Roman" w:hAnsi="Times New Roman" w:cs="Times New Roman" w:eastAsiaTheme="minorEastAsia"/>
                      <w:b w:val="0"/>
                      <w:bCs w:val="0"/>
                      <w:color w:val="auto"/>
                      <w:sz w:val="18"/>
                      <w:szCs w:val="18"/>
                      <w:highlight w:val="none"/>
                      <w:lang w:val="en-US" w:eastAsia="zh-CN"/>
                    </w:rPr>
                    <w:t>2.</w:t>
                  </w:r>
                  <w:r>
                    <w:rPr>
                      <w:rFonts w:hint="eastAsia" w:ascii="Times New Roman" w:hAnsi="Times New Roman" w:cs="Times New Roman" w:eastAsiaTheme="minorEastAsia"/>
                      <w:b w:val="0"/>
                      <w:bCs w:val="0"/>
                      <w:color w:val="auto"/>
                      <w:sz w:val="18"/>
                      <w:szCs w:val="18"/>
                      <w:highlight w:val="none"/>
                      <w:lang w:val="en-US" w:eastAsia="zh-CN"/>
                    </w:rPr>
                    <w:t xml:space="preserve">禁止新建燃煤或其他高污染燃料供热锅炉或其他项目。 </w:t>
                  </w:r>
                </w:p>
                <w:p w14:paraId="5BDA5086">
                  <w:pPr>
                    <w:spacing w:line="240" w:lineRule="auto"/>
                    <w:ind w:firstLine="180" w:firstLineChars="100"/>
                    <w:rPr>
                      <w:rFonts w:hint="default" w:ascii="Times New Roman" w:hAnsi="Times New Roman" w:cs="Times New Roman" w:eastAsiaTheme="minorEastAsia"/>
                      <w:b w:val="0"/>
                      <w:bCs w:val="0"/>
                      <w:color w:val="auto"/>
                      <w:sz w:val="18"/>
                      <w:szCs w:val="18"/>
                      <w:highlight w:val="none"/>
                      <w:lang w:val="en-US" w:eastAsia="zh-CN"/>
                    </w:rPr>
                  </w:pPr>
                  <w:r>
                    <w:rPr>
                      <w:rFonts w:hint="default" w:ascii="Times New Roman" w:hAnsi="Times New Roman" w:cs="Times New Roman" w:eastAsiaTheme="minorEastAsia"/>
                      <w:b w:val="0"/>
                      <w:bCs w:val="0"/>
                      <w:color w:val="auto"/>
                      <w:sz w:val="18"/>
                      <w:szCs w:val="18"/>
                      <w:highlight w:val="none"/>
                      <w:lang w:val="en-US" w:eastAsia="zh-CN"/>
                    </w:rPr>
                    <w:t>3.</w:t>
                  </w:r>
                  <w:r>
                    <w:rPr>
                      <w:rFonts w:hint="eastAsia" w:ascii="Times New Roman" w:hAnsi="Times New Roman" w:cs="Times New Roman" w:eastAsiaTheme="minorEastAsia"/>
                      <w:b w:val="0"/>
                      <w:bCs w:val="0"/>
                      <w:color w:val="auto"/>
                      <w:sz w:val="18"/>
                      <w:szCs w:val="18"/>
                      <w:highlight w:val="none"/>
                      <w:lang w:val="en-US" w:eastAsia="zh-CN"/>
                    </w:rPr>
                    <w:t>遵循循环经济和绿色经济理念，推进工业固体废物资源化。</w:t>
                  </w:r>
                </w:p>
              </w:tc>
              <w:tc>
                <w:tcPr>
                  <w:tcW w:w="1913" w:type="pct"/>
                  <w:tcBorders>
                    <w:tl2br w:val="nil"/>
                    <w:tr2bl w:val="nil"/>
                  </w:tcBorders>
                  <w:vAlign w:val="center"/>
                </w:tcPr>
                <w:p w14:paraId="3B5B7246">
                  <w:pPr>
                    <w:spacing w:line="240" w:lineRule="auto"/>
                    <w:ind w:firstLine="180" w:firstLineChars="100"/>
                    <w:rPr>
                      <w:rFonts w:hint="default" w:ascii="Times New Roman" w:hAnsi="Times New Roman" w:cs="Times New Roman" w:eastAsiaTheme="minorEastAsia"/>
                      <w:b w:val="0"/>
                      <w:bCs w:val="0"/>
                      <w:color w:val="auto"/>
                      <w:sz w:val="18"/>
                      <w:szCs w:val="18"/>
                      <w:highlight w:val="none"/>
                      <w:lang w:val="en-US"/>
                    </w:rPr>
                  </w:pPr>
                  <w:r>
                    <w:rPr>
                      <w:rFonts w:hint="eastAsia" w:cs="Times New Roman" w:eastAsiaTheme="minorEastAsia"/>
                      <w:b w:val="0"/>
                      <w:bCs w:val="0"/>
                      <w:color w:val="auto"/>
                      <w:sz w:val="18"/>
                      <w:szCs w:val="18"/>
                      <w:highlight w:val="none"/>
                      <w:lang w:val="en-US" w:eastAsia="zh-CN"/>
                    </w:rPr>
                    <w:t>本项目运营期不使用燃煤或高污染燃料供热锅炉等设施；固体废物合理处置，医疗废物妥善贮存，定期委托有资质单位清运处置。</w:t>
                  </w:r>
                </w:p>
              </w:tc>
              <w:tc>
                <w:tcPr>
                  <w:tcW w:w="459" w:type="pct"/>
                  <w:vMerge w:val="continue"/>
                  <w:tcBorders>
                    <w:tl2br w:val="nil"/>
                    <w:tr2bl w:val="nil"/>
                  </w:tcBorders>
                  <w:vAlign w:val="center"/>
                </w:tcPr>
                <w:p w14:paraId="11834DC1">
                  <w:pPr>
                    <w:pStyle w:val="190"/>
                    <w:spacing w:line="240" w:lineRule="auto"/>
                    <w:jc w:val="both"/>
                    <w:rPr>
                      <w:rFonts w:hint="default" w:ascii="Times New Roman" w:hAnsi="Times New Roman" w:cs="Times New Roman" w:eastAsiaTheme="minorEastAsia"/>
                      <w:b w:val="0"/>
                      <w:bCs w:val="0"/>
                      <w:color w:val="auto"/>
                      <w:sz w:val="18"/>
                      <w:szCs w:val="18"/>
                      <w:highlight w:val="none"/>
                    </w:rPr>
                  </w:pPr>
                </w:p>
              </w:tc>
            </w:tr>
            <w:tr w14:paraId="6F402A1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84" w:type="pct"/>
                  <w:vMerge w:val="continue"/>
                  <w:tcBorders>
                    <w:tl2br w:val="nil"/>
                    <w:tr2bl w:val="nil"/>
                  </w:tcBorders>
                  <w:vAlign w:val="center"/>
                </w:tcPr>
                <w:p w14:paraId="46DE26AC">
                  <w:pPr>
                    <w:spacing w:line="240" w:lineRule="auto"/>
                    <w:jc w:val="center"/>
                    <w:rPr>
                      <w:rFonts w:hint="default" w:ascii="Times New Roman" w:hAnsi="Times New Roman" w:cs="Times New Roman" w:eastAsiaTheme="minorEastAsia"/>
                      <w:b w:val="0"/>
                      <w:bCs w:val="0"/>
                      <w:color w:val="auto"/>
                      <w:sz w:val="18"/>
                      <w:szCs w:val="18"/>
                      <w:highlight w:val="none"/>
                    </w:rPr>
                  </w:pPr>
                </w:p>
              </w:tc>
              <w:tc>
                <w:tcPr>
                  <w:tcW w:w="2343" w:type="pct"/>
                  <w:tcBorders>
                    <w:tl2br w:val="nil"/>
                    <w:tr2bl w:val="nil"/>
                  </w:tcBorders>
                  <w:vAlign w:val="center"/>
                </w:tcPr>
                <w:p w14:paraId="2DF2A6D1">
                  <w:pPr>
                    <w:spacing w:line="240" w:lineRule="auto"/>
                    <w:ind w:firstLine="180" w:firstLineChars="100"/>
                    <w:rPr>
                      <w:rFonts w:hint="eastAsia" w:ascii="Times New Roman" w:hAnsi="Times New Roman" w:cs="Times New Roman" w:eastAsiaTheme="minorEastAsia"/>
                      <w:b w:val="0"/>
                      <w:bCs w:val="0"/>
                      <w:color w:val="auto"/>
                      <w:sz w:val="18"/>
                      <w:szCs w:val="18"/>
                      <w:highlight w:val="none"/>
                      <w:lang w:val="en-US" w:eastAsia="zh-CN"/>
                    </w:rPr>
                  </w:pPr>
                  <w:r>
                    <w:rPr>
                      <w:rFonts w:hint="eastAsia" w:ascii="Times New Roman" w:hAnsi="Times New Roman" w:cs="Times New Roman" w:eastAsiaTheme="minorEastAsia"/>
                      <w:b w:val="0"/>
                      <w:bCs w:val="0"/>
                      <w:color w:val="auto"/>
                      <w:sz w:val="18"/>
                      <w:szCs w:val="18"/>
                      <w:highlight w:val="none"/>
                      <w:lang w:val="en-US" w:eastAsia="zh-CN"/>
                    </w:rPr>
                    <w:t>碳排放：</w:t>
                  </w:r>
                </w:p>
                <w:p w14:paraId="78C36301">
                  <w:pPr>
                    <w:spacing w:line="240" w:lineRule="auto"/>
                    <w:ind w:firstLine="180" w:firstLineChars="100"/>
                    <w:rPr>
                      <w:rFonts w:hint="eastAsia" w:ascii="Times New Roman" w:hAnsi="Times New Roman" w:cs="Times New Roman" w:eastAsiaTheme="minorEastAsia"/>
                      <w:b w:val="0"/>
                      <w:bCs w:val="0"/>
                      <w:color w:val="auto"/>
                      <w:sz w:val="18"/>
                      <w:szCs w:val="18"/>
                      <w:highlight w:val="none"/>
                      <w:lang w:val="en-US" w:eastAsia="zh-CN"/>
                    </w:rPr>
                  </w:pPr>
                  <w:r>
                    <w:rPr>
                      <w:rFonts w:hint="eastAsia" w:ascii="Times New Roman" w:hAnsi="Times New Roman" w:cs="Times New Roman" w:eastAsiaTheme="minorEastAsia"/>
                      <w:b w:val="0"/>
                      <w:bCs w:val="0"/>
                      <w:color w:val="auto"/>
                      <w:sz w:val="18"/>
                      <w:szCs w:val="18"/>
                      <w:highlight w:val="none"/>
                      <w:lang w:val="en-US" w:eastAsia="zh-CN"/>
                    </w:rPr>
                    <w:t>单位地区生产总值二氧化碳排放降低比例达到山西省、大同市、云州区下达的指标。</w:t>
                  </w:r>
                </w:p>
              </w:tc>
              <w:tc>
                <w:tcPr>
                  <w:tcW w:w="1913" w:type="pct"/>
                  <w:tcBorders>
                    <w:tl2br w:val="nil"/>
                    <w:tr2bl w:val="nil"/>
                  </w:tcBorders>
                  <w:vAlign w:val="center"/>
                </w:tcPr>
                <w:p w14:paraId="501DFD98">
                  <w:pPr>
                    <w:spacing w:line="240" w:lineRule="auto"/>
                    <w:ind w:firstLine="180" w:firstLineChars="100"/>
                    <w:rPr>
                      <w:rFonts w:hint="default" w:ascii="Times New Roman" w:hAnsi="Times New Roman" w:cs="Times New Roman" w:eastAsiaTheme="minorEastAsia"/>
                      <w:b w:val="0"/>
                      <w:bCs w:val="0"/>
                      <w:color w:val="auto"/>
                      <w:sz w:val="18"/>
                      <w:szCs w:val="18"/>
                      <w:highlight w:val="none"/>
                      <w:lang w:val="en-US" w:eastAsia="zh-CN"/>
                    </w:rPr>
                  </w:pPr>
                  <w:r>
                    <w:rPr>
                      <w:rFonts w:hint="eastAsia" w:cs="Times New Roman" w:eastAsiaTheme="minorEastAsia"/>
                      <w:b w:val="0"/>
                      <w:bCs w:val="0"/>
                      <w:color w:val="auto"/>
                      <w:sz w:val="18"/>
                      <w:szCs w:val="18"/>
                      <w:highlight w:val="none"/>
                      <w:lang w:val="en-US" w:eastAsia="zh-CN"/>
                    </w:rPr>
                    <w:t>本工程为疗养院项目，不涉及碳排放。</w:t>
                  </w:r>
                </w:p>
              </w:tc>
              <w:tc>
                <w:tcPr>
                  <w:tcW w:w="459" w:type="pct"/>
                  <w:vMerge w:val="continue"/>
                  <w:tcBorders>
                    <w:tl2br w:val="nil"/>
                    <w:tr2bl w:val="nil"/>
                  </w:tcBorders>
                  <w:vAlign w:val="center"/>
                </w:tcPr>
                <w:p w14:paraId="2E92C9D7">
                  <w:pPr>
                    <w:pStyle w:val="190"/>
                    <w:spacing w:line="240" w:lineRule="auto"/>
                    <w:jc w:val="both"/>
                    <w:rPr>
                      <w:rFonts w:hint="default" w:ascii="Times New Roman" w:hAnsi="Times New Roman" w:cs="Times New Roman" w:eastAsiaTheme="minorEastAsia"/>
                      <w:b w:val="0"/>
                      <w:bCs w:val="0"/>
                      <w:color w:val="auto"/>
                      <w:sz w:val="18"/>
                      <w:szCs w:val="18"/>
                      <w:highlight w:val="none"/>
                    </w:rPr>
                  </w:pPr>
                </w:p>
              </w:tc>
            </w:tr>
            <w:tr w14:paraId="72D5CBD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22" w:hRule="atLeast"/>
                <w:jc w:val="center"/>
              </w:trPr>
              <w:tc>
                <w:tcPr>
                  <w:tcW w:w="284" w:type="pct"/>
                  <w:tcBorders>
                    <w:tl2br w:val="nil"/>
                    <w:tr2bl w:val="nil"/>
                  </w:tcBorders>
                  <w:vAlign w:val="center"/>
                </w:tcPr>
                <w:p w14:paraId="138DEFE0">
                  <w:pPr>
                    <w:spacing w:line="240" w:lineRule="auto"/>
                    <w:jc w:val="center"/>
                    <w:rPr>
                      <w:rFonts w:hint="default" w:ascii="Times New Roman" w:hAnsi="Times New Roman" w:cs="Times New Roman" w:eastAsiaTheme="minorEastAsia"/>
                      <w:b w:val="0"/>
                      <w:bCs w:val="0"/>
                      <w:color w:val="auto"/>
                      <w:sz w:val="18"/>
                      <w:szCs w:val="18"/>
                      <w:highlight w:val="none"/>
                      <w:lang w:val="en-US" w:eastAsia="zh-CN"/>
                    </w:rPr>
                  </w:pPr>
                  <w:r>
                    <w:rPr>
                      <w:rFonts w:hint="eastAsia" w:cs="Times New Roman" w:eastAsiaTheme="minorEastAsia"/>
                      <w:b w:val="0"/>
                      <w:bCs w:val="0"/>
                      <w:color w:val="auto"/>
                      <w:sz w:val="18"/>
                      <w:szCs w:val="18"/>
                      <w:highlight w:val="none"/>
                      <w:lang w:val="en-US" w:eastAsia="zh-CN"/>
                    </w:rPr>
                    <w:t>环境风险防控要求</w:t>
                  </w:r>
                </w:p>
              </w:tc>
              <w:tc>
                <w:tcPr>
                  <w:tcW w:w="2343" w:type="pct"/>
                  <w:tcBorders>
                    <w:tl2br w:val="nil"/>
                    <w:tr2bl w:val="nil"/>
                  </w:tcBorders>
                  <w:vAlign w:val="center"/>
                </w:tcPr>
                <w:p w14:paraId="79153ED7">
                  <w:pPr>
                    <w:spacing w:line="240" w:lineRule="auto"/>
                    <w:ind w:firstLine="180" w:firstLineChars="100"/>
                    <w:rPr>
                      <w:rFonts w:hint="eastAsia" w:ascii="Times New Roman" w:hAnsi="Times New Roman" w:cs="Times New Roman" w:eastAsiaTheme="minorEastAsia"/>
                      <w:b w:val="0"/>
                      <w:bCs w:val="0"/>
                      <w:color w:val="auto"/>
                      <w:sz w:val="18"/>
                      <w:szCs w:val="18"/>
                      <w:highlight w:val="none"/>
                      <w:lang w:val="en-US" w:eastAsia="zh-CN"/>
                    </w:rPr>
                  </w:pPr>
                  <w:r>
                    <w:rPr>
                      <w:rFonts w:hint="default" w:ascii="Times New Roman" w:hAnsi="Times New Roman" w:cs="Times New Roman" w:eastAsiaTheme="minorEastAsia"/>
                      <w:b w:val="0"/>
                      <w:bCs w:val="0"/>
                      <w:color w:val="auto"/>
                      <w:sz w:val="18"/>
                      <w:szCs w:val="18"/>
                      <w:highlight w:val="none"/>
                      <w:lang w:val="en-US" w:eastAsia="zh-CN"/>
                    </w:rPr>
                    <w:t>1.</w:t>
                  </w:r>
                  <w:r>
                    <w:rPr>
                      <w:rFonts w:hint="eastAsia" w:ascii="Times New Roman" w:hAnsi="Times New Roman" w:cs="Times New Roman" w:eastAsiaTheme="minorEastAsia"/>
                      <w:b w:val="0"/>
                      <w:bCs w:val="0"/>
                      <w:color w:val="auto"/>
                      <w:sz w:val="18"/>
                      <w:szCs w:val="18"/>
                      <w:highlight w:val="none"/>
                      <w:lang w:val="en-US" w:eastAsia="zh-CN"/>
                    </w:rPr>
                    <w:t xml:space="preserve">园区应建立环境风险防范管理工作长效机制，建设环境风险防控体系，提高环境应急能力，定期开展环境风险应急演练。建立覆盖面广的可视化监控系统，加快自动监测预警网络建设，健全环境风险单位信息库。 </w:t>
                  </w:r>
                </w:p>
                <w:p w14:paraId="4E706E60">
                  <w:pPr>
                    <w:spacing w:line="240" w:lineRule="auto"/>
                    <w:ind w:firstLine="180" w:firstLineChars="100"/>
                    <w:rPr>
                      <w:rFonts w:hint="default" w:ascii="Times New Roman" w:hAnsi="Times New Roman" w:cs="Times New Roman" w:eastAsiaTheme="minorEastAsia"/>
                      <w:b w:val="0"/>
                      <w:bCs w:val="0"/>
                      <w:color w:val="auto"/>
                      <w:sz w:val="18"/>
                      <w:szCs w:val="18"/>
                      <w:highlight w:val="none"/>
                      <w:lang w:val="en-US" w:eastAsia="zh-CN"/>
                    </w:rPr>
                  </w:pPr>
                  <w:r>
                    <w:rPr>
                      <w:rFonts w:hint="default" w:ascii="Times New Roman" w:hAnsi="Times New Roman" w:cs="Times New Roman" w:eastAsiaTheme="minorEastAsia"/>
                      <w:b w:val="0"/>
                      <w:bCs w:val="0"/>
                      <w:color w:val="auto"/>
                      <w:sz w:val="18"/>
                      <w:szCs w:val="18"/>
                      <w:highlight w:val="none"/>
                      <w:lang w:val="en-US" w:eastAsia="zh-CN"/>
                    </w:rPr>
                    <w:t>2.</w:t>
                  </w:r>
                  <w:r>
                    <w:rPr>
                      <w:rFonts w:hint="eastAsia" w:ascii="Times New Roman" w:hAnsi="Times New Roman" w:cs="Times New Roman" w:eastAsiaTheme="minorEastAsia"/>
                      <w:b w:val="0"/>
                      <w:bCs w:val="0"/>
                      <w:color w:val="auto"/>
                      <w:sz w:val="18"/>
                      <w:szCs w:val="18"/>
                      <w:highlight w:val="none"/>
                      <w:lang w:val="en-US" w:eastAsia="zh-CN"/>
                    </w:rPr>
                    <w:t>入驻企业针对自身风险特点，进行分区防渗。建设内部环境风险防范体系，设置满足要求的应急装置及应急物资，采取措施防止风险物质进入外环境。</w:t>
                  </w:r>
                </w:p>
              </w:tc>
              <w:tc>
                <w:tcPr>
                  <w:tcW w:w="1913" w:type="pct"/>
                  <w:tcBorders>
                    <w:tl2br w:val="nil"/>
                    <w:tr2bl w:val="nil"/>
                  </w:tcBorders>
                  <w:vAlign w:val="center"/>
                </w:tcPr>
                <w:p w14:paraId="4CF43EFB">
                  <w:pPr>
                    <w:spacing w:line="240" w:lineRule="auto"/>
                    <w:ind w:firstLine="180" w:firstLineChars="100"/>
                    <w:rPr>
                      <w:rFonts w:hint="eastAsia" w:cs="Times New Roman" w:eastAsiaTheme="minorEastAsia"/>
                      <w:b w:val="0"/>
                      <w:bCs w:val="0"/>
                      <w:color w:val="auto"/>
                      <w:sz w:val="18"/>
                      <w:szCs w:val="18"/>
                      <w:highlight w:val="none"/>
                      <w:lang w:val="en-US" w:eastAsia="zh-CN"/>
                    </w:rPr>
                  </w:pPr>
                  <w:r>
                    <w:rPr>
                      <w:rFonts w:hint="eastAsia" w:cs="Times New Roman" w:eastAsiaTheme="minorEastAsia"/>
                      <w:b w:val="0"/>
                      <w:bCs w:val="0"/>
                      <w:color w:val="auto"/>
                      <w:sz w:val="18"/>
                      <w:szCs w:val="18"/>
                      <w:highlight w:val="none"/>
                      <w:lang w:val="en-US" w:eastAsia="zh-CN"/>
                    </w:rPr>
                    <w:t>本项目设置有专门负责的环保小组，针对项目情况制订相应的环境风险防控机制，待建设完成后编制突发环境事件应急预案并在管理部门备案；</w:t>
                  </w:r>
                </w:p>
                <w:p w14:paraId="6263866D">
                  <w:pPr>
                    <w:spacing w:line="240" w:lineRule="auto"/>
                    <w:ind w:firstLine="180" w:firstLineChars="100"/>
                    <w:rPr>
                      <w:rFonts w:hint="eastAsia" w:cs="Times New Roman" w:eastAsiaTheme="minorEastAsia"/>
                      <w:b w:val="0"/>
                      <w:bCs w:val="0"/>
                      <w:color w:val="auto"/>
                      <w:sz w:val="18"/>
                      <w:szCs w:val="18"/>
                      <w:highlight w:val="none"/>
                      <w:lang w:val="en-US" w:eastAsia="zh-CN"/>
                    </w:rPr>
                  </w:pPr>
                  <w:r>
                    <w:rPr>
                      <w:rFonts w:hint="eastAsia" w:cs="Times New Roman" w:eastAsiaTheme="minorEastAsia"/>
                      <w:b w:val="0"/>
                      <w:bCs w:val="0"/>
                      <w:color w:val="auto"/>
                      <w:sz w:val="18"/>
                      <w:szCs w:val="18"/>
                      <w:highlight w:val="none"/>
                      <w:lang w:val="en-US" w:eastAsia="zh-CN"/>
                    </w:rPr>
                    <w:t>项目针对运营期环境风险，设置有相应的防渗措施；</w:t>
                  </w:r>
                </w:p>
                <w:p w14:paraId="4D959A70">
                  <w:pPr>
                    <w:spacing w:line="240" w:lineRule="auto"/>
                    <w:ind w:firstLine="180" w:firstLineChars="100"/>
                    <w:rPr>
                      <w:rFonts w:hint="default" w:cs="Times New Roman" w:eastAsiaTheme="minorEastAsia"/>
                      <w:b w:val="0"/>
                      <w:bCs w:val="0"/>
                      <w:color w:val="auto"/>
                      <w:sz w:val="18"/>
                      <w:szCs w:val="18"/>
                      <w:highlight w:val="none"/>
                      <w:lang w:val="en-US" w:eastAsia="zh-CN"/>
                    </w:rPr>
                  </w:pPr>
                  <w:r>
                    <w:rPr>
                      <w:rFonts w:hint="eastAsia" w:cs="Times New Roman" w:eastAsiaTheme="minorEastAsia"/>
                      <w:b w:val="0"/>
                      <w:bCs w:val="0"/>
                      <w:color w:val="auto"/>
                      <w:sz w:val="18"/>
                      <w:szCs w:val="18"/>
                      <w:highlight w:val="none"/>
                      <w:lang w:val="en-US" w:eastAsia="zh-CN"/>
                    </w:rPr>
                    <w:t>企业环境风险防控措施与园区风险防控措施相衔接，防止环境风险对区域造成影响。</w:t>
                  </w:r>
                </w:p>
              </w:tc>
              <w:tc>
                <w:tcPr>
                  <w:tcW w:w="459" w:type="pct"/>
                  <w:tcBorders>
                    <w:tl2br w:val="nil"/>
                    <w:tr2bl w:val="nil"/>
                  </w:tcBorders>
                  <w:vAlign w:val="center"/>
                </w:tcPr>
                <w:p w14:paraId="7EE314F7">
                  <w:pPr>
                    <w:pStyle w:val="190"/>
                    <w:spacing w:line="240" w:lineRule="auto"/>
                    <w:rPr>
                      <w:rFonts w:hint="default" w:ascii="Times New Roman" w:hAnsi="Times New Roman" w:cs="Times New Roman" w:eastAsiaTheme="minorEastAsia"/>
                      <w:b w:val="0"/>
                      <w:bCs w:val="0"/>
                      <w:color w:val="auto"/>
                      <w:sz w:val="18"/>
                      <w:szCs w:val="18"/>
                      <w:highlight w:val="none"/>
                    </w:rPr>
                  </w:pPr>
                  <w:r>
                    <w:rPr>
                      <w:rFonts w:hint="default" w:ascii="Times New Roman" w:hAnsi="Times New Roman" w:cs="Times New Roman" w:eastAsiaTheme="minorEastAsia"/>
                      <w:b w:val="0"/>
                      <w:bCs w:val="0"/>
                      <w:color w:val="auto"/>
                      <w:sz w:val="18"/>
                      <w:szCs w:val="18"/>
                      <w:highlight w:val="none"/>
                    </w:rPr>
                    <w:t>符合</w:t>
                  </w:r>
                </w:p>
              </w:tc>
            </w:tr>
          </w:tbl>
          <w:p w14:paraId="1C7F7B8C">
            <w:pPr>
              <w:pStyle w:val="77"/>
              <w:snapToGrid/>
              <w:ind w:firstLine="422"/>
              <w:rPr>
                <w:rFonts w:hint="eastAsia" w:ascii="Times New Roman" w:hAnsi="Times New Roman" w:eastAsia="宋体" w:cs="Times New Roman"/>
                <w:b w:val="0"/>
                <w:bCs w:val="0"/>
                <w:color w:val="auto"/>
                <w:szCs w:val="21"/>
                <w:lang w:val="en-US" w:eastAsia="zh-CN"/>
              </w:rPr>
            </w:pPr>
            <w:r>
              <w:rPr>
                <w:rFonts w:hint="eastAsia" w:ascii="Times New Roman" w:hAnsi="Times New Roman" w:eastAsia="宋体" w:cs="Times New Roman"/>
                <w:b w:val="0"/>
                <w:bCs w:val="0"/>
                <w:color w:val="auto"/>
                <w:szCs w:val="21"/>
                <w:lang w:val="en-US" w:eastAsia="zh-CN"/>
              </w:rPr>
              <w:t>根据表1-3分析，项目的建设符合《</w:t>
            </w:r>
            <w:r>
              <w:rPr>
                <w:rFonts w:hint="eastAsia" w:ascii="Times New Roman" w:hAnsi="Times New Roman" w:cs="Times New Roman"/>
                <w:b w:val="0"/>
                <w:bCs w:val="0"/>
                <w:color w:val="auto"/>
                <w:szCs w:val="21"/>
                <w:highlight w:val="none"/>
                <w:lang w:val="en-US" w:eastAsia="zh-CN"/>
              </w:rPr>
              <w:t>大同经济技术开发区起步区控制性详细规划（现代服务产业园区）（2021-2035年）</w:t>
            </w:r>
            <w:r>
              <w:rPr>
                <w:rFonts w:hint="eastAsia" w:ascii="Times New Roman" w:hAnsi="Times New Roman" w:eastAsia="宋体" w:cs="Times New Roman"/>
                <w:b w:val="0"/>
                <w:bCs w:val="0"/>
                <w:color w:val="auto"/>
                <w:szCs w:val="21"/>
                <w:lang w:val="en-US" w:eastAsia="zh-CN"/>
              </w:rPr>
              <w:t>环境影响报告书》的环境准入要求。</w:t>
            </w:r>
          </w:p>
          <w:p w14:paraId="7B9EAA12">
            <w:pPr>
              <w:pStyle w:val="77"/>
              <w:snapToGrid/>
              <w:ind w:firstLine="422"/>
              <w:rPr>
                <w:rFonts w:hint="eastAsia" w:ascii="Times New Roman" w:hAnsi="Times New Roman" w:eastAsia="宋体" w:cs="Times New Roman"/>
                <w:b/>
                <w:bCs/>
                <w:color w:val="auto"/>
                <w:szCs w:val="21"/>
                <w:lang w:val="en-US" w:eastAsia="zh-CN"/>
              </w:rPr>
            </w:pPr>
            <w:r>
              <w:rPr>
                <w:rFonts w:hint="eastAsia" w:ascii="Times New Roman" w:hAnsi="Times New Roman" w:eastAsia="宋体" w:cs="Times New Roman"/>
                <w:b/>
                <w:bCs/>
                <w:color w:val="auto"/>
                <w:szCs w:val="21"/>
                <w:lang w:val="en-US" w:eastAsia="zh-CN"/>
              </w:rPr>
              <w:t>3、与《大同经济技术开发区起步区控制性详细规划（现代服务产业园区）（2021-2035年）环境影响报告书》审查意见的符合性分析</w:t>
            </w:r>
          </w:p>
          <w:p w14:paraId="0F7B6747">
            <w:pPr>
              <w:pStyle w:val="77"/>
              <w:snapToGrid/>
              <w:ind w:firstLine="422"/>
              <w:rPr>
                <w:rFonts w:hint="eastAsia" w:ascii="Times New Roman" w:hAnsi="Times New Roman" w:eastAsia="宋体" w:cs="Times New Roman"/>
                <w:b w:val="0"/>
                <w:bCs w:val="0"/>
                <w:color w:val="auto"/>
                <w:szCs w:val="21"/>
                <w:lang w:val="en-US" w:eastAsia="zh-CN"/>
              </w:rPr>
            </w:pPr>
            <w:r>
              <w:rPr>
                <w:rFonts w:hint="eastAsia" w:ascii="Times New Roman" w:hAnsi="Times New Roman" w:eastAsia="宋体" w:cs="Times New Roman"/>
                <w:b w:val="0"/>
                <w:bCs w:val="0"/>
                <w:color w:val="auto"/>
                <w:szCs w:val="21"/>
                <w:lang w:val="en-US" w:eastAsia="zh-CN"/>
              </w:rPr>
              <w:t>项目建设与《</w:t>
            </w:r>
            <w:r>
              <w:rPr>
                <w:rFonts w:hint="eastAsia" w:ascii="Times New Roman" w:hAnsi="Times New Roman" w:cs="Times New Roman"/>
                <w:b w:val="0"/>
                <w:bCs w:val="0"/>
                <w:color w:val="auto"/>
                <w:szCs w:val="21"/>
                <w:highlight w:val="none"/>
                <w:lang w:val="en-US" w:eastAsia="zh-CN"/>
              </w:rPr>
              <w:t>大同经济技术开发区起步区控制性详细规划（现代服务产业园区）（2021-2035年）</w:t>
            </w:r>
            <w:r>
              <w:rPr>
                <w:rFonts w:hint="eastAsia" w:ascii="Times New Roman" w:hAnsi="Times New Roman" w:eastAsia="宋体" w:cs="Times New Roman"/>
                <w:b w:val="0"/>
                <w:bCs w:val="0"/>
                <w:color w:val="auto"/>
                <w:szCs w:val="21"/>
                <w:lang w:val="en-US" w:eastAsia="zh-CN"/>
              </w:rPr>
              <w:t>环境影响报告书》审查意见的符合分析见表1-4。</w:t>
            </w:r>
          </w:p>
          <w:p w14:paraId="620D1B23">
            <w:pPr>
              <w:pStyle w:val="46"/>
              <w:spacing w:after="0" w:line="240" w:lineRule="auto"/>
              <w:ind w:left="0" w:leftChars="0" w:firstLine="0" w:firstLineChars="0"/>
              <w:jc w:val="center"/>
              <w:rPr>
                <w:rFonts w:hint="eastAsia" w:ascii="Times New Roman" w:hAnsi="Times New Roman" w:eastAsia="宋体" w:cs="Times New Roman"/>
                <w:b/>
                <w:bCs/>
                <w:color w:val="auto"/>
                <w:kern w:val="2"/>
                <w:sz w:val="18"/>
                <w:szCs w:val="18"/>
                <w:highlight w:val="none"/>
                <w:lang w:val="en-US" w:eastAsia="zh-CN" w:bidi="ar-SA"/>
              </w:rPr>
            </w:pPr>
            <w:r>
              <w:rPr>
                <w:rFonts w:hint="eastAsia" w:ascii="Times New Roman" w:hAnsi="Times New Roman" w:eastAsia="宋体" w:cs="Times New Roman"/>
                <w:b/>
                <w:bCs/>
                <w:color w:val="auto"/>
                <w:kern w:val="2"/>
                <w:sz w:val="18"/>
                <w:szCs w:val="18"/>
                <w:highlight w:val="none"/>
                <w:lang w:val="en-US" w:eastAsia="zh-CN" w:bidi="ar-SA"/>
              </w:rPr>
              <w:t>表1-4  审查意见符合性分析</w:t>
            </w:r>
          </w:p>
          <w:tbl>
            <w:tblPr>
              <w:tblStyle w:val="48"/>
              <w:tblW w:w="5000" w:type="pct"/>
              <w:tblInd w:w="-11"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3641"/>
              <w:gridCol w:w="2594"/>
              <w:gridCol w:w="730"/>
            </w:tblGrid>
            <w:tr w14:paraId="5039391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5" w:hRule="atLeast"/>
              </w:trPr>
              <w:tc>
                <w:tcPr>
                  <w:tcW w:w="3641" w:type="dxa"/>
                  <w:tcBorders>
                    <w:tl2br w:val="nil"/>
                    <w:tr2bl w:val="nil"/>
                  </w:tcBorders>
                  <w:vAlign w:val="center"/>
                </w:tcPr>
                <w:p w14:paraId="5F22D5B8">
                  <w:pPr>
                    <w:pStyle w:val="46"/>
                    <w:spacing w:after="0" w:line="240" w:lineRule="auto"/>
                    <w:ind w:left="0" w:leftChars="0" w:firstLine="0" w:firstLineChars="0"/>
                    <w:jc w:val="center"/>
                    <w:rPr>
                      <w:rFonts w:hint="default" w:ascii="Times New Roman" w:hAnsi="Times New Roman" w:cs="Times New Roman" w:eastAsiaTheme="minorEastAsia"/>
                      <w:b w:val="0"/>
                      <w:bCs w:val="0"/>
                      <w:color w:val="auto"/>
                      <w:sz w:val="18"/>
                      <w:szCs w:val="18"/>
                      <w:highlight w:val="none"/>
                    </w:rPr>
                  </w:pPr>
                  <w:r>
                    <w:rPr>
                      <w:rFonts w:hint="default" w:ascii="Times New Roman" w:hAnsi="Times New Roman" w:cs="Times New Roman" w:eastAsiaTheme="minorEastAsia"/>
                      <w:b w:val="0"/>
                      <w:bCs w:val="0"/>
                      <w:color w:val="auto"/>
                      <w:sz w:val="18"/>
                      <w:szCs w:val="18"/>
                      <w:highlight w:val="none"/>
                    </w:rPr>
                    <w:t>审查意见要求</w:t>
                  </w:r>
                </w:p>
              </w:tc>
              <w:tc>
                <w:tcPr>
                  <w:tcW w:w="2594" w:type="dxa"/>
                  <w:tcBorders>
                    <w:tl2br w:val="nil"/>
                    <w:tr2bl w:val="nil"/>
                  </w:tcBorders>
                  <w:vAlign w:val="center"/>
                </w:tcPr>
                <w:p w14:paraId="1EB7200D">
                  <w:pPr>
                    <w:pStyle w:val="46"/>
                    <w:spacing w:after="0" w:line="240" w:lineRule="auto"/>
                    <w:ind w:left="0" w:leftChars="0" w:firstLine="0" w:firstLineChars="0"/>
                    <w:jc w:val="center"/>
                    <w:rPr>
                      <w:rFonts w:hint="default" w:ascii="Times New Roman" w:hAnsi="Times New Roman" w:cs="Times New Roman" w:eastAsiaTheme="minorEastAsia"/>
                      <w:b w:val="0"/>
                      <w:bCs w:val="0"/>
                      <w:color w:val="auto"/>
                      <w:sz w:val="18"/>
                      <w:szCs w:val="18"/>
                      <w:highlight w:val="none"/>
                    </w:rPr>
                  </w:pPr>
                  <w:r>
                    <w:rPr>
                      <w:rFonts w:hint="default" w:ascii="Times New Roman" w:hAnsi="Times New Roman" w:cs="Times New Roman" w:eastAsiaTheme="minorEastAsia"/>
                      <w:b w:val="0"/>
                      <w:bCs w:val="0"/>
                      <w:color w:val="auto"/>
                      <w:sz w:val="18"/>
                      <w:szCs w:val="18"/>
                      <w:highlight w:val="none"/>
                    </w:rPr>
                    <w:t>项目情况</w:t>
                  </w:r>
                </w:p>
              </w:tc>
              <w:tc>
                <w:tcPr>
                  <w:tcW w:w="730" w:type="dxa"/>
                  <w:tcBorders>
                    <w:tl2br w:val="nil"/>
                    <w:tr2bl w:val="nil"/>
                  </w:tcBorders>
                  <w:vAlign w:val="center"/>
                </w:tcPr>
                <w:p w14:paraId="1E2CEB82">
                  <w:pPr>
                    <w:pStyle w:val="46"/>
                    <w:spacing w:after="0" w:line="240" w:lineRule="auto"/>
                    <w:ind w:left="0" w:leftChars="0" w:firstLine="0" w:firstLineChars="0"/>
                    <w:jc w:val="center"/>
                    <w:rPr>
                      <w:rFonts w:hint="default" w:ascii="Times New Roman" w:hAnsi="Times New Roman" w:cs="Times New Roman" w:eastAsiaTheme="minorEastAsia"/>
                      <w:b w:val="0"/>
                      <w:bCs w:val="0"/>
                      <w:color w:val="auto"/>
                      <w:sz w:val="18"/>
                      <w:szCs w:val="18"/>
                      <w:highlight w:val="none"/>
                    </w:rPr>
                  </w:pPr>
                  <w:r>
                    <w:rPr>
                      <w:rFonts w:hint="default" w:ascii="Times New Roman" w:hAnsi="Times New Roman" w:cs="Times New Roman" w:eastAsiaTheme="minorEastAsia"/>
                      <w:b w:val="0"/>
                      <w:bCs w:val="0"/>
                      <w:color w:val="auto"/>
                      <w:sz w:val="18"/>
                      <w:szCs w:val="18"/>
                      <w:highlight w:val="none"/>
                    </w:rPr>
                    <w:t>符合性</w:t>
                  </w:r>
                </w:p>
              </w:tc>
            </w:tr>
            <w:tr w14:paraId="60B2B7C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69" w:hRule="atLeast"/>
              </w:trPr>
              <w:tc>
                <w:tcPr>
                  <w:tcW w:w="3641" w:type="dxa"/>
                  <w:tcBorders>
                    <w:tl2br w:val="nil"/>
                    <w:tr2bl w:val="nil"/>
                  </w:tcBorders>
                  <w:vAlign w:val="center"/>
                </w:tcPr>
                <w:p w14:paraId="3D70FC9E">
                  <w:pPr>
                    <w:pStyle w:val="46"/>
                    <w:spacing w:after="0" w:line="240" w:lineRule="auto"/>
                    <w:ind w:left="0" w:leftChars="0" w:firstLine="180" w:firstLineChars="100"/>
                    <w:rPr>
                      <w:rFonts w:hint="default" w:ascii="Times New Roman" w:hAnsi="Times New Roman" w:cs="Times New Roman" w:eastAsiaTheme="minorEastAsia"/>
                      <w:b w:val="0"/>
                      <w:bCs w:val="0"/>
                      <w:color w:val="auto"/>
                      <w:sz w:val="18"/>
                      <w:szCs w:val="18"/>
                      <w:highlight w:val="none"/>
                      <w:lang w:val="en-US" w:eastAsia="zh-CN"/>
                    </w:rPr>
                  </w:pPr>
                  <w:r>
                    <w:rPr>
                      <w:rFonts w:hint="eastAsia" w:ascii="Times New Roman" w:hAnsi="Times New Roman" w:cs="Times New Roman" w:eastAsiaTheme="minorEastAsia"/>
                      <w:b w:val="0"/>
                      <w:bCs w:val="0"/>
                      <w:color w:val="auto"/>
                      <w:sz w:val="18"/>
                      <w:szCs w:val="18"/>
                      <w:highlight w:val="none"/>
                      <w:lang w:val="en-US" w:eastAsia="zh-CN"/>
                    </w:rPr>
                    <w:t>4.1衔接大同市“十四五”生态环境保护规划要求，将环境承载力作为确定园区发展定位和规模的基本依据。坚持保护优先、预防为主，坚持以资源、环境承载力为基础，突出绿色发展理念，控制园区建设规模和建设时序。</w:t>
                  </w:r>
                </w:p>
              </w:tc>
              <w:tc>
                <w:tcPr>
                  <w:tcW w:w="2594" w:type="dxa"/>
                  <w:tcBorders>
                    <w:tl2br w:val="nil"/>
                    <w:tr2bl w:val="nil"/>
                  </w:tcBorders>
                  <w:vAlign w:val="center"/>
                </w:tcPr>
                <w:p w14:paraId="0E4E37B7">
                  <w:pPr>
                    <w:pStyle w:val="46"/>
                    <w:spacing w:after="0" w:line="240" w:lineRule="auto"/>
                    <w:ind w:left="0" w:leftChars="0" w:firstLine="180" w:firstLineChars="100"/>
                    <w:rPr>
                      <w:rFonts w:hint="default" w:ascii="Times New Roman" w:hAnsi="Times New Roman" w:cs="Times New Roman" w:eastAsiaTheme="minorEastAsia"/>
                      <w:b w:val="0"/>
                      <w:bCs w:val="0"/>
                      <w:color w:val="auto"/>
                      <w:sz w:val="18"/>
                      <w:szCs w:val="18"/>
                      <w:highlight w:val="none"/>
                      <w:lang w:val="en-US" w:eastAsia="zh-CN"/>
                    </w:rPr>
                  </w:pPr>
                  <w:r>
                    <w:rPr>
                      <w:rFonts w:hint="eastAsia" w:ascii="Times New Roman" w:hAnsi="Times New Roman" w:cs="Times New Roman" w:eastAsiaTheme="minorEastAsia"/>
                      <w:b w:val="0"/>
                      <w:bCs w:val="0"/>
                      <w:color w:val="auto"/>
                      <w:sz w:val="18"/>
                      <w:szCs w:val="18"/>
                      <w:highlight w:val="none"/>
                      <w:lang w:val="en-US" w:eastAsia="zh-CN"/>
                    </w:rPr>
                    <w:t>本项目的建设满足大同市“”十四五生态环境规划要求。</w:t>
                  </w:r>
                </w:p>
              </w:tc>
              <w:tc>
                <w:tcPr>
                  <w:tcW w:w="730" w:type="dxa"/>
                  <w:tcBorders>
                    <w:tl2br w:val="nil"/>
                    <w:tr2bl w:val="nil"/>
                  </w:tcBorders>
                  <w:vAlign w:val="center"/>
                </w:tcPr>
                <w:p w14:paraId="04F3D0B1">
                  <w:pPr>
                    <w:spacing w:line="240" w:lineRule="auto"/>
                    <w:jc w:val="center"/>
                    <w:rPr>
                      <w:rFonts w:hint="default" w:cs="Times New Roman" w:eastAsiaTheme="minorEastAsia"/>
                      <w:b w:val="0"/>
                      <w:bCs w:val="0"/>
                      <w:color w:val="auto"/>
                      <w:sz w:val="18"/>
                      <w:szCs w:val="18"/>
                      <w:highlight w:val="none"/>
                      <w:lang w:val="en-US" w:eastAsia="zh-CN"/>
                    </w:rPr>
                  </w:pPr>
                  <w:r>
                    <w:rPr>
                      <w:rFonts w:hint="default" w:cs="Times New Roman" w:eastAsiaTheme="minorEastAsia"/>
                      <w:b w:val="0"/>
                      <w:bCs w:val="0"/>
                      <w:color w:val="auto"/>
                      <w:sz w:val="18"/>
                      <w:szCs w:val="18"/>
                      <w:highlight w:val="none"/>
                      <w:lang w:val="en-US" w:eastAsia="zh-CN"/>
                    </w:rPr>
                    <w:t>符合</w:t>
                  </w:r>
                </w:p>
              </w:tc>
            </w:tr>
            <w:tr w14:paraId="5AC1627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46" w:hRule="atLeast"/>
              </w:trPr>
              <w:tc>
                <w:tcPr>
                  <w:tcW w:w="3641" w:type="dxa"/>
                  <w:tcBorders>
                    <w:tl2br w:val="nil"/>
                    <w:tr2bl w:val="nil"/>
                  </w:tcBorders>
                  <w:vAlign w:val="center"/>
                </w:tcPr>
                <w:p w14:paraId="316AB62D">
                  <w:pPr>
                    <w:pStyle w:val="46"/>
                    <w:spacing w:after="0" w:line="240" w:lineRule="auto"/>
                    <w:ind w:left="0" w:leftChars="0" w:firstLine="180" w:firstLineChars="100"/>
                    <w:rPr>
                      <w:rFonts w:hint="default" w:ascii="Times New Roman" w:hAnsi="Times New Roman" w:cs="Times New Roman" w:eastAsiaTheme="minorEastAsia"/>
                      <w:b w:val="0"/>
                      <w:bCs w:val="0"/>
                      <w:color w:val="auto"/>
                      <w:sz w:val="18"/>
                      <w:szCs w:val="18"/>
                      <w:highlight w:val="none"/>
                      <w:lang w:val="en-US" w:eastAsia="zh-CN"/>
                    </w:rPr>
                  </w:pPr>
                  <w:r>
                    <w:rPr>
                      <w:rFonts w:hint="eastAsia" w:ascii="Times New Roman" w:hAnsi="Times New Roman" w:cs="Times New Roman" w:eastAsiaTheme="minorEastAsia"/>
                      <w:b w:val="0"/>
                      <w:bCs w:val="0"/>
                      <w:color w:val="auto"/>
                      <w:sz w:val="18"/>
                      <w:szCs w:val="18"/>
                      <w:highlight w:val="none"/>
                      <w:lang w:val="en-US" w:eastAsia="zh-CN"/>
                    </w:rPr>
                    <w:t>4.2结合“三区三线”国土空间规划和“三线一单”生态环境分区管控要求，严格项目环境准入，入园项目污染物排放强度和资源能源利用效率等均需达到同行业国内先进水平，构建区域性、生态型、循环型产业体系，引导促进园区高质量发展。</w:t>
                  </w:r>
                </w:p>
              </w:tc>
              <w:tc>
                <w:tcPr>
                  <w:tcW w:w="2594" w:type="dxa"/>
                  <w:tcBorders>
                    <w:tl2br w:val="nil"/>
                    <w:tr2bl w:val="nil"/>
                  </w:tcBorders>
                  <w:vAlign w:val="center"/>
                </w:tcPr>
                <w:p w14:paraId="0D2B4E1A">
                  <w:pPr>
                    <w:pStyle w:val="46"/>
                    <w:spacing w:after="0" w:line="240" w:lineRule="auto"/>
                    <w:ind w:left="0" w:leftChars="0" w:firstLine="180" w:firstLineChars="100"/>
                    <w:rPr>
                      <w:rFonts w:hint="default" w:ascii="Times New Roman" w:hAnsi="Times New Roman" w:cs="Times New Roman" w:eastAsiaTheme="minorEastAsia"/>
                      <w:b w:val="0"/>
                      <w:bCs w:val="0"/>
                      <w:color w:val="auto"/>
                      <w:sz w:val="18"/>
                      <w:szCs w:val="18"/>
                      <w:highlight w:val="none"/>
                      <w:lang w:val="en-US" w:eastAsia="zh-CN"/>
                    </w:rPr>
                  </w:pPr>
                  <w:r>
                    <w:rPr>
                      <w:rFonts w:hint="eastAsia" w:ascii="Times New Roman" w:hAnsi="Times New Roman" w:cs="Times New Roman" w:eastAsiaTheme="minorEastAsia"/>
                      <w:b w:val="0"/>
                      <w:bCs w:val="0"/>
                      <w:color w:val="auto"/>
                      <w:sz w:val="18"/>
                      <w:szCs w:val="18"/>
                      <w:highlight w:val="none"/>
                      <w:lang w:val="en-US" w:eastAsia="zh-CN"/>
                    </w:rPr>
                    <w:t>项目占地属于现代服务产业园区范围内医疗卫生用地，占地不属于生态红线及生态敏感区，满足“三区三线 ”国土空间规划要求，根据环评分析，本项目的建设符合“三线一单”生态环境分区管控要求，符合园区规划环评中环境准入条件；项目运营期主要污染物为废水，经处理达标后可以依托园区已有基础排水设施。</w:t>
                  </w:r>
                </w:p>
              </w:tc>
              <w:tc>
                <w:tcPr>
                  <w:tcW w:w="730" w:type="dxa"/>
                  <w:tcBorders>
                    <w:tl2br w:val="nil"/>
                    <w:tr2bl w:val="nil"/>
                  </w:tcBorders>
                  <w:vAlign w:val="center"/>
                </w:tcPr>
                <w:p w14:paraId="676F7B49">
                  <w:pPr>
                    <w:spacing w:line="240" w:lineRule="auto"/>
                    <w:jc w:val="center"/>
                    <w:rPr>
                      <w:rFonts w:hint="default" w:cs="Times New Roman" w:eastAsiaTheme="minorEastAsia"/>
                      <w:b w:val="0"/>
                      <w:bCs w:val="0"/>
                      <w:color w:val="auto"/>
                      <w:sz w:val="18"/>
                      <w:szCs w:val="18"/>
                      <w:highlight w:val="none"/>
                      <w:lang w:val="en-US" w:eastAsia="zh-CN"/>
                    </w:rPr>
                  </w:pPr>
                  <w:r>
                    <w:rPr>
                      <w:rFonts w:hint="default" w:cs="Times New Roman" w:eastAsiaTheme="minorEastAsia"/>
                      <w:b w:val="0"/>
                      <w:bCs w:val="0"/>
                      <w:color w:val="auto"/>
                      <w:sz w:val="18"/>
                      <w:szCs w:val="18"/>
                      <w:highlight w:val="none"/>
                      <w:lang w:val="en-US" w:eastAsia="zh-CN"/>
                    </w:rPr>
                    <w:t>符合</w:t>
                  </w:r>
                </w:p>
              </w:tc>
            </w:tr>
            <w:tr w14:paraId="7257FEA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419" w:hRule="atLeast"/>
              </w:trPr>
              <w:tc>
                <w:tcPr>
                  <w:tcW w:w="3641" w:type="dxa"/>
                  <w:tcBorders>
                    <w:tl2br w:val="nil"/>
                    <w:tr2bl w:val="nil"/>
                  </w:tcBorders>
                  <w:vAlign w:val="center"/>
                </w:tcPr>
                <w:p w14:paraId="01FF234B">
                  <w:pPr>
                    <w:pStyle w:val="46"/>
                    <w:spacing w:after="0" w:line="240" w:lineRule="auto"/>
                    <w:ind w:left="0" w:leftChars="0" w:firstLine="180" w:firstLineChars="100"/>
                    <w:rPr>
                      <w:rFonts w:hint="default" w:ascii="Times New Roman" w:hAnsi="Times New Roman" w:cs="Times New Roman" w:eastAsiaTheme="minorEastAsia"/>
                      <w:b w:val="0"/>
                      <w:bCs w:val="0"/>
                      <w:color w:val="auto"/>
                      <w:sz w:val="18"/>
                      <w:szCs w:val="18"/>
                      <w:highlight w:val="none"/>
                      <w:lang w:val="en-US" w:eastAsia="zh-CN"/>
                    </w:rPr>
                  </w:pPr>
                  <w:r>
                    <w:rPr>
                      <w:rFonts w:hint="eastAsia" w:ascii="Times New Roman" w:hAnsi="Times New Roman" w:cs="Times New Roman" w:eastAsiaTheme="minorEastAsia"/>
                      <w:b w:val="0"/>
                      <w:bCs w:val="0"/>
                      <w:color w:val="auto"/>
                      <w:sz w:val="18"/>
                      <w:szCs w:val="18"/>
                      <w:highlight w:val="none"/>
                      <w:lang w:val="en-US" w:eastAsia="zh-CN"/>
                    </w:rPr>
                    <w:t>4.3大同市是水资源严重匮乏区，园区应按照“分质供水、优先优用、一水多用以及水资源的梯级利用”原则，减少市政新鲜水用量，提高水循环利用率，园区工业和绿化用水要优先使用中水。</w:t>
                  </w:r>
                </w:p>
              </w:tc>
              <w:tc>
                <w:tcPr>
                  <w:tcW w:w="2594" w:type="dxa"/>
                  <w:tcBorders>
                    <w:tl2br w:val="nil"/>
                    <w:tr2bl w:val="nil"/>
                  </w:tcBorders>
                  <w:vAlign w:val="center"/>
                </w:tcPr>
                <w:p w14:paraId="6866A3DD">
                  <w:pPr>
                    <w:pStyle w:val="46"/>
                    <w:spacing w:after="0" w:line="240" w:lineRule="auto"/>
                    <w:ind w:left="0" w:leftChars="0" w:firstLine="180" w:firstLineChars="100"/>
                    <w:rPr>
                      <w:rFonts w:hint="default" w:ascii="Times New Roman" w:hAnsi="Times New Roman" w:cs="Times New Roman" w:eastAsiaTheme="minorEastAsia"/>
                      <w:b w:val="0"/>
                      <w:bCs w:val="0"/>
                      <w:color w:val="auto"/>
                      <w:sz w:val="18"/>
                      <w:szCs w:val="18"/>
                      <w:highlight w:val="none"/>
                      <w:lang w:val="en-US" w:eastAsia="zh-CN"/>
                    </w:rPr>
                  </w:pPr>
                  <w:r>
                    <w:rPr>
                      <w:rFonts w:hint="eastAsia" w:ascii="Times New Roman" w:hAnsi="Times New Roman" w:cs="Times New Roman" w:eastAsiaTheme="minorEastAsia"/>
                      <w:b w:val="0"/>
                      <w:bCs w:val="0"/>
                      <w:color w:val="auto"/>
                      <w:sz w:val="18"/>
                      <w:szCs w:val="18"/>
                      <w:highlight w:val="none"/>
                      <w:lang w:val="en-US" w:eastAsia="zh-CN"/>
                    </w:rPr>
                    <w:t>本工程为疗养院项目，用水量相对于同类型行业较小，运营期加强用水管理，减少新鲜用水量，提高水的循环利用。</w:t>
                  </w:r>
                </w:p>
              </w:tc>
              <w:tc>
                <w:tcPr>
                  <w:tcW w:w="730" w:type="dxa"/>
                  <w:tcBorders>
                    <w:tl2br w:val="nil"/>
                    <w:tr2bl w:val="nil"/>
                  </w:tcBorders>
                  <w:vAlign w:val="center"/>
                </w:tcPr>
                <w:p w14:paraId="1CBB8BB9">
                  <w:pPr>
                    <w:spacing w:line="240" w:lineRule="auto"/>
                    <w:jc w:val="center"/>
                    <w:rPr>
                      <w:rFonts w:hint="default" w:cs="Times New Roman" w:eastAsiaTheme="minorEastAsia"/>
                      <w:b w:val="0"/>
                      <w:bCs w:val="0"/>
                      <w:color w:val="auto"/>
                      <w:sz w:val="18"/>
                      <w:szCs w:val="18"/>
                      <w:highlight w:val="none"/>
                      <w:lang w:val="en-US" w:eastAsia="zh-CN"/>
                    </w:rPr>
                  </w:pPr>
                  <w:r>
                    <w:rPr>
                      <w:rFonts w:hint="default" w:cs="Times New Roman" w:eastAsiaTheme="minorEastAsia"/>
                      <w:b w:val="0"/>
                      <w:bCs w:val="0"/>
                      <w:color w:val="auto"/>
                      <w:sz w:val="18"/>
                      <w:szCs w:val="18"/>
                      <w:highlight w:val="none"/>
                      <w:lang w:val="en-US" w:eastAsia="zh-CN"/>
                    </w:rPr>
                    <w:t>符合</w:t>
                  </w:r>
                </w:p>
              </w:tc>
            </w:tr>
            <w:tr w14:paraId="79F87D6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641" w:type="dxa"/>
                  <w:tcBorders>
                    <w:tl2br w:val="nil"/>
                    <w:tr2bl w:val="nil"/>
                  </w:tcBorders>
                  <w:vAlign w:val="center"/>
                </w:tcPr>
                <w:p w14:paraId="39A2AF64">
                  <w:pPr>
                    <w:pStyle w:val="46"/>
                    <w:spacing w:after="0" w:line="240" w:lineRule="auto"/>
                    <w:ind w:left="0" w:leftChars="0" w:firstLine="180" w:firstLineChars="100"/>
                    <w:rPr>
                      <w:rFonts w:hint="default" w:ascii="Times New Roman" w:hAnsi="Times New Roman" w:cs="Times New Roman" w:eastAsiaTheme="minorEastAsia"/>
                      <w:b w:val="0"/>
                      <w:bCs w:val="0"/>
                      <w:color w:val="auto"/>
                      <w:sz w:val="18"/>
                      <w:szCs w:val="18"/>
                      <w:highlight w:val="none"/>
                      <w:lang w:val="en-US" w:eastAsia="zh-CN"/>
                    </w:rPr>
                  </w:pPr>
                  <w:r>
                    <w:rPr>
                      <w:rFonts w:hint="eastAsia" w:ascii="Times New Roman" w:hAnsi="Times New Roman" w:cs="Times New Roman" w:eastAsiaTheme="minorEastAsia"/>
                      <w:b w:val="0"/>
                      <w:bCs w:val="0"/>
                      <w:color w:val="auto"/>
                      <w:sz w:val="18"/>
                      <w:szCs w:val="18"/>
                      <w:highlight w:val="none"/>
                      <w:lang w:val="en-US" w:eastAsia="zh-CN"/>
                    </w:rPr>
                    <w:t>4.4强化大气污染治理，改善空气质量。严格落实区域污染物削减，持续改善区域大气环境质量。园区继续严格落实集中供热，完善供气设施，进一步优化园区能源结构，实现污染物总量控制。实行严格的污染物排放标准，推进现有项目污染治理提标改造。全面落实“双碳”目标，严格控制碳排放。</w:t>
                  </w:r>
                </w:p>
              </w:tc>
              <w:tc>
                <w:tcPr>
                  <w:tcW w:w="2594" w:type="dxa"/>
                  <w:tcBorders>
                    <w:tl2br w:val="nil"/>
                    <w:tr2bl w:val="nil"/>
                  </w:tcBorders>
                  <w:vAlign w:val="center"/>
                </w:tcPr>
                <w:p w14:paraId="03DD522F">
                  <w:pPr>
                    <w:pStyle w:val="46"/>
                    <w:spacing w:after="0" w:line="240" w:lineRule="auto"/>
                    <w:ind w:left="0" w:leftChars="0" w:firstLine="180" w:firstLineChars="100"/>
                    <w:rPr>
                      <w:rFonts w:hint="eastAsia" w:ascii="Times New Roman" w:hAnsi="Times New Roman" w:cs="Times New Roman" w:eastAsiaTheme="minorEastAsia"/>
                      <w:b w:val="0"/>
                      <w:bCs w:val="0"/>
                      <w:color w:val="auto"/>
                      <w:sz w:val="18"/>
                      <w:szCs w:val="18"/>
                      <w:highlight w:val="none"/>
                      <w:lang w:val="en-US" w:eastAsia="zh-CN"/>
                    </w:rPr>
                  </w:pPr>
                  <w:r>
                    <w:rPr>
                      <w:rFonts w:hint="eastAsia" w:ascii="Times New Roman" w:hAnsi="Times New Roman" w:cs="Times New Roman" w:eastAsiaTheme="minorEastAsia"/>
                      <w:b w:val="0"/>
                      <w:bCs w:val="0"/>
                      <w:color w:val="auto"/>
                      <w:sz w:val="18"/>
                      <w:szCs w:val="18"/>
                      <w:highlight w:val="none"/>
                      <w:lang w:val="en-US" w:eastAsia="zh-CN"/>
                    </w:rPr>
                    <w:t>本项目运营期大气污染物主要包括污水处理站恶臭和食堂油烟，污水处理站池体经密闭、定期投加除臭剂、加强绿化等措施，抑制效果明显；食堂安装油烟净化装置，之后由屋顶排出。项目运营期大气污染物均为无组织形式排放，不涉及总量控制；</w:t>
                  </w:r>
                </w:p>
                <w:p w14:paraId="206300DB">
                  <w:pPr>
                    <w:rPr>
                      <w:rFonts w:hint="default"/>
                      <w:lang w:val="en-US" w:eastAsia="zh-CN"/>
                    </w:rPr>
                  </w:pPr>
                  <w:r>
                    <w:rPr>
                      <w:rFonts w:hint="eastAsia" w:ascii="Times New Roman" w:hAnsi="Times New Roman" w:cs="Times New Roman" w:eastAsiaTheme="minorEastAsia"/>
                      <w:b w:val="0"/>
                      <w:bCs w:val="0"/>
                      <w:color w:val="auto"/>
                      <w:kern w:val="2"/>
                      <w:sz w:val="18"/>
                      <w:szCs w:val="18"/>
                      <w:highlight w:val="none"/>
                      <w:lang w:val="en-US" w:eastAsia="zh-CN" w:bidi="ar-SA"/>
                    </w:rPr>
                    <w:t>本项目不涉及碳排放内容。</w:t>
                  </w:r>
                </w:p>
              </w:tc>
              <w:tc>
                <w:tcPr>
                  <w:tcW w:w="730" w:type="dxa"/>
                  <w:tcBorders>
                    <w:tl2br w:val="nil"/>
                    <w:tr2bl w:val="nil"/>
                  </w:tcBorders>
                  <w:vAlign w:val="center"/>
                </w:tcPr>
                <w:p w14:paraId="2FD4740F">
                  <w:pPr>
                    <w:spacing w:line="240" w:lineRule="auto"/>
                    <w:jc w:val="center"/>
                    <w:rPr>
                      <w:rFonts w:hint="default" w:cs="Times New Roman" w:eastAsiaTheme="minorEastAsia"/>
                      <w:b w:val="0"/>
                      <w:bCs w:val="0"/>
                      <w:color w:val="auto"/>
                      <w:sz w:val="18"/>
                      <w:szCs w:val="18"/>
                      <w:highlight w:val="none"/>
                      <w:lang w:val="en-US" w:eastAsia="zh-CN"/>
                    </w:rPr>
                  </w:pPr>
                  <w:r>
                    <w:rPr>
                      <w:rFonts w:hint="default" w:cs="Times New Roman" w:eastAsiaTheme="minorEastAsia"/>
                      <w:b w:val="0"/>
                      <w:bCs w:val="0"/>
                      <w:color w:val="auto"/>
                      <w:sz w:val="18"/>
                      <w:szCs w:val="18"/>
                      <w:highlight w:val="none"/>
                      <w:lang w:val="en-US" w:eastAsia="zh-CN"/>
                    </w:rPr>
                    <w:t>符合</w:t>
                  </w:r>
                </w:p>
              </w:tc>
            </w:tr>
            <w:tr w14:paraId="709F229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32" w:hRule="atLeast"/>
              </w:trPr>
              <w:tc>
                <w:tcPr>
                  <w:tcW w:w="3641" w:type="dxa"/>
                  <w:tcBorders>
                    <w:tl2br w:val="nil"/>
                    <w:tr2bl w:val="nil"/>
                  </w:tcBorders>
                  <w:vAlign w:val="center"/>
                </w:tcPr>
                <w:p w14:paraId="141D9AF0">
                  <w:pPr>
                    <w:pStyle w:val="46"/>
                    <w:spacing w:after="0" w:line="240" w:lineRule="auto"/>
                    <w:ind w:left="0" w:leftChars="0" w:firstLine="180" w:firstLineChars="100"/>
                    <w:rPr>
                      <w:rFonts w:hint="default" w:ascii="Times New Roman" w:hAnsi="Times New Roman" w:cs="Times New Roman" w:eastAsiaTheme="minorEastAsia"/>
                      <w:b w:val="0"/>
                      <w:bCs w:val="0"/>
                      <w:color w:val="auto"/>
                      <w:sz w:val="18"/>
                      <w:szCs w:val="18"/>
                      <w:highlight w:val="none"/>
                      <w:lang w:val="en-US" w:eastAsia="zh-CN"/>
                    </w:rPr>
                  </w:pPr>
                  <w:r>
                    <w:rPr>
                      <w:rFonts w:hint="eastAsia" w:ascii="Times New Roman" w:hAnsi="Times New Roman" w:cs="Times New Roman" w:eastAsiaTheme="minorEastAsia"/>
                      <w:b w:val="0"/>
                      <w:bCs w:val="0"/>
                      <w:color w:val="auto"/>
                      <w:sz w:val="18"/>
                      <w:szCs w:val="18"/>
                      <w:highlight w:val="none"/>
                      <w:lang w:val="en-US" w:eastAsia="zh-CN"/>
                    </w:rPr>
                    <w:t>4.5严格控制园区的环境风险。建立环境风险防控体系，提高环境应急能力。设置满足要求的事故废水收集系统，防止泄漏物和消防废水等进入外环境。完善园区环境管理及防控体系建设方案，明确园区企业环境风险防控主体责任，定期开展环境风险应急演练。进一步加快完善基础设施建设，公用配套设施满足园区规划要求。</w:t>
                  </w:r>
                </w:p>
              </w:tc>
              <w:tc>
                <w:tcPr>
                  <w:tcW w:w="2594" w:type="dxa"/>
                  <w:tcBorders>
                    <w:tl2br w:val="nil"/>
                    <w:tr2bl w:val="nil"/>
                  </w:tcBorders>
                  <w:vAlign w:val="center"/>
                </w:tcPr>
                <w:p w14:paraId="0E3BF2A3">
                  <w:pPr>
                    <w:pStyle w:val="46"/>
                    <w:spacing w:after="0" w:line="240" w:lineRule="auto"/>
                    <w:ind w:left="0" w:leftChars="0" w:firstLine="180" w:firstLineChars="100"/>
                    <w:rPr>
                      <w:rFonts w:hint="default" w:ascii="Times New Roman" w:hAnsi="Times New Roman" w:cs="Times New Roman" w:eastAsiaTheme="minorEastAsia"/>
                      <w:b w:val="0"/>
                      <w:bCs w:val="0"/>
                      <w:color w:val="auto"/>
                      <w:sz w:val="18"/>
                      <w:szCs w:val="18"/>
                      <w:highlight w:val="none"/>
                      <w:lang w:val="en-US" w:eastAsia="zh-CN"/>
                    </w:rPr>
                  </w:pPr>
                  <w:r>
                    <w:rPr>
                      <w:rFonts w:hint="eastAsia" w:ascii="Times New Roman" w:hAnsi="Times New Roman" w:cs="Times New Roman" w:eastAsiaTheme="minorEastAsia"/>
                      <w:b w:val="0"/>
                      <w:bCs w:val="0"/>
                      <w:color w:val="auto"/>
                      <w:sz w:val="18"/>
                      <w:szCs w:val="18"/>
                      <w:highlight w:val="none"/>
                      <w:lang w:val="en-US" w:eastAsia="zh-CN"/>
                    </w:rPr>
                    <w:t>本项目环境分析防控主体责任为建设单位，运营期制订符合行业特征的突发环境事件应急预案，并在管理部门备案。应急预案中的分析防控体系应与园区突发环境事件风险防控体系相衔接。</w:t>
                  </w:r>
                </w:p>
              </w:tc>
              <w:tc>
                <w:tcPr>
                  <w:tcW w:w="730" w:type="dxa"/>
                  <w:tcBorders>
                    <w:tl2br w:val="nil"/>
                    <w:tr2bl w:val="nil"/>
                  </w:tcBorders>
                  <w:vAlign w:val="center"/>
                </w:tcPr>
                <w:p w14:paraId="47FD8E58">
                  <w:pPr>
                    <w:spacing w:line="240" w:lineRule="auto"/>
                    <w:jc w:val="center"/>
                    <w:rPr>
                      <w:rFonts w:hint="default" w:cs="Times New Roman" w:eastAsiaTheme="minorEastAsia"/>
                      <w:b w:val="0"/>
                      <w:bCs w:val="0"/>
                      <w:color w:val="auto"/>
                      <w:sz w:val="18"/>
                      <w:szCs w:val="18"/>
                      <w:highlight w:val="none"/>
                      <w:lang w:val="en-US" w:eastAsia="zh-CN"/>
                    </w:rPr>
                  </w:pPr>
                  <w:r>
                    <w:rPr>
                      <w:rFonts w:hint="default" w:cs="Times New Roman" w:eastAsiaTheme="minorEastAsia"/>
                      <w:b w:val="0"/>
                      <w:bCs w:val="0"/>
                      <w:color w:val="auto"/>
                      <w:sz w:val="18"/>
                      <w:szCs w:val="18"/>
                      <w:highlight w:val="none"/>
                      <w:lang w:val="en-US" w:eastAsia="zh-CN"/>
                    </w:rPr>
                    <w:t>符合</w:t>
                  </w:r>
                </w:p>
              </w:tc>
            </w:tr>
            <w:tr w14:paraId="6A6CDAE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58" w:hRule="atLeast"/>
              </w:trPr>
              <w:tc>
                <w:tcPr>
                  <w:tcW w:w="3641" w:type="dxa"/>
                  <w:tcBorders>
                    <w:tl2br w:val="nil"/>
                    <w:tr2bl w:val="nil"/>
                  </w:tcBorders>
                  <w:vAlign w:val="center"/>
                </w:tcPr>
                <w:p w14:paraId="5441108C">
                  <w:pPr>
                    <w:pStyle w:val="46"/>
                    <w:spacing w:after="0" w:line="240" w:lineRule="auto"/>
                    <w:ind w:left="0" w:leftChars="0" w:firstLine="180" w:firstLineChars="100"/>
                    <w:rPr>
                      <w:rFonts w:hint="default" w:ascii="Times New Roman" w:hAnsi="Times New Roman" w:cs="Times New Roman" w:eastAsiaTheme="minorEastAsia"/>
                      <w:b w:val="0"/>
                      <w:bCs w:val="0"/>
                      <w:color w:val="auto"/>
                      <w:sz w:val="18"/>
                      <w:szCs w:val="18"/>
                      <w:highlight w:val="none"/>
                      <w:lang w:val="en-US" w:eastAsia="zh-CN"/>
                    </w:rPr>
                  </w:pPr>
                  <w:r>
                    <w:rPr>
                      <w:rFonts w:hint="eastAsia" w:ascii="Times New Roman" w:hAnsi="Times New Roman" w:cs="Times New Roman" w:eastAsiaTheme="minorEastAsia"/>
                      <w:b w:val="0"/>
                      <w:bCs w:val="0"/>
                      <w:color w:val="auto"/>
                      <w:sz w:val="18"/>
                      <w:szCs w:val="18"/>
                      <w:highlight w:val="none"/>
                      <w:lang w:val="en-US" w:eastAsia="zh-CN"/>
                    </w:rPr>
                    <w:t>4.6对未划入“三区三线”1.511km</w:t>
                  </w:r>
                  <w:r>
                    <w:rPr>
                      <w:rFonts w:hint="eastAsia" w:ascii="Times New Roman" w:hAnsi="Times New Roman" w:cs="Times New Roman" w:eastAsiaTheme="minorEastAsia"/>
                      <w:b w:val="0"/>
                      <w:bCs w:val="0"/>
                      <w:color w:val="auto"/>
                      <w:sz w:val="18"/>
                      <w:szCs w:val="18"/>
                      <w:highlight w:val="none"/>
                      <w:vertAlign w:val="superscript"/>
                      <w:lang w:val="en-US" w:eastAsia="zh-CN"/>
                    </w:rPr>
                    <w:t>2</w:t>
                  </w:r>
                  <w:r>
                    <w:rPr>
                      <w:rFonts w:hint="eastAsia" w:ascii="Times New Roman" w:hAnsi="Times New Roman" w:cs="Times New Roman" w:eastAsiaTheme="minorEastAsia"/>
                      <w:b w:val="0"/>
                      <w:bCs w:val="0"/>
                      <w:color w:val="auto"/>
                      <w:sz w:val="18"/>
                      <w:szCs w:val="18"/>
                      <w:highlight w:val="none"/>
                      <w:lang w:val="en-US" w:eastAsia="zh-CN"/>
                    </w:rPr>
                    <w:t>范围内的企业在保持现状的条件下，区域内的企业通过提标升级改造必须满足生态环境要求，其污染物必须做到达标排放。</w:t>
                  </w:r>
                </w:p>
              </w:tc>
              <w:tc>
                <w:tcPr>
                  <w:tcW w:w="2594" w:type="dxa"/>
                  <w:tcBorders>
                    <w:tl2br w:val="nil"/>
                    <w:tr2bl w:val="nil"/>
                  </w:tcBorders>
                  <w:vAlign w:val="center"/>
                </w:tcPr>
                <w:p w14:paraId="7E1F1D7F">
                  <w:pPr>
                    <w:pStyle w:val="46"/>
                    <w:spacing w:after="0" w:line="240" w:lineRule="auto"/>
                    <w:ind w:left="0" w:leftChars="0" w:firstLine="180" w:firstLineChars="100"/>
                    <w:rPr>
                      <w:rFonts w:hint="default" w:ascii="Times New Roman" w:hAnsi="Times New Roman" w:cs="Times New Roman" w:eastAsiaTheme="minorEastAsia"/>
                      <w:b w:val="0"/>
                      <w:bCs w:val="0"/>
                      <w:color w:val="auto"/>
                      <w:sz w:val="18"/>
                      <w:szCs w:val="18"/>
                      <w:highlight w:val="none"/>
                      <w:lang w:val="en-US" w:eastAsia="zh-CN"/>
                    </w:rPr>
                  </w:pPr>
                  <w:r>
                    <w:rPr>
                      <w:rFonts w:hint="eastAsia" w:ascii="Times New Roman" w:hAnsi="Times New Roman" w:cs="Times New Roman" w:eastAsiaTheme="minorEastAsia"/>
                      <w:b w:val="0"/>
                      <w:bCs w:val="0"/>
                      <w:color w:val="auto"/>
                      <w:sz w:val="18"/>
                      <w:szCs w:val="18"/>
                      <w:highlight w:val="none"/>
                      <w:lang w:val="en-US" w:eastAsia="zh-CN"/>
                    </w:rPr>
                    <w:t>本项目占地为现代服务产业园区范围内的医疗卫生用地，不属于“1.511km</w:t>
                  </w:r>
                  <w:r>
                    <w:rPr>
                      <w:rFonts w:hint="eastAsia" w:ascii="Times New Roman" w:hAnsi="Times New Roman" w:cs="Times New Roman" w:eastAsiaTheme="minorEastAsia"/>
                      <w:b w:val="0"/>
                      <w:bCs w:val="0"/>
                      <w:color w:val="auto"/>
                      <w:sz w:val="18"/>
                      <w:szCs w:val="18"/>
                      <w:highlight w:val="none"/>
                      <w:vertAlign w:val="superscript"/>
                      <w:lang w:val="en-US" w:eastAsia="zh-CN"/>
                    </w:rPr>
                    <w:t>2</w:t>
                  </w:r>
                  <w:r>
                    <w:rPr>
                      <w:rFonts w:hint="eastAsia" w:ascii="Times New Roman" w:hAnsi="Times New Roman" w:cs="Times New Roman" w:eastAsiaTheme="minorEastAsia"/>
                      <w:b w:val="0"/>
                      <w:bCs w:val="0"/>
                      <w:color w:val="auto"/>
                      <w:sz w:val="18"/>
                      <w:szCs w:val="18"/>
                      <w:highlight w:val="none"/>
                      <w:lang w:val="en-US" w:eastAsia="zh-CN"/>
                    </w:rPr>
                    <w:t>”范围内，位置关系详见附图6。</w:t>
                  </w:r>
                </w:p>
              </w:tc>
              <w:tc>
                <w:tcPr>
                  <w:tcW w:w="730" w:type="dxa"/>
                  <w:tcBorders>
                    <w:tl2br w:val="nil"/>
                    <w:tr2bl w:val="nil"/>
                  </w:tcBorders>
                  <w:vAlign w:val="center"/>
                </w:tcPr>
                <w:p w14:paraId="57FFF789">
                  <w:pPr>
                    <w:spacing w:line="240" w:lineRule="auto"/>
                    <w:jc w:val="center"/>
                    <w:rPr>
                      <w:rFonts w:hint="default" w:cs="Times New Roman" w:eastAsiaTheme="minorEastAsia"/>
                      <w:b w:val="0"/>
                      <w:bCs w:val="0"/>
                      <w:color w:val="auto"/>
                      <w:sz w:val="18"/>
                      <w:szCs w:val="18"/>
                      <w:highlight w:val="none"/>
                      <w:lang w:val="en-US" w:eastAsia="zh-CN"/>
                    </w:rPr>
                  </w:pPr>
                  <w:r>
                    <w:rPr>
                      <w:rFonts w:hint="default" w:cs="Times New Roman" w:eastAsiaTheme="minorEastAsia"/>
                      <w:b w:val="0"/>
                      <w:bCs w:val="0"/>
                      <w:color w:val="auto"/>
                      <w:sz w:val="18"/>
                      <w:szCs w:val="18"/>
                      <w:highlight w:val="none"/>
                      <w:lang w:val="en-US" w:eastAsia="zh-CN"/>
                    </w:rPr>
                    <w:t>符合</w:t>
                  </w:r>
                </w:p>
              </w:tc>
            </w:tr>
            <w:tr w14:paraId="678E7F7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638" w:hRule="atLeast"/>
              </w:trPr>
              <w:tc>
                <w:tcPr>
                  <w:tcW w:w="3641" w:type="dxa"/>
                  <w:tcBorders>
                    <w:tl2br w:val="nil"/>
                    <w:tr2bl w:val="nil"/>
                  </w:tcBorders>
                  <w:vAlign w:val="center"/>
                </w:tcPr>
                <w:p w14:paraId="0E24122E">
                  <w:pPr>
                    <w:pStyle w:val="46"/>
                    <w:spacing w:after="0" w:line="240" w:lineRule="auto"/>
                    <w:ind w:left="0" w:leftChars="0" w:firstLine="180" w:firstLineChars="100"/>
                    <w:rPr>
                      <w:rFonts w:hint="default" w:ascii="Times New Roman" w:hAnsi="Times New Roman" w:cs="Times New Roman" w:eastAsiaTheme="minorEastAsia"/>
                      <w:b w:val="0"/>
                      <w:bCs w:val="0"/>
                      <w:color w:val="auto"/>
                      <w:sz w:val="18"/>
                      <w:szCs w:val="18"/>
                      <w:highlight w:val="none"/>
                      <w:lang w:val="en-US" w:eastAsia="zh-CN"/>
                    </w:rPr>
                  </w:pPr>
                  <w:r>
                    <w:rPr>
                      <w:rFonts w:hint="eastAsia" w:ascii="Times New Roman" w:hAnsi="Times New Roman" w:cs="Times New Roman" w:eastAsiaTheme="minorEastAsia"/>
                      <w:b w:val="0"/>
                      <w:bCs w:val="0"/>
                      <w:color w:val="auto"/>
                      <w:sz w:val="18"/>
                      <w:szCs w:val="18"/>
                      <w:highlight w:val="none"/>
                      <w:lang w:val="en-US" w:eastAsia="zh-CN"/>
                    </w:rPr>
                    <w:t>4.7规划范围内现有企业于园区产业发展、产业定位不符的，应对规划进行优化调整，适时开展规划的修编工作，以满足本园区规划要求。根据园区的发展规划和产业定位，制定园区的行业准入清单和不符合园区规划项目的奖励退出机制和实施有序退出计划。</w:t>
                  </w:r>
                </w:p>
              </w:tc>
              <w:tc>
                <w:tcPr>
                  <w:tcW w:w="2594" w:type="dxa"/>
                  <w:tcBorders>
                    <w:tl2br w:val="nil"/>
                    <w:tr2bl w:val="nil"/>
                  </w:tcBorders>
                  <w:vAlign w:val="center"/>
                </w:tcPr>
                <w:p w14:paraId="6C67BED0">
                  <w:pPr>
                    <w:pStyle w:val="46"/>
                    <w:spacing w:after="0" w:line="240" w:lineRule="auto"/>
                    <w:ind w:left="0" w:leftChars="0" w:firstLine="180" w:firstLineChars="100"/>
                    <w:rPr>
                      <w:rFonts w:hint="default" w:ascii="Times New Roman" w:hAnsi="Times New Roman" w:cs="Times New Roman" w:eastAsiaTheme="minorEastAsia"/>
                      <w:b w:val="0"/>
                      <w:bCs w:val="0"/>
                      <w:color w:val="auto"/>
                      <w:sz w:val="18"/>
                      <w:szCs w:val="18"/>
                      <w:highlight w:val="none"/>
                      <w:lang w:val="en-US" w:eastAsia="zh-CN"/>
                    </w:rPr>
                  </w:pPr>
                  <w:r>
                    <w:rPr>
                      <w:rFonts w:hint="eastAsia" w:ascii="Times New Roman" w:hAnsi="Times New Roman" w:cs="Times New Roman" w:eastAsiaTheme="minorEastAsia"/>
                      <w:b w:val="0"/>
                      <w:bCs w:val="0"/>
                      <w:color w:val="auto"/>
                      <w:sz w:val="18"/>
                      <w:szCs w:val="18"/>
                      <w:highlight w:val="none"/>
                      <w:lang w:val="en-US" w:eastAsia="zh-CN"/>
                    </w:rPr>
                    <w:t>本项目为新建项目，满足园区准入条件。</w:t>
                  </w:r>
                </w:p>
              </w:tc>
              <w:tc>
                <w:tcPr>
                  <w:tcW w:w="730" w:type="dxa"/>
                  <w:tcBorders>
                    <w:tl2br w:val="nil"/>
                    <w:tr2bl w:val="nil"/>
                  </w:tcBorders>
                  <w:vAlign w:val="center"/>
                </w:tcPr>
                <w:p w14:paraId="64DE7DA0">
                  <w:pPr>
                    <w:spacing w:line="240" w:lineRule="auto"/>
                    <w:jc w:val="center"/>
                    <w:rPr>
                      <w:rFonts w:hint="default" w:cs="Times New Roman" w:eastAsiaTheme="minorEastAsia"/>
                      <w:b w:val="0"/>
                      <w:bCs w:val="0"/>
                      <w:color w:val="auto"/>
                      <w:sz w:val="18"/>
                      <w:szCs w:val="18"/>
                      <w:highlight w:val="none"/>
                      <w:lang w:val="en-US" w:eastAsia="zh-CN"/>
                    </w:rPr>
                  </w:pPr>
                  <w:r>
                    <w:rPr>
                      <w:rFonts w:hint="eastAsia" w:cs="Times New Roman" w:eastAsiaTheme="minorEastAsia"/>
                      <w:b w:val="0"/>
                      <w:bCs w:val="0"/>
                      <w:color w:val="auto"/>
                      <w:sz w:val="18"/>
                      <w:szCs w:val="18"/>
                      <w:highlight w:val="none"/>
                      <w:lang w:val="en-US" w:eastAsia="zh-CN"/>
                    </w:rPr>
                    <w:t>符合</w:t>
                  </w:r>
                </w:p>
              </w:tc>
            </w:tr>
            <w:tr w14:paraId="64BABB3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87" w:hRule="atLeast"/>
              </w:trPr>
              <w:tc>
                <w:tcPr>
                  <w:tcW w:w="3641" w:type="dxa"/>
                  <w:tcBorders>
                    <w:tl2br w:val="nil"/>
                    <w:tr2bl w:val="nil"/>
                  </w:tcBorders>
                  <w:vAlign w:val="center"/>
                </w:tcPr>
                <w:p w14:paraId="0CDC241C">
                  <w:pPr>
                    <w:pStyle w:val="46"/>
                    <w:spacing w:after="0" w:line="240" w:lineRule="auto"/>
                    <w:ind w:left="0" w:leftChars="0" w:firstLine="180" w:firstLineChars="100"/>
                    <w:rPr>
                      <w:rFonts w:hint="default" w:ascii="Times New Roman" w:hAnsi="Times New Roman" w:cs="Times New Roman" w:eastAsiaTheme="minorEastAsia"/>
                      <w:b w:val="0"/>
                      <w:bCs w:val="0"/>
                      <w:color w:val="auto"/>
                      <w:sz w:val="18"/>
                      <w:szCs w:val="18"/>
                      <w:highlight w:val="none"/>
                      <w:lang w:val="en-US" w:eastAsia="zh-CN"/>
                    </w:rPr>
                  </w:pPr>
                  <w:r>
                    <w:rPr>
                      <w:rFonts w:hint="eastAsia" w:ascii="Times New Roman" w:hAnsi="Times New Roman" w:cs="Times New Roman" w:eastAsiaTheme="minorEastAsia"/>
                      <w:b w:val="0"/>
                      <w:bCs w:val="0"/>
                      <w:color w:val="auto"/>
                      <w:sz w:val="18"/>
                      <w:szCs w:val="18"/>
                      <w:highlight w:val="none"/>
                      <w:lang w:val="en-US" w:eastAsia="zh-CN"/>
                    </w:rPr>
                    <w:t>4.8规划包含的建设项目开展环评时，应以本规划环评的结论及本审查意见作为其环评依据之一。</w:t>
                  </w:r>
                </w:p>
              </w:tc>
              <w:tc>
                <w:tcPr>
                  <w:tcW w:w="2594" w:type="dxa"/>
                  <w:tcBorders>
                    <w:tl2br w:val="nil"/>
                    <w:tr2bl w:val="nil"/>
                  </w:tcBorders>
                  <w:vAlign w:val="center"/>
                </w:tcPr>
                <w:p w14:paraId="681B245C">
                  <w:pPr>
                    <w:pStyle w:val="46"/>
                    <w:spacing w:after="0" w:line="240" w:lineRule="auto"/>
                    <w:ind w:left="0" w:leftChars="0" w:firstLine="180" w:firstLineChars="100"/>
                    <w:rPr>
                      <w:rFonts w:hint="default" w:ascii="Times New Roman" w:hAnsi="Times New Roman" w:cs="Times New Roman" w:eastAsiaTheme="minorEastAsia"/>
                      <w:b w:val="0"/>
                      <w:bCs w:val="0"/>
                      <w:color w:val="auto"/>
                      <w:sz w:val="18"/>
                      <w:szCs w:val="18"/>
                      <w:highlight w:val="none"/>
                      <w:lang w:val="en-US" w:eastAsia="zh-CN"/>
                    </w:rPr>
                  </w:pPr>
                  <w:r>
                    <w:rPr>
                      <w:rFonts w:hint="eastAsia" w:ascii="Times New Roman" w:hAnsi="Times New Roman" w:cs="Times New Roman" w:eastAsiaTheme="minorEastAsia"/>
                      <w:b w:val="0"/>
                      <w:bCs w:val="0"/>
                      <w:color w:val="auto"/>
                      <w:sz w:val="18"/>
                      <w:szCs w:val="18"/>
                      <w:highlight w:val="none"/>
                      <w:lang w:val="en-US" w:eastAsia="zh-CN"/>
                    </w:rPr>
                    <w:t>本项目环评编制期间，以项目所在园区规划环评的结论以及审查意见作为重要依据。</w:t>
                  </w:r>
                </w:p>
              </w:tc>
              <w:tc>
                <w:tcPr>
                  <w:tcW w:w="730" w:type="dxa"/>
                  <w:tcBorders>
                    <w:tl2br w:val="nil"/>
                    <w:tr2bl w:val="nil"/>
                  </w:tcBorders>
                  <w:vAlign w:val="center"/>
                </w:tcPr>
                <w:p w14:paraId="66184C99">
                  <w:pPr>
                    <w:spacing w:line="240" w:lineRule="auto"/>
                    <w:jc w:val="center"/>
                    <w:rPr>
                      <w:rFonts w:hint="default" w:cs="Times New Roman" w:eastAsiaTheme="minorEastAsia"/>
                      <w:b w:val="0"/>
                      <w:bCs w:val="0"/>
                      <w:color w:val="auto"/>
                      <w:sz w:val="18"/>
                      <w:szCs w:val="18"/>
                      <w:highlight w:val="none"/>
                      <w:lang w:val="en-US" w:eastAsia="zh-CN"/>
                    </w:rPr>
                  </w:pPr>
                  <w:r>
                    <w:rPr>
                      <w:rFonts w:hint="eastAsia" w:cs="Times New Roman" w:eastAsiaTheme="minorEastAsia"/>
                      <w:b w:val="0"/>
                      <w:bCs w:val="0"/>
                      <w:color w:val="auto"/>
                      <w:sz w:val="18"/>
                      <w:szCs w:val="18"/>
                      <w:highlight w:val="none"/>
                      <w:lang w:val="en-US" w:eastAsia="zh-CN"/>
                    </w:rPr>
                    <w:t>符合</w:t>
                  </w:r>
                </w:p>
              </w:tc>
            </w:tr>
            <w:tr w14:paraId="15447F1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53" w:hRule="atLeast"/>
              </w:trPr>
              <w:tc>
                <w:tcPr>
                  <w:tcW w:w="3641" w:type="dxa"/>
                  <w:tcBorders>
                    <w:tl2br w:val="nil"/>
                    <w:tr2bl w:val="nil"/>
                  </w:tcBorders>
                  <w:vAlign w:val="center"/>
                </w:tcPr>
                <w:p w14:paraId="40CBBE38">
                  <w:pPr>
                    <w:pStyle w:val="46"/>
                    <w:spacing w:after="0" w:line="240" w:lineRule="auto"/>
                    <w:ind w:left="0" w:leftChars="0" w:firstLine="180" w:firstLineChars="100"/>
                    <w:rPr>
                      <w:rFonts w:hint="default" w:ascii="Times New Roman" w:hAnsi="Times New Roman" w:cs="Times New Roman" w:eastAsiaTheme="minorEastAsia"/>
                      <w:b w:val="0"/>
                      <w:bCs w:val="0"/>
                      <w:color w:val="auto"/>
                      <w:sz w:val="18"/>
                      <w:szCs w:val="18"/>
                      <w:highlight w:val="none"/>
                      <w:lang w:val="en-US" w:eastAsia="zh-CN"/>
                    </w:rPr>
                  </w:pPr>
                  <w:r>
                    <w:rPr>
                      <w:rFonts w:hint="eastAsia" w:ascii="Times New Roman" w:hAnsi="Times New Roman" w:cs="Times New Roman" w:eastAsiaTheme="minorEastAsia"/>
                      <w:b w:val="0"/>
                      <w:bCs w:val="0"/>
                      <w:color w:val="auto"/>
                      <w:sz w:val="18"/>
                      <w:szCs w:val="18"/>
                      <w:highlight w:val="none"/>
                      <w:lang w:val="en-US" w:eastAsia="zh-CN"/>
                    </w:rPr>
                    <w:t>4.9规范范围内建设项目在开展环境影响评价时，环境质量现状监测和污染源调查、建设项目与上层规划及产业规划符合性分析等内容可以适当简化。</w:t>
                  </w:r>
                </w:p>
              </w:tc>
              <w:tc>
                <w:tcPr>
                  <w:tcW w:w="2594" w:type="dxa"/>
                  <w:tcBorders>
                    <w:tl2br w:val="nil"/>
                    <w:tr2bl w:val="nil"/>
                  </w:tcBorders>
                  <w:vAlign w:val="center"/>
                </w:tcPr>
                <w:p w14:paraId="6040F0B6">
                  <w:pPr>
                    <w:pStyle w:val="46"/>
                    <w:spacing w:after="0" w:line="240" w:lineRule="auto"/>
                    <w:ind w:left="0" w:leftChars="0" w:firstLine="180" w:firstLineChars="100"/>
                    <w:rPr>
                      <w:rFonts w:hint="default" w:ascii="Times New Roman" w:hAnsi="Times New Roman" w:cs="Times New Roman" w:eastAsiaTheme="minorEastAsia"/>
                      <w:b w:val="0"/>
                      <w:bCs w:val="0"/>
                      <w:color w:val="auto"/>
                      <w:sz w:val="18"/>
                      <w:szCs w:val="18"/>
                      <w:highlight w:val="none"/>
                      <w:lang w:val="en-US" w:eastAsia="zh-CN"/>
                    </w:rPr>
                  </w:pPr>
                  <w:r>
                    <w:rPr>
                      <w:rFonts w:hint="eastAsia" w:ascii="Times New Roman" w:hAnsi="Times New Roman" w:cs="Times New Roman" w:eastAsiaTheme="minorEastAsia"/>
                      <w:b w:val="0"/>
                      <w:bCs w:val="0"/>
                      <w:color w:val="auto"/>
                      <w:sz w:val="18"/>
                      <w:szCs w:val="18"/>
                      <w:highlight w:val="none"/>
                      <w:lang w:val="en-US" w:eastAsia="zh-CN"/>
                    </w:rPr>
                    <w:t>本项目大气环境现状资料引用了园区规划环评中的现状监测资料。</w:t>
                  </w:r>
                </w:p>
              </w:tc>
              <w:tc>
                <w:tcPr>
                  <w:tcW w:w="730" w:type="dxa"/>
                  <w:tcBorders>
                    <w:tl2br w:val="nil"/>
                    <w:tr2bl w:val="nil"/>
                  </w:tcBorders>
                  <w:vAlign w:val="center"/>
                </w:tcPr>
                <w:p w14:paraId="1940C888">
                  <w:pPr>
                    <w:spacing w:line="240" w:lineRule="auto"/>
                    <w:jc w:val="center"/>
                    <w:rPr>
                      <w:rFonts w:hint="default" w:cs="Times New Roman" w:eastAsiaTheme="minorEastAsia"/>
                      <w:b w:val="0"/>
                      <w:bCs w:val="0"/>
                      <w:color w:val="auto"/>
                      <w:sz w:val="18"/>
                      <w:szCs w:val="18"/>
                      <w:highlight w:val="none"/>
                      <w:lang w:val="en-US" w:eastAsia="zh-CN"/>
                    </w:rPr>
                  </w:pPr>
                  <w:r>
                    <w:rPr>
                      <w:rFonts w:hint="default" w:cs="Times New Roman" w:eastAsiaTheme="minorEastAsia"/>
                      <w:b w:val="0"/>
                      <w:bCs w:val="0"/>
                      <w:color w:val="auto"/>
                      <w:sz w:val="18"/>
                      <w:szCs w:val="18"/>
                      <w:highlight w:val="none"/>
                      <w:lang w:val="en-US" w:eastAsia="zh-CN"/>
                    </w:rPr>
                    <w:t>符合</w:t>
                  </w:r>
                </w:p>
              </w:tc>
            </w:tr>
          </w:tbl>
          <w:p w14:paraId="2DA8EDA2">
            <w:pPr>
              <w:pStyle w:val="77"/>
              <w:snapToGrid/>
              <w:ind w:firstLine="422"/>
              <w:rPr>
                <w:rFonts w:hint="default" w:ascii="Times New Roman" w:hAnsi="Times New Roman" w:eastAsia="宋体"/>
                <w:b w:val="0"/>
                <w:bCs w:val="0"/>
                <w:color w:val="FF0000"/>
                <w:szCs w:val="21"/>
                <w:lang w:val="en-US" w:eastAsia="zh-CN"/>
              </w:rPr>
            </w:pPr>
            <w:r>
              <w:rPr>
                <w:rFonts w:hint="eastAsia" w:ascii="Times New Roman" w:hAnsi="Times New Roman"/>
                <w:b w:val="0"/>
                <w:bCs w:val="0"/>
                <w:color w:val="auto"/>
                <w:szCs w:val="21"/>
                <w:lang w:val="en-US" w:eastAsia="zh-CN"/>
              </w:rPr>
              <w:t>综上可知，本项目的建设符合园区规划环评中的要求，建设合理可行。</w:t>
            </w:r>
          </w:p>
        </w:tc>
      </w:tr>
      <w:tr w14:paraId="0536DD1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659" w:type="dxa"/>
            <w:vAlign w:val="center"/>
          </w:tcPr>
          <w:p w14:paraId="019373F2">
            <w:pPr>
              <w:autoSpaceDE w:val="0"/>
              <w:autoSpaceDN w:val="0"/>
              <w:adjustRightInd w:val="0"/>
              <w:snapToGrid w:val="0"/>
              <w:jc w:val="center"/>
              <w:rPr>
                <w:kern w:val="0"/>
                <w:szCs w:val="21"/>
              </w:rPr>
            </w:pPr>
            <w:r>
              <w:rPr>
                <w:kern w:val="0"/>
                <w:szCs w:val="21"/>
              </w:rPr>
              <w:t>其他符合性</w:t>
            </w:r>
          </w:p>
          <w:p w14:paraId="21B512DB">
            <w:pPr>
              <w:autoSpaceDE w:val="0"/>
              <w:autoSpaceDN w:val="0"/>
              <w:adjustRightInd w:val="0"/>
              <w:snapToGrid w:val="0"/>
              <w:jc w:val="center"/>
              <w:rPr>
                <w:kern w:val="0"/>
                <w:szCs w:val="21"/>
              </w:rPr>
            </w:pPr>
            <w:r>
              <w:rPr>
                <w:kern w:val="0"/>
                <w:szCs w:val="21"/>
              </w:rPr>
              <w:t>分析</w:t>
            </w:r>
          </w:p>
        </w:tc>
        <w:tc>
          <w:tcPr>
            <w:tcW w:w="7211" w:type="dxa"/>
            <w:gridSpan w:val="3"/>
            <w:vAlign w:val="center"/>
          </w:tcPr>
          <w:p w14:paraId="6287D8F6">
            <w:pPr>
              <w:pStyle w:val="77"/>
              <w:snapToGrid/>
              <w:ind w:firstLine="422"/>
              <w:rPr>
                <w:rFonts w:ascii="Times New Roman" w:hAnsi="Times New Roman"/>
                <w:bCs/>
                <w:color w:val="auto"/>
                <w:szCs w:val="21"/>
              </w:rPr>
            </w:pPr>
            <w:r>
              <w:rPr>
                <w:rFonts w:ascii="Times New Roman" w:hAnsi="Times New Roman"/>
                <w:bCs/>
                <w:color w:val="auto"/>
                <w:szCs w:val="21"/>
              </w:rPr>
              <w:t>1、项目“三线一单”符合性分析</w:t>
            </w:r>
          </w:p>
          <w:p w14:paraId="07A62B53">
            <w:pPr>
              <w:spacing w:line="360" w:lineRule="auto"/>
              <w:ind w:firstLine="420" w:firstLineChars="200"/>
              <w:rPr>
                <w:color w:val="auto"/>
                <w:szCs w:val="21"/>
              </w:rPr>
            </w:pPr>
            <w:bookmarkStart w:id="2" w:name="_Toc497985890"/>
            <w:r>
              <w:rPr>
                <w:color w:val="auto"/>
                <w:szCs w:val="21"/>
              </w:rPr>
              <w:t>（1）与生态保护红线的符合性分析</w:t>
            </w:r>
            <w:bookmarkEnd w:id="2"/>
          </w:p>
          <w:p w14:paraId="6CCD3FB4">
            <w:pPr>
              <w:spacing w:line="360" w:lineRule="auto"/>
              <w:ind w:firstLine="420" w:firstLineChars="200"/>
              <w:rPr>
                <w:color w:val="auto"/>
                <w:szCs w:val="21"/>
              </w:rPr>
            </w:pPr>
            <w:r>
              <w:rPr>
                <w:color w:val="auto"/>
                <w:szCs w:val="21"/>
              </w:rPr>
              <w:t>本项位于</w:t>
            </w:r>
            <w:r>
              <w:rPr>
                <w:rFonts w:hint="eastAsia"/>
                <w:color w:val="auto"/>
                <w:szCs w:val="21"/>
                <w:lang w:eastAsia="zh-CN"/>
              </w:rPr>
              <w:t>大同市开发区南环东路樊庄家园小区西侧0.18km处</w:t>
            </w:r>
            <w:r>
              <w:rPr>
                <w:rFonts w:hint="eastAsia"/>
                <w:color w:val="auto"/>
                <w:szCs w:val="21"/>
              </w:rPr>
              <w:t>。</w:t>
            </w:r>
            <w:r>
              <w:rPr>
                <w:color w:val="auto"/>
                <w:szCs w:val="21"/>
              </w:rPr>
              <w:t>根据</w:t>
            </w:r>
            <w:r>
              <w:rPr>
                <w:rFonts w:hint="eastAsia"/>
                <w:color w:val="auto"/>
                <w:szCs w:val="21"/>
              </w:rPr>
              <w:t>《大同市国土空间总体规划2021-2035年》（公示稿）（附图3），本项目</w:t>
            </w:r>
            <w:r>
              <w:rPr>
                <w:color w:val="auto"/>
                <w:szCs w:val="21"/>
              </w:rPr>
              <w:t>占地</w:t>
            </w:r>
            <w:r>
              <w:rPr>
                <w:rFonts w:hint="eastAsia"/>
                <w:color w:val="auto"/>
                <w:szCs w:val="21"/>
              </w:rPr>
              <w:t>属于</w:t>
            </w:r>
            <w:r>
              <w:rPr>
                <w:rFonts w:hint="eastAsia"/>
                <w:color w:val="auto"/>
                <w:szCs w:val="21"/>
                <w:lang w:val="en-US" w:eastAsia="zh-CN"/>
              </w:rPr>
              <w:t>城镇开发边界范围内，本项目占地不在永久基本农田、生态保护红线等范围内</w:t>
            </w:r>
            <w:r>
              <w:rPr>
                <w:rFonts w:hint="eastAsia"/>
                <w:color w:val="auto"/>
                <w:szCs w:val="21"/>
                <w:lang w:eastAsia="zh-CN"/>
              </w:rPr>
              <w:t>；</w:t>
            </w:r>
            <w:r>
              <w:rPr>
                <w:rFonts w:hint="eastAsia"/>
                <w:color w:val="auto"/>
                <w:szCs w:val="21"/>
                <w:lang w:val="en-US" w:eastAsia="zh-CN"/>
              </w:rPr>
              <w:t>根据</w:t>
            </w:r>
            <w:r>
              <w:rPr>
                <w:rFonts w:hint="eastAsia" w:ascii="Times New Roman" w:hAnsi="Times New Roman" w:eastAsia="宋体" w:cs="Times New Roman"/>
                <w:b w:val="0"/>
                <w:bCs w:val="0"/>
                <w:color w:val="auto"/>
                <w:szCs w:val="21"/>
                <w:lang w:val="en-US" w:eastAsia="zh-CN"/>
              </w:rPr>
              <w:t>现代服务产业园区</w:t>
            </w:r>
            <w:r>
              <w:rPr>
                <w:rFonts w:hint="eastAsia" w:cs="Times New Roman"/>
                <w:b w:val="0"/>
                <w:bCs w:val="0"/>
                <w:color w:val="auto"/>
                <w:szCs w:val="21"/>
                <w:lang w:val="en-US" w:eastAsia="zh-CN"/>
              </w:rPr>
              <w:t>土</w:t>
            </w:r>
            <w:r>
              <w:rPr>
                <w:rFonts w:hint="eastAsia"/>
                <w:color w:val="auto"/>
                <w:szCs w:val="21"/>
                <w:lang w:val="en-US" w:eastAsia="zh-CN"/>
              </w:rPr>
              <w:t>地规划图（附图7）中所示</w:t>
            </w:r>
            <w:r>
              <w:rPr>
                <w:rFonts w:hint="eastAsia"/>
                <w:color w:val="auto"/>
                <w:szCs w:val="21"/>
              </w:rPr>
              <w:t>，</w:t>
            </w:r>
            <w:r>
              <w:rPr>
                <w:rFonts w:hint="eastAsia"/>
                <w:color w:val="auto"/>
                <w:szCs w:val="21"/>
                <w:lang w:val="en-US" w:eastAsia="zh-CN"/>
              </w:rPr>
              <w:t>本项目占地类型为医疗卫生</w:t>
            </w:r>
            <w:r>
              <w:rPr>
                <w:rFonts w:hint="eastAsia"/>
                <w:color w:val="auto"/>
                <w:szCs w:val="21"/>
              </w:rPr>
              <w:t>用地。</w:t>
            </w:r>
            <w:r>
              <w:rPr>
                <w:color w:val="auto"/>
                <w:szCs w:val="21"/>
              </w:rPr>
              <w:t>项目占地不在自然保护区、风景名胜区、森林公园、地质公园等保护区范围内。</w:t>
            </w:r>
          </w:p>
          <w:p w14:paraId="66511201">
            <w:pPr>
              <w:pStyle w:val="136"/>
              <w:spacing w:line="240" w:lineRule="exact"/>
              <w:ind w:firstLine="0" w:firstLineChars="0"/>
              <w:jc w:val="center"/>
              <w:rPr>
                <w:b/>
                <w:bCs/>
                <w:color w:val="auto"/>
                <w:sz w:val="18"/>
                <w:szCs w:val="18"/>
              </w:rPr>
            </w:pPr>
            <w:r>
              <w:rPr>
                <w:b/>
                <w:bCs/>
                <w:color w:val="auto"/>
                <w:sz w:val="18"/>
                <w:szCs w:val="18"/>
              </w:rPr>
              <w:t>表1-</w:t>
            </w:r>
            <w:r>
              <w:rPr>
                <w:rFonts w:hint="eastAsia"/>
                <w:b/>
                <w:bCs/>
                <w:color w:val="auto"/>
                <w:sz w:val="18"/>
                <w:szCs w:val="18"/>
                <w:lang w:val="en-US" w:eastAsia="zh-CN"/>
              </w:rPr>
              <w:t>5</w:t>
            </w:r>
            <w:r>
              <w:rPr>
                <w:b/>
                <w:bCs/>
                <w:color w:val="auto"/>
                <w:sz w:val="18"/>
                <w:szCs w:val="18"/>
              </w:rPr>
              <w:t xml:space="preserve">    与大同市关于划分生态环境管控单元符合性分析一览表</w:t>
            </w:r>
          </w:p>
          <w:tbl>
            <w:tblPr>
              <w:tblStyle w:val="47"/>
              <w:tblW w:w="5000" w:type="pct"/>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108" w:type="dxa"/>
                <w:bottom w:w="0" w:type="dxa"/>
                <w:right w:w="108" w:type="dxa"/>
              </w:tblCellMar>
            </w:tblPr>
            <w:tblGrid>
              <w:gridCol w:w="3545"/>
              <w:gridCol w:w="2751"/>
              <w:gridCol w:w="669"/>
            </w:tblGrid>
            <w:tr w14:paraId="170F531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70" w:hRule="atLeast"/>
              </w:trPr>
              <w:tc>
                <w:tcPr>
                  <w:tcW w:w="2544" w:type="pct"/>
                  <w:vAlign w:val="center"/>
                </w:tcPr>
                <w:p w14:paraId="3B8CD503">
                  <w:pPr>
                    <w:widowControl/>
                    <w:spacing w:line="240" w:lineRule="exact"/>
                    <w:jc w:val="center"/>
                    <w:rPr>
                      <w:color w:val="auto"/>
                      <w:kern w:val="0"/>
                      <w:sz w:val="18"/>
                      <w:szCs w:val="18"/>
                    </w:rPr>
                  </w:pPr>
                  <w:r>
                    <w:rPr>
                      <w:b/>
                      <w:color w:val="auto"/>
                      <w:sz w:val="18"/>
                      <w:szCs w:val="18"/>
                    </w:rPr>
                    <w:t>同政发[2021]23号</w:t>
                  </w:r>
                  <w:r>
                    <w:rPr>
                      <w:color w:val="auto"/>
                      <w:kern w:val="0"/>
                      <w:sz w:val="18"/>
                      <w:szCs w:val="18"/>
                    </w:rPr>
                    <w:t>文件内容</w:t>
                  </w:r>
                </w:p>
              </w:tc>
              <w:tc>
                <w:tcPr>
                  <w:tcW w:w="1974" w:type="pct"/>
                  <w:vAlign w:val="center"/>
                </w:tcPr>
                <w:p w14:paraId="3442C24B">
                  <w:pPr>
                    <w:widowControl/>
                    <w:spacing w:line="240" w:lineRule="exact"/>
                    <w:jc w:val="center"/>
                    <w:rPr>
                      <w:color w:val="auto"/>
                      <w:kern w:val="0"/>
                      <w:sz w:val="18"/>
                      <w:szCs w:val="18"/>
                    </w:rPr>
                  </w:pPr>
                  <w:r>
                    <w:rPr>
                      <w:color w:val="auto"/>
                      <w:kern w:val="0"/>
                      <w:sz w:val="18"/>
                      <w:szCs w:val="18"/>
                    </w:rPr>
                    <w:t>本项目</w:t>
                  </w:r>
                </w:p>
              </w:tc>
              <w:tc>
                <w:tcPr>
                  <w:tcW w:w="480" w:type="pct"/>
                  <w:vAlign w:val="center"/>
                </w:tcPr>
                <w:p w14:paraId="31D1C772">
                  <w:pPr>
                    <w:widowControl/>
                    <w:spacing w:line="240" w:lineRule="exact"/>
                    <w:jc w:val="center"/>
                    <w:rPr>
                      <w:color w:val="auto"/>
                      <w:kern w:val="0"/>
                      <w:sz w:val="18"/>
                      <w:szCs w:val="18"/>
                    </w:rPr>
                  </w:pPr>
                  <w:r>
                    <w:rPr>
                      <w:color w:val="auto"/>
                      <w:kern w:val="0"/>
                      <w:sz w:val="18"/>
                      <w:szCs w:val="18"/>
                    </w:rPr>
                    <w:t>符合性</w:t>
                  </w:r>
                </w:p>
              </w:tc>
            </w:tr>
            <w:tr w14:paraId="3047B14F">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677" w:hRule="atLeast"/>
              </w:trPr>
              <w:tc>
                <w:tcPr>
                  <w:tcW w:w="2544" w:type="pct"/>
                  <w:vAlign w:val="center"/>
                </w:tcPr>
                <w:p w14:paraId="2186DA25">
                  <w:pPr>
                    <w:widowControl/>
                    <w:spacing w:line="240" w:lineRule="exact"/>
                    <w:jc w:val="left"/>
                    <w:rPr>
                      <w:color w:val="auto"/>
                      <w:kern w:val="0"/>
                      <w:sz w:val="18"/>
                      <w:szCs w:val="18"/>
                    </w:rPr>
                  </w:pPr>
                  <w:r>
                    <w:rPr>
                      <w:color w:val="auto"/>
                      <w:kern w:val="0"/>
                      <w:sz w:val="18"/>
                      <w:szCs w:val="18"/>
                    </w:rPr>
                    <w:t>重点管控单元：主要包括城市建成区、市级以上经济技术开发区和产业园区、大气环境布局敏感区和弱扩散区，以及开发强度高、污染物排放量大、环境问题相对集中的区域等。</w:t>
                  </w:r>
                </w:p>
                <w:p w14:paraId="389192EE">
                  <w:pPr>
                    <w:widowControl/>
                    <w:spacing w:line="240" w:lineRule="exact"/>
                    <w:jc w:val="left"/>
                    <w:rPr>
                      <w:color w:val="auto"/>
                      <w:kern w:val="0"/>
                      <w:sz w:val="18"/>
                      <w:szCs w:val="18"/>
                    </w:rPr>
                  </w:pPr>
                  <w:r>
                    <w:rPr>
                      <w:color w:val="auto"/>
                      <w:kern w:val="0"/>
                      <w:sz w:val="18"/>
                      <w:szCs w:val="18"/>
                    </w:rPr>
                    <w:t>制定生态环境准入清单</w:t>
                  </w:r>
                  <w:r>
                    <w:rPr>
                      <w:rFonts w:hint="eastAsia"/>
                      <w:color w:val="auto"/>
                      <w:kern w:val="0"/>
                      <w:sz w:val="18"/>
                      <w:szCs w:val="18"/>
                    </w:rPr>
                    <w:t>：</w:t>
                  </w:r>
                  <w:r>
                    <w:rPr>
                      <w:color w:val="auto"/>
                      <w:kern w:val="0"/>
                      <w:sz w:val="18"/>
                      <w:szCs w:val="18"/>
                    </w:rPr>
                    <w:t>重点管控单元应进一步优化空间布局</w:t>
                  </w:r>
                  <w:r>
                    <w:rPr>
                      <w:rFonts w:hint="eastAsia"/>
                      <w:color w:val="auto"/>
                      <w:kern w:val="0"/>
                      <w:sz w:val="18"/>
                      <w:szCs w:val="18"/>
                    </w:rPr>
                    <w:t>，</w:t>
                  </w:r>
                  <w:r>
                    <w:rPr>
                      <w:color w:val="auto"/>
                      <w:kern w:val="0"/>
                      <w:sz w:val="18"/>
                      <w:szCs w:val="18"/>
                    </w:rPr>
                    <w:t>加强污染物排放总量控制和环境风险防控</w:t>
                  </w:r>
                  <w:r>
                    <w:rPr>
                      <w:rFonts w:hint="eastAsia"/>
                      <w:color w:val="auto"/>
                      <w:kern w:val="0"/>
                      <w:sz w:val="18"/>
                      <w:szCs w:val="18"/>
                    </w:rPr>
                    <w:t>，</w:t>
                  </w:r>
                  <w:r>
                    <w:rPr>
                      <w:color w:val="auto"/>
                      <w:kern w:val="0"/>
                      <w:sz w:val="18"/>
                      <w:szCs w:val="18"/>
                    </w:rPr>
                    <w:t>不断</w:t>
                  </w:r>
                  <w:r>
                    <w:rPr>
                      <w:rFonts w:hint="eastAsia"/>
                      <w:color w:val="auto"/>
                      <w:kern w:val="0"/>
                      <w:sz w:val="18"/>
                      <w:szCs w:val="18"/>
                      <w:lang w:val="en-US" w:eastAsia="zh-CN"/>
                    </w:rPr>
                    <w:t>提升</w:t>
                  </w:r>
                  <w:r>
                    <w:rPr>
                      <w:color w:val="auto"/>
                      <w:kern w:val="0"/>
                      <w:sz w:val="18"/>
                      <w:szCs w:val="18"/>
                    </w:rPr>
                    <w:t>资源能源利用效率</w:t>
                  </w:r>
                  <w:r>
                    <w:rPr>
                      <w:rFonts w:hint="eastAsia"/>
                      <w:color w:val="auto"/>
                      <w:kern w:val="0"/>
                      <w:sz w:val="18"/>
                      <w:szCs w:val="18"/>
                    </w:rPr>
                    <w:t>，</w:t>
                  </w:r>
                  <w:r>
                    <w:rPr>
                      <w:color w:val="auto"/>
                      <w:kern w:val="0"/>
                      <w:sz w:val="18"/>
                      <w:szCs w:val="18"/>
                    </w:rPr>
                    <w:t>解决生态环境质量不达标</w:t>
                  </w:r>
                  <w:r>
                    <w:rPr>
                      <w:rFonts w:hint="eastAsia"/>
                      <w:color w:val="auto"/>
                      <w:kern w:val="0"/>
                      <w:sz w:val="18"/>
                      <w:szCs w:val="18"/>
                    </w:rPr>
                    <w:t>、</w:t>
                  </w:r>
                  <w:r>
                    <w:rPr>
                      <w:color w:val="auto"/>
                      <w:kern w:val="0"/>
                      <w:sz w:val="18"/>
                      <w:szCs w:val="18"/>
                    </w:rPr>
                    <w:t>生态环境风险高等问题</w:t>
                  </w:r>
                  <w:r>
                    <w:rPr>
                      <w:rFonts w:hint="eastAsia"/>
                      <w:color w:val="auto"/>
                      <w:kern w:val="0"/>
                      <w:sz w:val="18"/>
                      <w:szCs w:val="18"/>
                    </w:rPr>
                    <w:t>，</w:t>
                  </w:r>
                  <w:r>
                    <w:rPr>
                      <w:color w:val="auto"/>
                      <w:kern w:val="0"/>
                      <w:sz w:val="18"/>
                      <w:szCs w:val="18"/>
                    </w:rPr>
                    <w:t>实现减污降碳协同效应</w:t>
                  </w:r>
                  <w:r>
                    <w:rPr>
                      <w:rFonts w:hint="eastAsia"/>
                      <w:color w:val="auto"/>
                      <w:kern w:val="0"/>
                      <w:sz w:val="18"/>
                      <w:szCs w:val="18"/>
                    </w:rPr>
                    <w:t>。</w:t>
                  </w:r>
                  <w:r>
                    <w:rPr>
                      <w:color w:val="auto"/>
                      <w:kern w:val="0"/>
                      <w:sz w:val="18"/>
                      <w:szCs w:val="18"/>
                    </w:rPr>
                    <w:t>加快调整优化产业结构</w:t>
                  </w:r>
                  <w:r>
                    <w:rPr>
                      <w:rFonts w:hint="eastAsia"/>
                      <w:color w:val="auto"/>
                      <w:kern w:val="0"/>
                      <w:sz w:val="18"/>
                      <w:szCs w:val="18"/>
                    </w:rPr>
                    <w:t>、</w:t>
                  </w:r>
                  <w:r>
                    <w:rPr>
                      <w:color w:val="auto"/>
                      <w:kern w:val="0"/>
                      <w:sz w:val="18"/>
                      <w:szCs w:val="18"/>
                    </w:rPr>
                    <w:t>能源结构</w:t>
                  </w:r>
                  <w:r>
                    <w:rPr>
                      <w:rFonts w:hint="eastAsia"/>
                      <w:color w:val="auto"/>
                      <w:kern w:val="0"/>
                      <w:sz w:val="18"/>
                      <w:szCs w:val="18"/>
                    </w:rPr>
                    <w:t>，</w:t>
                  </w:r>
                  <w:r>
                    <w:rPr>
                      <w:color w:val="auto"/>
                      <w:kern w:val="0"/>
                      <w:sz w:val="18"/>
                      <w:szCs w:val="18"/>
                    </w:rPr>
                    <w:t>严控</w:t>
                  </w:r>
                  <w:r>
                    <w:rPr>
                      <w:rFonts w:hint="eastAsia"/>
                      <w:color w:val="auto"/>
                      <w:kern w:val="0"/>
                      <w:sz w:val="18"/>
                      <w:szCs w:val="18"/>
                    </w:rPr>
                    <w:t>“两高”企业准入门槛。严格如何排污口设置。大力推进工业废水近零排放和资源化利用，实施城镇生活再生水资源化分质利用。</w:t>
                  </w:r>
                </w:p>
              </w:tc>
              <w:tc>
                <w:tcPr>
                  <w:tcW w:w="1974" w:type="pct"/>
                  <w:vAlign w:val="center"/>
                </w:tcPr>
                <w:p w14:paraId="037E1263">
                  <w:pPr>
                    <w:adjustRightInd w:val="0"/>
                    <w:snapToGrid w:val="0"/>
                    <w:jc w:val="both"/>
                    <w:rPr>
                      <w:color w:val="auto"/>
                      <w:kern w:val="0"/>
                      <w:sz w:val="18"/>
                      <w:szCs w:val="18"/>
                    </w:rPr>
                  </w:pPr>
                  <w:r>
                    <w:rPr>
                      <w:color w:val="auto"/>
                      <w:kern w:val="0"/>
                      <w:sz w:val="18"/>
                      <w:szCs w:val="18"/>
                    </w:rPr>
                    <w:t>根据文件中生态环境管控体系的划定，本项目位于</w:t>
                  </w:r>
                  <w:r>
                    <w:rPr>
                      <w:rFonts w:hint="eastAsia" w:cs="Times New Roman"/>
                      <w:b w:val="0"/>
                      <w:bCs w:val="0"/>
                      <w:color w:val="auto"/>
                      <w:kern w:val="2"/>
                      <w:sz w:val="18"/>
                      <w:szCs w:val="18"/>
                      <w:vertAlign w:val="baseline"/>
                      <w:lang w:val="en-US" w:eastAsia="zh-CN" w:bidi="ar-SA"/>
                    </w:rPr>
                    <w:t>大同市开发区南环东路樊庄家园小区西侧0.18km处</w:t>
                  </w:r>
                  <w:r>
                    <w:rPr>
                      <w:color w:val="auto"/>
                      <w:kern w:val="0"/>
                      <w:sz w:val="18"/>
                      <w:szCs w:val="18"/>
                    </w:rPr>
                    <w:t>，占地属于</w:t>
                  </w:r>
                  <w:r>
                    <w:rPr>
                      <w:rFonts w:hint="eastAsia"/>
                      <w:color w:val="auto"/>
                      <w:kern w:val="0"/>
                      <w:sz w:val="18"/>
                      <w:szCs w:val="18"/>
                      <w:lang w:val="en-US" w:eastAsia="zh-CN"/>
                    </w:rPr>
                    <w:t>重点</w:t>
                  </w:r>
                  <w:r>
                    <w:rPr>
                      <w:color w:val="auto"/>
                      <w:kern w:val="0"/>
                      <w:sz w:val="18"/>
                      <w:szCs w:val="18"/>
                    </w:rPr>
                    <w:t>管控单元。本项目与大同市划定的生态环境分区管控单元位置关系见附图</w:t>
                  </w:r>
                  <w:r>
                    <w:rPr>
                      <w:rFonts w:hint="eastAsia"/>
                      <w:color w:val="auto"/>
                      <w:kern w:val="0"/>
                      <w:sz w:val="18"/>
                      <w:szCs w:val="18"/>
                    </w:rPr>
                    <w:t>4</w:t>
                  </w:r>
                  <w:r>
                    <w:rPr>
                      <w:color w:val="auto"/>
                      <w:kern w:val="0"/>
                      <w:sz w:val="18"/>
                      <w:szCs w:val="18"/>
                    </w:rPr>
                    <w:t>。</w:t>
                  </w:r>
                  <w:r>
                    <w:rPr>
                      <w:color w:val="auto"/>
                      <w:sz w:val="18"/>
                      <w:szCs w:val="18"/>
                    </w:rPr>
                    <w:t>本项目不属于依法禁止或限制的建设活动，不属于“两高”项目；本项目生产过程中使用</w:t>
                  </w:r>
                  <w:r>
                    <w:rPr>
                      <w:rFonts w:hint="eastAsia"/>
                      <w:color w:val="auto"/>
                      <w:sz w:val="18"/>
                      <w:szCs w:val="18"/>
                    </w:rPr>
                    <w:t>电</w:t>
                  </w:r>
                  <w:r>
                    <w:rPr>
                      <w:color w:val="auto"/>
                      <w:sz w:val="18"/>
                      <w:szCs w:val="18"/>
                    </w:rPr>
                    <w:t>，同时项目采取相应的环保措施，保证废水、废气、噪声、固体废物合理处置，不会对环境造成大的影响。</w:t>
                  </w:r>
                </w:p>
              </w:tc>
              <w:tc>
                <w:tcPr>
                  <w:tcW w:w="480" w:type="pct"/>
                  <w:vAlign w:val="center"/>
                </w:tcPr>
                <w:p w14:paraId="278A2C39">
                  <w:pPr>
                    <w:widowControl/>
                    <w:spacing w:line="240" w:lineRule="exact"/>
                    <w:jc w:val="center"/>
                    <w:rPr>
                      <w:color w:val="auto"/>
                      <w:kern w:val="0"/>
                      <w:sz w:val="18"/>
                      <w:szCs w:val="18"/>
                    </w:rPr>
                  </w:pPr>
                  <w:r>
                    <w:rPr>
                      <w:color w:val="auto"/>
                      <w:kern w:val="0"/>
                      <w:sz w:val="18"/>
                      <w:szCs w:val="18"/>
                    </w:rPr>
                    <w:t>符合生态环境划定</w:t>
                  </w:r>
                  <w:r>
                    <w:rPr>
                      <w:rFonts w:hint="eastAsia"/>
                      <w:color w:val="auto"/>
                      <w:kern w:val="0"/>
                      <w:sz w:val="18"/>
                      <w:szCs w:val="18"/>
                      <w:lang w:val="en-US" w:eastAsia="zh-CN"/>
                    </w:rPr>
                    <w:t>重点</w:t>
                  </w:r>
                  <w:r>
                    <w:rPr>
                      <w:color w:val="auto"/>
                      <w:kern w:val="0"/>
                      <w:sz w:val="18"/>
                      <w:szCs w:val="18"/>
                    </w:rPr>
                    <w:t>管控要求</w:t>
                  </w:r>
                </w:p>
              </w:tc>
            </w:tr>
          </w:tbl>
          <w:p w14:paraId="57B51E79">
            <w:pPr>
              <w:spacing w:line="360" w:lineRule="auto"/>
              <w:ind w:firstLine="420" w:firstLineChars="200"/>
              <w:rPr>
                <w:rFonts w:hint="eastAsia"/>
                <w:color w:val="auto"/>
                <w:szCs w:val="21"/>
                <w:lang w:val="en-US" w:eastAsia="zh-CN"/>
              </w:rPr>
            </w:pPr>
            <w:r>
              <w:rPr>
                <w:rFonts w:hint="eastAsia"/>
                <w:color w:val="auto"/>
                <w:szCs w:val="21"/>
                <w:lang w:val="en-US" w:eastAsia="zh-CN"/>
              </w:rPr>
              <w:t>本项目占地属于大同市生态环境管控单元中的重点管控单元，项目的建设符合重点管控要求。</w:t>
            </w:r>
            <w:r>
              <w:rPr>
                <w:color w:val="auto"/>
                <w:szCs w:val="21"/>
              </w:rPr>
              <w:t>本项目选址不在重点生态功能区、生态环境敏感区和脆弱区、禁止开发区等生态保护红线划定保护区域内，不违背生态保护红线保护要求。</w:t>
            </w:r>
            <w:r>
              <w:rPr>
                <w:rFonts w:hint="eastAsia"/>
                <w:color w:val="auto"/>
                <w:szCs w:val="21"/>
                <w:lang w:val="en-US" w:eastAsia="zh-CN"/>
              </w:rPr>
              <w:t>项目占地</w:t>
            </w:r>
            <w:r>
              <w:rPr>
                <w:rFonts w:hint="eastAsia"/>
                <w:color w:val="auto"/>
                <w:szCs w:val="21"/>
              </w:rPr>
              <w:t>属于</w:t>
            </w:r>
            <w:r>
              <w:rPr>
                <w:rFonts w:hint="eastAsia"/>
                <w:color w:val="auto"/>
                <w:szCs w:val="21"/>
                <w:lang w:val="en-US" w:eastAsia="zh-CN"/>
              </w:rPr>
              <w:t>城镇开发边界范围内，符合</w:t>
            </w:r>
            <w:r>
              <w:rPr>
                <w:rFonts w:hint="eastAsia"/>
                <w:color w:val="auto"/>
                <w:szCs w:val="21"/>
              </w:rPr>
              <w:t>《大同市国土空间总体规划2021-2035年》</w:t>
            </w:r>
            <w:r>
              <w:rPr>
                <w:rFonts w:hint="eastAsia"/>
                <w:color w:val="auto"/>
                <w:szCs w:val="21"/>
                <w:lang w:val="en-US" w:eastAsia="zh-CN"/>
              </w:rPr>
              <w:t>相关要求。</w:t>
            </w:r>
          </w:p>
          <w:p w14:paraId="4182E25B">
            <w:pPr>
              <w:spacing w:line="360" w:lineRule="auto"/>
              <w:ind w:firstLine="420" w:firstLineChars="200"/>
              <w:rPr>
                <w:color w:val="auto"/>
                <w:szCs w:val="21"/>
              </w:rPr>
            </w:pPr>
            <w:r>
              <w:rPr>
                <w:color w:val="auto"/>
                <w:szCs w:val="21"/>
              </w:rPr>
              <w:t>（2）与环境质量底线的符合性分析</w:t>
            </w:r>
          </w:p>
          <w:p w14:paraId="58FAFD53">
            <w:pPr>
              <w:spacing w:line="360" w:lineRule="auto"/>
              <w:ind w:firstLine="420" w:firstLineChars="200"/>
              <w:rPr>
                <w:rFonts w:hint="default" w:eastAsia="宋体"/>
                <w:color w:val="auto"/>
                <w:szCs w:val="21"/>
                <w:lang w:val="en-US" w:eastAsia="zh-CN"/>
              </w:rPr>
            </w:pPr>
            <w:r>
              <w:rPr>
                <w:rFonts w:hAnsi="宋体"/>
                <w:color w:val="auto"/>
                <w:szCs w:val="21"/>
              </w:rPr>
              <w:t>①</w:t>
            </w:r>
            <w:r>
              <w:rPr>
                <w:color w:val="auto"/>
                <w:szCs w:val="21"/>
              </w:rPr>
              <w:t>根据大同市202</w:t>
            </w:r>
            <w:r>
              <w:rPr>
                <w:rFonts w:hint="eastAsia"/>
                <w:color w:val="auto"/>
                <w:szCs w:val="21"/>
                <w:lang w:val="en-US" w:eastAsia="zh-CN"/>
              </w:rPr>
              <w:t>3</w:t>
            </w:r>
            <w:r>
              <w:rPr>
                <w:color w:val="auto"/>
                <w:szCs w:val="21"/>
              </w:rPr>
              <w:t>年公布的环境空气质量状况中的数据显示，区域环境空气质量中污染物</w:t>
            </w:r>
            <w:r>
              <w:rPr>
                <w:rFonts w:hint="eastAsia"/>
                <w:color w:val="auto"/>
                <w:szCs w:val="21"/>
                <w:lang w:val="zh-CN"/>
              </w:rPr>
              <w:t>均未超标</w:t>
            </w:r>
            <w:r>
              <w:rPr>
                <w:color w:val="auto"/>
                <w:szCs w:val="21"/>
                <w:lang w:val="zh-CN"/>
              </w:rPr>
              <w:t>，</w:t>
            </w:r>
            <w:r>
              <w:rPr>
                <w:color w:val="auto"/>
                <w:szCs w:val="21"/>
              </w:rPr>
              <w:t>区域属达标区。</w:t>
            </w:r>
            <w:r>
              <w:rPr>
                <w:rFonts w:hint="eastAsia"/>
                <w:color w:val="auto"/>
                <w:szCs w:val="21"/>
                <w:lang w:val="en-US" w:eastAsia="zh-CN"/>
              </w:rPr>
              <w:t>根据引用监测数据显示，本项目所在区域未受到特征污染物氨、硫化氢的影响。</w:t>
            </w:r>
          </w:p>
          <w:p w14:paraId="77D42448">
            <w:pPr>
              <w:spacing w:line="360" w:lineRule="auto"/>
              <w:ind w:firstLine="420" w:firstLineChars="200"/>
              <w:rPr>
                <w:color w:val="auto"/>
                <w:szCs w:val="21"/>
              </w:rPr>
            </w:pPr>
            <w:r>
              <w:rPr>
                <w:rFonts w:hAnsi="宋体"/>
                <w:color w:val="auto"/>
                <w:szCs w:val="21"/>
              </w:rPr>
              <w:t>②</w:t>
            </w:r>
            <w:r>
              <w:rPr>
                <w:color w:val="auto"/>
                <w:szCs w:val="21"/>
              </w:rPr>
              <w:t>本项目运营期</w:t>
            </w:r>
            <w:r>
              <w:rPr>
                <w:rFonts w:hint="eastAsia"/>
                <w:color w:val="auto"/>
                <w:szCs w:val="21"/>
                <w:highlight w:val="none"/>
                <w:lang w:val="en-US" w:eastAsia="zh-CN"/>
              </w:rPr>
              <w:t>废水经自建污水处理站处理达标后通入园区污水管网，最终进入大同市经济开发区污水处理厂</w:t>
            </w:r>
            <w:r>
              <w:rPr>
                <w:rFonts w:hint="eastAsia"/>
                <w:color w:val="auto"/>
                <w:szCs w:val="21"/>
                <w:lang w:val="en-US" w:eastAsia="zh-CN"/>
              </w:rPr>
              <w:t>，</w:t>
            </w:r>
            <w:r>
              <w:rPr>
                <w:color w:val="auto"/>
                <w:szCs w:val="21"/>
              </w:rPr>
              <w:t>对地表水环境影响</w:t>
            </w:r>
            <w:r>
              <w:rPr>
                <w:rFonts w:hint="eastAsia"/>
                <w:color w:val="auto"/>
                <w:szCs w:val="21"/>
                <w:lang w:val="en-US" w:eastAsia="zh-CN"/>
              </w:rPr>
              <w:t>较小</w:t>
            </w:r>
            <w:r>
              <w:rPr>
                <w:color w:val="auto"/>
                <w:szCs w:val="21"/>
              </w:rPr>
              <w:t>。</w:t>
            </w:r>
          </w:p>
          <w:p w14:paraId="24D660D7">
            <w:pPr>
              <w:spacing w:line="360" w:lineRule="auto"/>
              <w:ind w:firstLine="420" w:firstLineChars="200"/>
              <w:rPr>
                <w:color w:val="auto"/>
                <w:szCs w:val="21"/>
              </w:rPr>
            </w:pPr>
            <w:r>
              <w:rPr>
                <w:rFonts w:hint="eastAsia"/>
                <w:color w:val="auto"/>
                <w:szCs w:val="21"/>
              </w:rPr>
              <w:t>③</w:t>
            </w:r>
            <w:r>
              <w:rPr>
                <w:color w:val="auto"/>
                <w:szCs w:val="21"/>
              </w:rPr>
              <w:t>本项目运营期各设备均设置于室内，经墙壁及</w:t>
            </w:r>
            <w:r>
              <w:rPr>
                <w:rFonts w:hint="eastAsia"/>
                <w:color w:val="auto"/>
                <w:szCs w:val="21"/>
                <w:lang w:val="en-US" w:eastAsia="zh-CN"/>
              </w:rPr>
              <w:t>院</w:t>
            </w:r>
            <w:r>
              <w:rPr>
                <w:color w:val="auto"/>
                <w:szCs w:val="21"/>
              </w:rPr>
              <w:t>区绿化衰减后，运营期声环境影响较小，对周围声环境影响不大。</w:t>
            </w:r>
          </w:p>
          <w:p w14:paraId="58AF44BD">
            <w:pPr>
              <w:spacing w:line="360" w:lineRule="auto"/>
              <w:ind w:firstLine="420" w:firstLineChars="200"/>
              <w:rPr>
                <w:color w:val="auto"/>
                <w:szCs w:val="21"/>
              </w:rPr>
            </w:pPr>
            <w:r>
              <w:rPr>
                <w:color w:val="auto"/>
                <w:szCs w:val="21"/>
              </w:rPr>
              <w:t>本工程为</w:t>
            </w:r>
            <w:r>
              <w:rPr>
                <w:rFonts w:hint="eastAsia"/>
                <w:color w:val="auto"/>
                <w:szCs w:val="21"/>
                <w:lang w:val="en-US" w:eastAsia="zh-CN"/>
              </w:rPr>
              <w:t>疗养院</w:t>
            </w:r>
            <w:r>
              <w:rPr>
                <w:color w:val="auto"/>
                <w:szCs w:val="21"/>
              </w:rPr>
              <w:t>类项目。根据工程分析可知，本项目不使用煤炭、重油等高能耗高污染类能源</w:t>
            </w:r>
            <w:r>
              <w:rPr>
                <w:rFonts w:hint="eastAsia"/>
                <w:color w:val="auto"/>
                <w:szCs w:val="21"/>
              </w:rPr>
              <w:t>。项目营运期采取环评提出的措施后，废气可达标排放；项目营运期</w:t>
            </w:r>
            <w:r>
              <w:rPr>
                <w:color w:val="auto"/>
                <w:szCs w:val="21"/>
              </w:rPr>
              <w:t>废水经</w:t>
            </w:r>
            <w:r>
              <w:rPr>
                <w:rFonts w:hint="eastAsia"/>
                <w:color w:val="auto"/>
                <w:szCs w:val="21"/>
                <w:lang w:val="en-US" w:eastAsia="zh-CN"/>
              </w:rPr>
              <w:t>自建污水处理站处理达标后进入园区污水管网系统</w:t>
            </w:r>
            <w:r>
              <w:rPr>
                <w:rFonts w:hint="eastAsia"/>
                <w:color w:val="auto"/>
                <w:szCs w:val="21"/>
              </w:rPr>
              <w:t>；项目营运期采取隔声、减振、加强绿化等措施，厂界噪声可达标排放；固体废物</w:t>
            </w:r>
            <w:r>
              <w:rPr>
                <w:rFonts w:hint="eastAsia"/>
                <w:color w:val="auto"/>
                <w:szCs w:val="21"/>
                <w:lang w:val="en-US" w:eastAsia="zh-CN"/>
              </w:rPr>
              <w:t>合理处置，医疗废物妥善贮存并定期委托有资质单位清运处置</w:t>
            </w:r>
            <w:r>
              <w:rPr>
                <w:rFonts w:hint="eastAsia"/>
                <w:color w:val="auto"/>
                <w:szCs w:val="21"/>
              </w:rPr>
              <w:t>，均</w:t>
            </w:r>
            <w:r>
              <w:rPr>
                <w:rFonts w:hint="eastAsia"/>
                <w:color w:val="auto"/>
                <w:szCs w:val="21"/>
                <w:lang w:val="en-US" w:eastAsia="zh-CN"/>
              </w:rPr>
              <w:t>得到</w:t>
            </w:r>
            <w:r>
              <w:rPr>
                <w:rFonts w:hint="eastAsia"/>
                <w:color w:val="auto"/>
                <w:szCs w:val="21"/>
              </w:rPr>
              <w:t>合理处置。</w:t>
            </w:r>
          </w:p>
          <w:p w14:paraId="735765B2">
            <w:pPr>
              <w:spacing w:line="360" w:lineRule="auto"/>
              <w:ind w:firstLine="420" w:firstLineChars="200"/>
              <w:rPr>
                <w:color w:val="auto"/>
                <w:szCs w:val="21"/>
              </w:rPr>
            </w:pPr>
            <w:r>
              <w:rPr>
                <w:color w:val="auto"/>
                <w:szCs w:val="21"/>
              </w:rPr>
              <w:t>综上所述，本项目在认真贯彻执行国家环保法律、法规，严格落实环评规定的各项环保措施，加强环境管理的情况下，本项目建设不会改变区域环境质量功能，对区域环境质量影响很小，不违背环境质量底线要求。</w:t>
            </w:r>
          </w:p>
          <w:p w14:paraId="60102364">
            <w:pPr>
              <w:spacing w:line="360" w:lineRule="auto"/>
              <w:ind w:firstLine="420" w:firstLineChars="200"/>
              <w:rPr>
                <w:color w:val="auto"/>
                <w:szCs w:val="21"/>
              </w:rPr>
            </w:pPr>
            <w:r>
              <w:rPr>
                <w:color w:val="auto"/>
                <w:szCs w:val="21"/>
              </w:rPr>
              <w:t>（3）与资源利用上线的符合性分析</w:t>
            </w:r>
          </w:p>
          <w:p w14:paraId="7C4BD0F9">
            <w:pPr>
              <w:spacing w:line="360" w:lineRule="auto"/>
              <w:ind w:firstLine="420" w:firstLineChars="200"/>
              <w:rPr>
                <w:color w:val="auto"/>
                <w:szCs w:val="21"/>
              </w:rPr>
            </w:pPr>
            <w:r>
              <w:rPr>
                <w:color w:val="auto"/>
                <w:szCs w:val="21"/>
              </w:rPr>
              <w:t>根据</w:t>
            </w:r>
            <w:r>
              <w:rPr>
                <w:rFonts w:hint="eastAsia"/>
                <w:color w:val="auto"/>
                <w:szCs w:val="21"/>
                <w:lang w:val="en-US" w:eastAsia="zh-CN"/>
              </w:rPr>
              <w:t>大同市国土空间规划、</w:t>
            </w:r>
            <w:r>
              <w:rPr>
                <w:rFonts w:hint="eastAsia" w:ascii="Times New Roman" w:hAnsi="Times New Roman" w:eastAsia="宋体" w:cs="Times New Roman"/>
                <w:b w:val="0"/>
                <w:bCs w:val="0"/>
                <w:color w:val="auto"/>
                <w:szCs w:val="21"/>
                <w:lang w:val="en-US" w:eastAsia="zh-CN"/>
              </w:rPr>
              <w:t>现代服务产业园区</w:t>
            </w:r>
            <w:r>
              <w:rPr>
                <w:rFonts w:hint="eastAsia" w:cs="Times New Roman"/>
                <w:b w:val="0"/>
                <w:bCs w:val="0"/>
                <w:color w:val="auto"/>
                <w:szCs w:val="21"/>
                <w:lang w:val="en-US" w:eastAsia="zh-CN"/>
              </w:rPr>
              <w:t>土</w:t>
            </w:r>
            <w:r>
              <w:rPr>
                <w:rFonts w:hint="eastAsia"/>
                <w:color w:val="auto"/>
                <w:szCs w:val="21"/>
                <w:lang w:val="en-US" w:eastAsia="zh-CN"/>
              </w:rPr>
              <w:t>地规划等内容可知，</w:t>
            </w:r>
            <w:r>
              <w:rPr>
                <w:rFonts w:hint="eastAsia"/>
                <w:color w:val="auto"/>
                <w:szCs w:val="21"/>
              </w:rPr>
              <w:t>本项目</w:t>
            </w:r>
            <w:r>
              <w:rPr>
                <w:color w:val="auto"/>
                <w:szCs w:val="21"/>
              </w:rPr>
              <w:t>占地性质为</w:t>
            </w:r>
            <w:r>
              <w:rPr>
                <w:rFonts w:hint="eastAsia"/>
                <w:color w:val="auto"/>
                <w:szCs w:val="21"/>
                <w:lang w:val="en-US" w:eastAsia="zh-CN"/>
              </w:rPr>
              <w:t>医疗卫生</w:t>
            </w:r>
            <w:r>
              <w:rPr>
                <w:color w:val="auto"/>
                <w:szCs w:val="21"/>
              </w:rPr>
              <w:t>用地。不涉及耕地、林地等，不新增占地及其他临时占地；项目生产过程使用少量水资源。经工程分析可知，项目采用先进设备及工艺，不违背资源利用上线要求。</w:t>
            </w:r>
          </w:p>
          <w:p w14:paraId="3F684F42">
            <w:pPr>
              <w:spacing w:line="360" w:lineRule="auto"/>
              <w:ind w:firstLine="420" w:firstLineChars="200"/>
              <w:rPr>
                <w:color w:val="auto"/>
                <w:szCs w:val="21"/>
              </w:rPr>
            </w:pPr>
            <w:r>
              <w:rPr>
                <w:color w:val="auto"/>
                <w:szCs w:val="21"/>
              </w:rPr>
              <w:t>（4）与环境准入负面清单的符合性分析</w:t>
            </w:r>
          </w:p>
          <w:p w14:paraId="2E92471F">
            <w:pPr>
              <w:spacing w:line="360" w:lineRule="auto"/>
              <w:ind w:firstLine="420" w:firstLineChars="200"/>
              <w:rPr>
                <w:color w:val="auto"/>
                <w:szCs w:val="21"/>
              </w:rPr>
            </w:pPr>
            <w:r>
              <w:rPr>
                <w:color w:val="auto"/>
                <w:szCs w:val="21"/>
              </w:rPr>
              <w:t>环境准入负面清单是基于生态保护红线、环境质量底线和资源利用上线，以保护清单的方式列出的禁止、限制等差别化环境准入条件和要求。</w:t>
            </w:r>
          </w:p>
          <w:p w14:paraId="354E0413">
            <w:pPr>
              <w:spacing w:line="360" w:lineRule="auto"/>
              <w:ind w:firstLine="420" w:firstLineChars="200"/>
              <w:rPr>
                <w:rFonts w:hint="default"/>
                <w:color w:val="auto"/>
                <w:szCs w:val="21"/>
                <w:lang w:val="en-US" w:eastAsia="zh-CN"/>
              </w:rPr>
            </w:pPr>
            <w:r>
              <w:rPr>
                <w:color w:val="auto"/>
                <w:szCs w:val="21"/>
              </w:rPr>
              <w:t>据调查，项目占地</w:t>
            </w:r>
            <w:r>
              <w:rPr>
                <w:rFonts w:hint="eastAsia"/>
                <w:color w:val="auto"/>
                <w:szCs w:val="21"/>
                <w:lang w:val="en-US" w:eastAsia="zh-CN"/>
              </w:rPr>
              <w:t>属于现代服务产业园区范围内，根据表1-3分析内容可知，本项目不属于园区禁止或限制类行业。</w:t>
            </w:r>
          </w:p>
          <w:p w14:paraId="4A60676D">
            <w:pPr>
              <w:spacing w:line="360" w:lineRule="auto"/>
              <w:ind w:firstLine="420" w:firstLineChars="200"/>
              <w:rPr>
                <w:color w:val="auto"/>
                <w:szCs w:val="21"/>
              </w:rPr>
            </w:pPr>
            <w:r>
              <w:rPr>
                <w:color w:val="auto"/>
                <w:szCs w:val="21"/>
              </w:rPr>
              <w:t>根据《产业结构调整指导目录（20</w:t>
            </w:r>
            <w:r>
              <w:rPr>
                <w:rFonts w:hint="eastAsia"/>
                <w:color w:val="auto"/>
                <w:szCs w:val="21"/>
                <w:lang w:val="en-US" w:eastAsia="zh-CN"/>
              </w:rPr>
              <w:t>24</w:t>
            </w:r>
            <w:r>
              <w:rPr>
                <w:color w:val="auto"/>
                <w:szCs w:val="21"/>
              </w:rPr>
              <w:t>年本）》，本项目属于</w:t>
            </w:r>
            <w:r>
              <w:rPr>
                <w:rFonts w:hint="eastAsia"/>
                <w:color w:val="auto"/>
                <w:szCs w:val="21"/>
                <w:lang w:val="en-US" w:eastAsia="zh-CN"/>
              </w:rPr>
              <w:t>的“三十七、卫生健康”中的“</w:t>
            </w:r>
            <w:r>
              <w:rPr>
                <w:rFonts w:hint="default"/>
                <w:color w:val="auto"/>
                <w:szCs w:val="21"/>
                <w:lang w:val="en-US" w:eastAsia="zh-CN"/>
              </w:rPr>
              <w:t>1.</w:t>
            </w:r>
            <w:r>
              <w:rPr>
                <w:rFonts w:hint="eastAsia"/>
                <w:color w:val="auto"/>
                <w:szCs w:val="21"/>
                <w:lang w:val="en-US" w:eastAsia="zh-CN"/>
              </w:rPr>
              <w:t>医疗服务设施建设”，属于鼓励类项目，符合产业政策</w:t>
            </w:r>
            <w:r>
              <w:rPr>
                <w:color w:val="auto"/>
                <w:szCs w:val="21"/>
              </w:rPr>
              <w:t>。</w:t>
            </w:r>
          </w:p>
          <w:p w14:paraId="025A356E">
            <w:pPr>
              <w:pStyle w:val="136"/>
              <w:spacing w:line="240" w:lineRule="exact"/>
              <w:ind w:firstLine="0" w:firstLineChars="0"/>
              <w:jc w:val="center"/>
              <w:rPr>
                <w:b/>
                <w:bCs/>
                <w:color w:val="auto"/>
                <w:sz w:val="18"/>
                <w:szCs w:val="18"/>
              </w:rPr>
            </w:pPr>
            <w:r>
              <w:rPr>
                <w:b/>
                <w:bCs/>
                <w:color w:val="auto"/>
                <w:sz w:val="18"/>
                <w:szCs w:val="18"/>
              </w:rPr>
              <w:t>表1-</w:t>
            </w:r>
            <w:r>
              <w:rPr>
                <w:rFonts w:hint="eastAsia"/>
                <w:b/>
                <w:bCs/>
                <w:color w:val="auto"/>
                <w:sz w:val="18"/>
                <w:szCs w:val="18"/>
                <w:lang w:val="en-US" w:eastAsia="zh-CN"/>
              </w:rPr>
              <w:t>6</w:t>
            </w:r>
            <w:r>
              <w:rPr>
                <w:b/>
                <w:bCs/>
                <w:color w:val="auto"/>
                <w:sz w:val="18"/>
                <w:szCs w:val="18"/>
              </w:rPr>
              <w:t xml:space="preserve">  与大同市人民政府关于实施“三线一单”生态环境分区管控总体准入清单</w:t>
            </w:r>
          </w:p>
          <w:p w14:paraId="3E54E203">
            <w:pPr>
              <w:pStyle w:val="136"/>
              <w:spacing w:line="240" w:lineRule="exact"/>
              <w:ind w:firstLine="0" w:firstLineChars="0"/>
              <w:jc w:val="center"/>
              <w:rPr>
                <w:b/>
                <w:bCs/>
                <w:color w:val="auto"/>
                <w:sz w:val="18"/>
                <w:szCs w:val="18"/>
              </w:rPr>
            </w:pPr>
            <w:r>
              <w:rPr>
                <w:b/>
                <w:bCs/>
                <w:color w:val="auto"/>
                <w:sz w:val="18"/>
                <w:szCs w:val="18"/>
              </w:rPr>
              <w:t>符合性分析表</w:t>
            </w:r>
          </w:p>
          <w:tbl>
            <w:tblPr>
              <w:tblStyle w:val="47"/>
              <w:tblW w:w="4998"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975"/>
              <w:gridCol w:w="3828"/>
              <w:gridCol w:w="2159"/>
            </w:tblGrid>
            <w:tr w14:paraId="634C5E8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00" w:type="pct"/>
                  <w:vAlign w:val="center"/>
                </w:tcPr>
                <w:p w14:paraId="58E8A4A9">
                  <w:pPr>
                    <w:autoSpaceDE w:val="0"/>
                    <w:autoSpaceDN w:val="0"/>
                    <w:adjustRightInd w:val="0"/>
                    <w:snapToGrid w:val="0"/>
                    <w:jc w:val="center"/>
                    <w:rPr>
                      <w:color w:val="auto"/>
                      <w:kern w:val="0"/>
                      <w:sz w:val="18"/>
                      <w:szCs w:val="18"/>
                    </w:rPr>
                  </w:pPr>
                  <w:r>
                    <w:rPr>
                      <w:color w:val="auto"/>
                      <w:kern w:val="0"/>
                      <w:sz w:val="18"/>
                      <w:szCs w:val="18"/>
                    </w:rPr>
                    <w:t>管控</w:t>
                  </w:r>
                </w:p>
                <w:p w14:paraId="0C765BBC">
                  <w:pPr>
                    <w:autoSpaceDE w:val="0"/>
                    <w:autoSpaceDN w:val="0"/>
                    <w:adjustRightInd w:val="0"/>
                    <w:snapToGrid w:val="0"/>
                    <w:jc w:val="center"/>
                    <w:rPr>
                      <w:color w:val="auto"/>
                      <w:kern w:val="0"/>
                      <w:sz w:val="18"/>
                      <w:szCs w:val="18"/>
                    </w:rPr>
                  </w:pPr>
                  <w:r>
                    <w:rPr>
                      <w:color w:val="auto"/>
                      <w:kern w:val="0"/>
                      <w:sz w:val="18"/>
                      <w:szCs w:val="18"/>
                    </w:rPr>
                    <w:t>维度</w:t>
                  </w:r>
                </w:p>
              </w:tc>
              <w:tc>
                <w:tcPr>
                  <w:tcW w:w="2748" w:type="pct"/>
                  <w:vAlign w:val="center"/>
                </w:tcPr>
                <w:p w14:paraId="2B8BC735">
                  <w:pPr>
                    <w:autoSpaceDE w:val="0"/>
                    <w:autoSpaceDN w:val="0"/>
                    <w:adjustRightInd w:val="0"/>
                    <w:snapToGrid w:val="0"/>
                    <w:jc w:val="center"/>
                    <w:rPr>
                      <w:color w:val="auto"/>
                      <w:kern w:val="0"/>
                      <w:sz w:val="18"/>
                      <w:szCs w:val="18"/>
                    </w:rPr>
                  </w:pPr>
                  <w:r>
                    <w:rPr>
                      <w:color w:val="auto"/>
                      <w:kern w:val="0"/>
                      <w:sz w:val="18"/>
                      <w:szCs w:val="18"/>
                    </w:rPr>
                    <w:t>管控要求</w:t>
                  </w:r>
                </w:p>
              </w:tc>
              <w:tc>
                <w:tcPr>
                  <w:tcW w:w="1550" w:type="pct"/>
                  <w:vAlign w:val="center"/>
                </w:tcPr>
                <w:p w14:paraId="6293DA2F">
                  <w:pPr>
                    <w:autoSpaceDE w:val="0"/>
                    <w:autoSpaceDN w:val="0"/>
                    <w:adjustRightInd w:val="0"/>
                    <w:snapToGrid w:val="0"/>
                    <w:jc w:val="center"/>
                    <w:rPr>
                      <w:color w:val="auto"/>
                      <w:kern w:val="0"/>
                      <w:sz w:val="18"/>
                      <w:szCs w:val="18"/>
                    </w:rPr>
                  </w:pPr>
                  <w:r>
                    <w:rPr>
                      <w:color w:val="auto"/>
                      <w:kern w:val="0"/>
                      <w:sz w:val="18"/>
                      <w:szCs w:val="18"/>
                    </w:rPr>
                    <w:t>本项目情况</w:t>
                  </w:r>
                </w:p>
              </w:tc>
            </w:tr>
            <w:tr w14:paraId="3E29D4B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00" w:type="pct"/>
                  <w:vMerge w:val="restart"/>
                  <w:vAlign w:val="center"/>
                </w:tcPr>
                <w:p w14:paraId="57561CFC">
                  <w:pPr>
                    <w:autoSpaceDE w:val="0"/>
                    <w:autoSpaceDN w:val="0"/>
                    <w:adjustRightInd w:val="0"/>
                    <w:snapToGrid w:val="0"/>
                    <w:jc w:val="center"/>
                    <w:rPr>
                      <w:color w:val="auto"/>
                      <w:kern w:val="0"/>
                      <w:sz w:val="18"/>
                      <w:szCs w:val="18"/>
                    </w:rPr>
                  </w:pPr>
                  <w:r>
                    <w:rPr>
                      <w:color w:val="auto"/>
                      <w:sz w:val="18"/>
                      <w:szCs w:val="18"/>
                    </w:rPr>
                    <w:t>空间布局约束</w:t>
                  </w:r>
                </w:p>
              </w:tc>
              <w:tc>
                <w:tcPr>
                  <w:tcW w:w="2748" w:type="pct"/>
                  <w:vAlign w:val="center"/>
                </w:tcPr>
                <w:p w14:paraId="32A96BBB">
                  <w:pPr>
                    <w:autoSpaceDE w:val="0"/>
                    <w:autoSpaceDN w:val="0"/>
                    <w:adjustRightInd w:val="0"/>
                    <w:snapToGrid w:val="0"/>
                    <w:rPr>
                      <w:color w:val="auto"/>
                      <w:sz w:val="18"/>
                      <w:szCs w:val="18"/>
                    </w:rPr>
                  </w:pPr>
                  <w:r>
                    <w:rPr>
                      <w:color w:val="auto"/>
                      <w:sz w:val="18"/>
                      <w:szCs w:val="18"/>
                    </w:rPr>
                    <w:t>1.新建、改建、扩建“两高”项目须符合生态环境保护法律法规和相关法定规划，满足重点污染物排放总量控制、碳排放达峰目标、相关规划环评和相应行业建设项目环境准入条件、环评文件审批原则要求。</w:t>
                  </w:r>
                </w:p>
                <w:p w14:paraId="01931F0C">
                  <w:pPr>
                    <w:autoSpaceDE w:val="0"/>
                    <w:autoSpaceDN w:val="0"/>
                    <w:adjustRightInd w:val="0"/>
                    <w:snapToGrid w:val="0"/>
                    <w:rPr>
                      <w:color w:val="auto"/>
                      <w:kern w:val="0"/>
                      <w:sz w:val="18"/>
                      <w:szCs w:val="18"/>
                    </w:rPr>
                  </w:pPr>
                  <w:r>
                    <w:rPr>
                      <w:color w:val="auto"/>
                      <w:sz w:val="18"/>
                      <w:szCs w:val="18"/>
                    </w:rPr>
                    <w:t>法规前提下，除国家重大战略项目外，仅允许对生态功能不造成破坏的有限人为活动。</w:t>
                  </w:r>
                </w:p>
              </w:tc>
              <w:tc>
                <w:tcPr>
                  <w:tcW w:w="1550" w:type="pct"/>
                  <w:vAlign w:val="center"/>
                </w:tcPr>
                <w:p w14:paraId="0C2D7D43">
                  <w:pPr>
                    <w:autoSpaceDE w:val="0"/>
                    <w:autoSpaceDN w:val="0"/>
                    <w:adjustRightInd w:val="0"/>
                    <w:snapToGrid w:val="0"/>
                    <w:jc w:val="center"/>
                    <w:rPr>
                      <w:color w:val="auto"/>
                      <w:kern w:val="0"/>
                      <w:sz w:val="18"/>
                      <w:szCs w:val="18"/>
                    </w:rPr>
                  </w:pPr>
                  <w:r>
                    <w:rPr>
                      <w:color w:val="auto"/>
                      <w:kern w:val="0"/>
                      <w:sz w:val="18"/>
                      <w:szCs w:val="18"/>
                    </w:rPr>
                    <w:t>本项目不属于“两高”项目</w:t>
                  </w:r>
                </w:p>
              </w:tc>
            </w:tr>
            <w:tr w14:paraId="54F809A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00" w:type="pct"/>
                  <w:vMerge w:val="continue"/>
                  <w:vAlign w:val="center"/>
                </w:tcPr>
                <w:p w14:paraId="70A67CAE">
                  <w:pPr>
                    <w:autoSpaceDE w:val="0"/>
                    <w:autoSpaceDN w:val="0"/>
                    <w:adjustRightInd w:val="0"/>
                    <w:snapToGrid w:val="0"/>
                    <w:jc w:val="center"/>
                    <w:rPr>
                      <w:color w:val="auto"/>
                      <w:sz w:val="18"/>
                      <w:szCs w:val="18"/>
                    </w:rPr>
                  </w:pPr>
                </w:p>
              </w:tc>
              <w:tc>
                <w:tcPr>
                  <w:tcW w:w="2748" w:type="pct"/>
                  <w:vAlign w:val="center"/>
                </w:tcPr>
                <w:p w14:paraId="595DA18C">
                  <w:pPr>
                    <w:autoSpaceDE w:val="0"/>
                    <w:autoSpaceDN w:val="0"/>
                    <w:adjustRightInd w:val="0"/>
                    <w:snapToGrid w:val="0"/>
                    <w:rPr>
                      <w:color w:val="auto"/>
                      <w:kern w:val="0"/>
                      <w:sz w:val="18"/>
                      <w:szCs w:val="18"/>
                    </w:rPr>
                  </w:pPr>
                  <w:r>
                    <w:rPr>
                      <w:color w:val="auto"/>
                      <w:kern w:val="0"/>
                      <w:sz w:val="18"/>
                      <w:szCs w:val="18"/>
                    </w:rPr>
                    <w:t>2.</w:t>
                  </w:r>
                  <w:r>
                    <w:rPr>
                      <w:color w:val="auto"/>
                      <w:sz w:val="18"/>
                      <w:szCs w:val="18"/>
                    </w:rPr>
                    <w:t>严格控制高碳、高耗能、高排放项目建设，市城市规划区、县城规划区不再布局包括产能置换项目在内的任何钢铁（不含短流程炼钢）、铸造（不含高端铸件）、水泥、有色项目，区域内现有产能只减不增。</w:t>
                  </w:r>
                </w:p>
              </w:tc>
              <w:tc>
                <w:tcPr>
                  <w:tcW w:w="1550" w:type="pct"/>
                  <w:vAlign w:val="center"/>
                </w:tcPr>
                <w:p w14:paraId="248BCA6A">
                  <w:pPr>
                    <w:autoSpaceDE w:val="0"/>
                    <w:autoSpaceDN w:val="0"/>
                    <w:adjustRightInd w:val="0"/>
                    <w:snapToGrid w:val="0"/>
                    <w:jc w:val="center"/>
                    <w:rPr>
                      <w:color w:val="auto"/>
                      <w:kern w:val="0"/>
                      <w:sz w:val="18"/>
                      <w:szCs w:val="18"/>
                    </w:rPr>
                  </w:pPr>
                  <w:r>
                    <w:rPr>
                      <w:color w:val="auto"/>
                      <w:kern w:val="0"/>
                      <w:sz w:val="18"/>
                      <w:szCs w:val="18"/>
                    </w:rPr>
                    <w:t>本项目不属于钢铁、铸造、水泥、有色项目</w:t>
                  </w:r>
                </w:p>
              </w:tc>
            </w:tr>
            <w:tr w14:paraId="52E0A21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00" w:type="pct"/>
                  <w:vMerge w:val="continue"/>
                  <w:vAlign w:val="center"/>
                </w:tcPr>
                <w:p w14:paraId="2766F401">
                  <w:pPr>
                    <w:autoSpaceDE w:val="0"/>
                    <w:autoSpaceDN w:val="0"/>
                    <w:adjustRightInd w:val="0"/>
                    <w:snapToGrid w:val="0"/>
                    <w:jc w:val="center"/>
                    <w:rPr>
                      <w:color w:val="auto"/>
                      <w:sz w:val="18"/>
                      <w:szCs w:val="18"/>
                    </w:rPr>
                  </w:pPr>
                </w:p>
              </w:tc>
              <w:tc>
                <w:tcPr>
                  <w:tcW w:w="2748" w:type="pct"/>
                  <w:vAlign w:val="center"/>
                </w:tcPr>
                <w:p w14:paraId="631077CB">
                  <w:pPr>
                    <w:autoSpaceDE w:val="0"/>
                    <w:autoSpaceDN w:val="0"/>
                    <w:adjustRightInd w:val="0"/>
                    <w:snapToGrid w:val="0"/>
                    <w:rPr>
                      <w:color w:val="auto"/>
                      <w:kern w:val="0"/>
                      <w:sz w:val="18"/>
                      <w:szCs w:val="18"/>
                    </w:rPr>
                  </w:pPr>
                  <w:r>
                    <w:rPr>
                      <w:color w:val="auto"/>
                      <w:sz w:val="18"/>
                      <w:szCs w:val="18"/>
                    </w:rPr>
                    <w:t>3.推进城市建成区及周边重污染企业搬迁退出，加快清理不符合城市功能定位的污染企业。</w:t>
                  </w:r>
                </w:p>
              </w:tc>
              <w:tc>
                <w:tcPr>
                  <w:tcW w:w="1550" w:type="pct"/>
                  <w:vAlign w:val="center"/>
                </w:tcPr>
                <w:p w14:paraId="6787F539">
                  <w:pPr>
                    <w:autoSpaceDE w:val="0"/>
                    <w:autoSpaceDN w:val="0"/>
                    <w:adjustRightInd w:val="0"/>
                    <w:snapToGrid w:val="0"/>
                    <w:jc w:val="center"/>
                    <w:rPr>
                      <w:color w:val="auto"/>
                      <w:kern w:val="0"/>
                      <w:sz w:val="18"/>
                      <w:szCs w:val="18"/>
                    </w:rPr>
                  </w:pPr>
                  <w:r>
                    <w:rPr>
                      <w:color w:val="auto"/>
                      <w:kern w:val="0"/>
                      <w:sz w:val="18"/>
                      <w:szCs w:val="18"/>
                    </w:rPr>
                    <w:t>本项目选址不在城市建成区</w:t>
                  </w:r>
                </w:p>
              </w:tc>
            </w:tr>
            <w:tr w14:paraId="0AE1997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00" w:type="pct"/>
                  <w:vMerge w:val="continue"/>
                  <w:vAlign w:val="center"/>
                </w:tcPr>
                <w:p w14:paraId="5246675B">
                  <w:pPr>
                    <w:autoSpaceDE w:val="0"/>
                    <w:autoSpaceDN w:val="0"/>
                    <w:adjustRightInd w:val="0"/>
                    <w:snapToGrid w:val="0"/>
                    <w:jc w:val="center"/>
                    <w:rPr>
                      <w:color w:val="auto"/>
                      <w:sz w:val="18"/>
                      <w:szCs w:val="18"/>
                    </w:rPr>
                  </w:pPr>
                </w:p>
              </w:tc>
              <w:tc>
                <w:tcPr>
                  <w:tcW w:w="2748" w:type="pct"/>
                  <w:vAlign w:val="center"/>
                </w:tcPr>
                <w:p w14:paraId="6FD5241A">
                  <w:pPr>
                    <w:autoSpaceDE w:val="0"/>
                    <w:autoSpaceDN w:val="0"/>
                    <w:adjustRightInd w:val="0"/>
                    <w:snapToGrid w:val="0"/>
                    <w:rPr>
                      <w:color w:val="auto"/>
                      <w:kern w:val="0"/>
                      <w:sz w:val="18"/>
                      <w:szCs w:val="18"/>
                    </w:rPr>
                  </w:pPr>
                  <w:r>
                    <w:rPr>
                      <w:color w:val="auto"/>
                      <w:sz w:val="18"/>
                      <w:szCs w:val="18"/>
                    </w:rPr>
                    <w:t>4.生态保护红线范围内原则上按照禁止开发区进行管理，严格禁止开发性、生产性建设活动，在符合现行法律</w:t>
                  </w:r>
                  <w:r>
                    <w:rPr>
                      <w:rFonts w:hint="eastAsia"/>
                      <w:color w:val="auto"/>
                      <w:sz w:val="18"/>
                      <w:szCs w:val="18"/>
                    </w:rPr>
                    <w:t>。</w:t>
                  </w:r>
                </w:p>
              </w:tc>
              <w:tc>
                <w:tcPr>
                  <w:tcW w:w="1550" w:type="pct"/>
                  <w:vAlign w:val="center"/>
                </w:tcPr>
                <w:p w14:paraId="76A450B9">
                  <w:pPr>
                    <w:autoSpaceDE w:val="0"/>
                    <w:autoSpaceDN w:val="0"/>
                    <w:adjustRightInd w:val="0"/>
                    <w:snapToGrid w:val="0"/>
                    <w:jc w:val="center"/>
                    <w:rPr>
                      <w:color w:val="auto"/>
                      <w:kern w:val="0"/>
                      <w:sz w:val="18"/>
                      <w:szCs w:val="18"/>
                    </w:rPr>
                  </w:pPr>
                  <w:r>
                    <w:rPr>
                      <w:color w:val="auto"/>
                      <w:kern w:val="0"/>
                      <w:sz w:val="18"/>
                      <w:szCs w:val="18"/>
                    </w:rPr>
                    <w:t>本项目为</w:t>
                  </w:r>
                  <w:r>
                    <w:rPr>
                      <w:rFonts w:hint="eastAsia"/>
                      <w:color w:val="auto"/>
                      <w:kern w:val="0"/>
                      <w:sz w:val="18"/>
                      <w:szCs w:val="18"/>
                      <w:lang w:val="en-US" w:eastAsia="zh-CN"/>
                    </w:rPr>
                    <w:t>重点</w:t>
                  </w:r>
                  <w:r>
                    <w:rPr>
                      <w:color w:val="auto"/>
                      <w:kern w:val="0"/>
                      <w:sz w:val="18"/>
                      <w:szCs w:val="18"/>
                    </w:rPr>
                    <w:t>管控单元，</w:t>
                  </w:r>
                  <w:r>
                    <w:rPr>
                      <w:rFonts w:hint="eastAsia"/>
                      <w:color w:val="auto"/>
                      <w:kern w:val="0"/>
                      <w:sz w:val="18"/>
                      <w:szCs w:val="18"/>
                    </w:rPr>
                    <w:t>厂址</w:t>
                  </w:r>
                  <w:r>
                    <w:rPr>
                      <w:color w:val="auto"/>
                      <w:kern w:val="0"/>
                      <w:sz w:val="18"/>
                      <w:szCs w:val="18"/>
                    </w:rPr>
                    <w:t>不在生态保护红线范围内</w:t>
                  </w:r>
                </w:p>
              </w:tc>
            </w:tr>
            <w:tr w14:paraId="4F389C4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00" w:type="pct"/>
                  <w:vMerge w:val="continue"/>
                  <w:vAlign w:val="center"/>
                </w:tcPr>
                <w:p w14:paraId="588259E5">
                  <w:pPr>
                    <w:autoSpaceDE w:val="0"/>
                    <w:autoSpaceDN w:val="0"/>
                    <w:adjustRightInd w:val="0"/>
                    <w:snapToGrid w:val="0"/>
                    <w:jc w:val="center"/>
                    <w:rPr>
                      <w:color w:val="auto"/>
                      <w:sz w:val="18"/>
                      <w:szCs w:val="18"/>
                    </w:rPr>
                  </w:pPr>
                </w:p>
              </w:tc>
              <w:tc>
                <w:tcPr>
                  <w:tcW w:w="2748" w:type="pct"/>
                  <w:vAlign w:val="center"/>
                </w:tcPr>
                <w:p w14:paraId="51953CC4">
                  <w:pPr>
                    <w:autoSpaceDE w:val="0"/>
                    <w:autoSpaceDN w:val="0"/>
                    <w:adjustRightInd w:val="0"/>
                    <w:snapToGrid w:val="0"/>
                    <w:rPr>
                      <w:color w:val="auto"/>
                      <w:kern w:val="0"/>
                      <w:sz w:val="18"/>
                      <w:szCs w:val="18"/>
                    </w:rPr>
                  </w:pPr>
                  <w:r>
                    <w:rPr>
                      <w:color w:val="auto"/>
                      <w:sz w:val="18"/>
                      <w:szCs w:val="18"/>
                    </w:rPr>
                    <w:t>5.坚持以水定城、以水定地、以水定人、以水定产，严格限制煤炭开采和加工、化工、纺织、造纸等高耗水和低效用水产业发展。持续推进城市产业布局优化和升级替代，加快推进工业企业“退城入园”。</w:t>
                  </w:r>
                </w:p>
              </w:tc>
              <w:tc>
                <w:tcPr>
                  <w:tcW w:w="1550" w:type="pct"/>
                  <w:vAlign w:val="center"/>
                </w:tcPr>
                <w:p w14:paraId="14A9EEF9">
                  <w:pPr>
                    <w:autoSpaceDE w:val="0"/>
                    <w:autoSpaceDN w:val="0"/>
                    <w:adjustRightInd w:val="0"/>
                    <w:snapToGrid w:val="0"/>
                    <w:jc w:val="center"/>
                    <w:rPr>
                      <w:color w:val="auto"/>
                      <w:kern w:val="0"/>
                      <w:sz w:val="18"/>
                      <w:szCs w:val="18"/>
                    </w:rPr>
                  </w:pPr>
                  <w:r>
                    <w:rPr>
                      <w:rFonts w:hint="eastAsia"/>
                      <w:color w:val="auto"/>
                      <w:kern w:val="0"/>
                      <w:sz w:val="18"/>
                      <w:szCs w:val="18"/>
                      <w:lang w:val="en-US" w:eastAsia="zh-CN"/>
                    </w:rPr>
                    <w:t>本项目不属于上述行业。</w:t>
                  </w:r>
                  <w:r>
                    <w:rPr>
                      <w:color w:val="auto"/>
                      <w:kern w:val="0"/>
                      <w:sz w:val="18"/>
                      <w:szCs w:val="18"/>
                    </w:rPr>
                    <w:t>项目</w:t>
                  </w:r>
                  <w:r>
                    <w:rPr>
                      <w:rFonts w:hint="eastAsia"/>
                      <w:color w:val="auto"/>
                      <w:kern w:val="0"/>
                      <w:sz w:val="18"/>
                      <w:szCs w:val="18"/>
                      <w:lang w:val="en-US" w:eastAsia="zh-CN"/>
                    </w:rPr>
                    <w:t>水源由园区自来水管道提供</w:t>
                  </w:r>
                  <w:r>
                    <w:rPr>
                      <w:color w:val="auto"/>
                      <w:kern w:val="0"/>
                      <w:sz w:val="18"/>
                      <w:szCs w:val="18"/>
                    </w:rPr>
                    <w:t>，不会对区域水资源造成影响</w:t>
                  </w:r>
                </w:p>
              </w:tc>
            </w:tr>
            <w:tr w14:paraId="653C037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00" w:type="pct"/>
                  <w:vMerge w:val="continue"/>
                  <w:vAlign w:val="center"/>
                </w:tcPr>
                <w:p w14:paraId="3770C92C">
                  <w:pPr>
                    <w:autoSpaceDE w:val="0"/>
                    <w:autoSpaceDN w:val="0"/>
                    <w:adjustRightInd w:val="0"/>
                    <w:snapToGrid w:val="0"/>
                    <w:jc w:val="center"/>
                    <w:rPr>
                      <w:color w:val="auto"/>
                      <w:sz w:val="18"/>
                      <w:szCs w:val="18"/>
                    </w:rPr>
                  </w:pPr>
                </w:p>
              </w:tc>
              <w:tc>
                <w:tcPr>
                  <w:tcW w:w="2748" w:type="pct"/>
                  <w:vAlign w:val="center"/>
                </w:tcPr>
                <w:p w14:paraId="18B65E8E">
                  <w:pPr>
                    <w:autoSpaceDE w:val="0"/>
                    <w:autoSpaceDN w:val="0"/>
                    <w:adjustRightInd w:val="0"/>
                    <w:snapToGrid w:val="0"/>
                    <w:rPr>
                      <w:color w:val="auto"/>
                      <w:kern w:val="0"/>
                      <w:sz w:val="18"/>
                      <w:szCs w:val="18"/>
                    </w:rPr>
                  </w:pPr>
                  <w:r>
                    <w:rPr>
                      <w:color w:val="auto"/>
                      <w:sz w:val="18"/>
                      <w:szCs w:val="18"/>
                    </w:rPr>
                    <w:t>6.认真落实畜禽养殖禁养区有关规定，禁养区内严禁审批畜禽养殖建设项目，依法关闭或搬迁禁养区内畜禽养殖场。</w:t>
                  </w:r>
                </w:p>
              </w:tc>
              <w:tc>
                <w:tcPr>
                  <w:tcW w:w="1550" w:type="pct"/>
                  <w:vAlign w:val="center"/>
                </w:tcPr>
                <w:p w14:paraId="669E01B9">
                  <w:pPr>
                    <w:autoSpaceDE w:val="0"/>
                    <w:autoSpaceDN w:val="0"/>
                    <w:adjustRightInd w:val="0"/>
                    <w:snapToGrid w:val="0"/>
                    <w:jc w:val="center"/>
                    <w:rPr>
                      <w:color w:val="auto"/>
                      <w:kern w:val="0"/>
                      <w:sz w:val="18"/>
                      <w:szCs w:val="18"/>
                    </w:rPr>
                  </w:pPr>
                  <w:r>
                    <w:rPr>
                      <w:color w:val="auto"/>
                      <w:kern w:val="0"/>
                      <w:sz w:val="18"/>
                      <w:szCs w:val="18"/>
                    </w:rPr>
                    <w:t>本项目不属于畜禽养殖行业</w:t>
                  </w:r>
                </w:p>
              </w:tc>
            </w:tr>
            <w:tr w14:paraId="37BC232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01" w:hRule="atLeast"/>
              </w:trPr>
              <w:tc>
                <w:tcPr>
                  <w:tcW w:w="700" w:type="pct"/>
                  <w:vMerge w:val="restart"/>
                  <w:vAlign w:val="center"/>
                </w:tcPr>
                <w:p w14:paraId="4F0A06FB">
                  <w:pPr>
                    <w:autoSpaceDE w:val="0"/>
                    <w:autoSpaceDN w:val="0"/>
                    <w:adjustRightInd w:val="0"/>
                    <w:snapToGrid w:val="0"/>
                    <w:jc w:val="center"/>
                    <w:rPr>
                      <w:color w:val="auto"/>
                      <w:sz w:val="18"/>
                      <w:szCs w:val="18"/>
                    </w:rPr>
                  </w:pPr>
                  <w:r>
                    <w:rPr>
                      <w:color w:val="auto"/>
                      <w:sz w:val="18"/>
                      <w:szCs w:val="18"/>
                    </w:rPr>
                    <w:t>污染物排放管控</w:t>
                  </w:r>
                </w:p>
              </w:tc>
              <w:tc>
                <w:tcPr>
                  <w:tcW w:w="2748" w:type="pct"/>
                  <w:vAlign w:val="center"/>
                </w:tcPr>
                <w:p w14:paraId="090CE916">
                  <w:pPr>
                    <w:autoSpaceDE w:val="0"/>
                    <w:autoSpaceDN w:val="0"/>
                    <w:adjustRightInd w:val="0"/>
                    <w:snapToGrid w:val="0"/>
                    <w:rPr>
                      <w:color w:val="auto"/>
                      <w:kern w:val="0"/>
                      <w:sz w:val="18"/>
                      <w:szCs w:val="18"/>
                    </w:rPr>
                  </w:pPr>
                  <w:r>
                    <w:rPr>
                      <w:color w:val="auto"/>
                      <w:sz w:val="18"/>
                      <w:szCs w:val="18"/>
                    </w:rPr>
                    <w:t>1.污染物排放总量严格落实“十四五”相关目标指标。</w:t>
                  </w:r>
                </w:p>
              </w:tc>
              <w:tc>
                <w:tcPr>
                  <w:tcW w:w="1550" w:type="pct"/>
                  <w:vAlign w:val="center"/>
                </w:tcPr>
                <w:p w14:paraId="6F4EF288">
                  <w:pPr>
                    <w:autoSpaceDE w:val="0"/>
                    <w:autoSpaceDN w:val="0"/>
                    <w:adjustRightInd w:val="0"/>
                    <w:snapToGrid w:val="0"/>
                    <w:jc w:val="center"/>
                    <w:rPr>
                      <w:rFonts w:hint="default"/>
                      <w:color w:val="auto"/>
                      <w:kern w:val="0"/>
                      <w:sz w:val="18"/>
                      <w:szCs w:val="18"/>
                      <w:lang w:val="en-US" w:eastAsia="zh-CN"/>
                    </w:rPr>
                  </w:pPr>
                  <w:r>
                    <w:rPr>
                      <w:rFonts w:hint="eastAsia"/>
                      <w:color w:val="auto"/>
                      <w:kern w:val="0"/>
                      <w:sz w:val="18"/>
                      <w:szCs w:val="18"/>
                      <w:lang w:val="en-US" w:eastAsia="zh-CN"/>
                    </w:rPr>
                    <w:t>本项目属于疗卫生服 务设施建设项目，不设锅炉，无需申请总量</w:t>
                  </w:r>
                </w:p>
              </w:tc>
            </w:tr>
            <w:tr w14:paraId="5A6610E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00" w:type="pct"/>
                  <w:vMerge w:val="continue"/>
                  <w:vAlign w:val="center"/>
                </w:tcPr>
                <w:p w14:paraId="675EBE79">
                  <w:pPr>
                    <w:autoSpaceDE w:val="0"/>
                    <w:autoSpaceDN w:val="0"/>
                    <w:adjustRightInd w:val="0"/>
                    <w:snapToGrid w:val="0"/>
                    <w:jc w:val="center"/>
                    <w:rPr>
                      <w:color w:val="auto"/>
                      <w:sz w:val="18"/>
                      <w:szCs w:val="18"/>
                    </w:rPr>
                  </w:pPr>
                </w:p>
              </w:tc>
              <w:tc>
                <w:tcPr>
                  <w:tcW w:w="2748" w:type="pct"/>
                  <w:vAlign w:val="center"/>
                </w:tcPr>
                <w:p w14:paraId="040F4F04">
                  <w:pPr>
                    <w:autoSpaceDE w:val="0"/>
                    <w:autoSpaceDN w:val="0"/>
                    <w:adjustRightInd w:val="0"/>
                    <w:snapToGrid w:val="0"/>
                    <w:rPr>
                      <w:color w:val="auto"/>
                      <w:kern w:val="0"/>
                      <w:sz w:val="18"/>
                      <w:szCs w:val="18"/>
                    </w:rPr>
                  </w:pPr>
                  <w:r>
                    <w:rPr>
                      <w:color w:val="auto"/>
                      <w:sz w:val="18"/>
                      <w:szCs w:val="18"/>
                    </w:rPr>
                    <w:t>2.钢铁企业稳定达到超低排放水平，各生产环节满足《关于推进实施钢铁行业超低排放的意见》（环大气〔2019〕35 号）相关要求。</w:t>
                  </w:r>
                </w:p>
              </w:tc>
              <w:tc>
                <w:tcPr>
                  <w:tcW w:w="1550" w:type="pct"/>
                  <w:vAlign w:val="center"/>
                </w:tcPr>
                <w:p w14:paraId="6800204A">
                  <w:pPr>
                    <w:autoSpaceDE w:val="0"/>
                    <w:autoSpaceDN w:val="0"/>
                    <w:adjustRightInd w:val="0"/>
                    <w:snapToGrid w:val="0"/>
                    <w:jc w:val="center"/>
                    <w:rPr>
                      <w:color w:val="auto"/>
                      <w:kern w:val="0"/>
                      <w:sz w:val="18"/>
                      <w:szCs w:val="18"/>
                    </w:rPr>
                  </w:pPr>
                  <w:r>
                    <w:rPr>
                      <w:color w:val="auto"/>
                      <w:kern w:val="0"/>
                      <w:sz w:val="18"/>
                      <w:szCs w:val="18"/>
                    </w:rPr>
                    <w:t>本项目不属于</w:t>
                  </w:r>
                </w:p>
                <w:p w14:paraId="466EE780">
                  <w:pPr>
                    <w:autoSpaceDE w:val="0"/>
                    <w:autoSpaceDN w:val="0"/>
                    <w:adjustRightInd w:val="0"/>
                    <w:snapToGrid w:val="0"/>
                    <w:jc w:val="center"/>
                    <w:rPr>
                      <w:color w:val="auto"/>
                      <w:kern w:val="0"/>
                      <w:sz w:val="18"/>
                      <w:szCs w:val="18"/>
                    </w:rPr>
                  </w:pPr>
                  <w:r>
                    <w:rPr>
                      <w:color w:val="auto"/>
                      <w:kern w:val="0"/>
                      <w:sz w:val="18"/>
                      <w:szCs w:val="18"/>
                    </w:rPr>
                    <w:t>钢铁企业</w:t>
                  </w:r>
                </w:p>
              </w:tc>
            </w:tr>
            <w:tr w14:paraId="5874BC4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00" w:type="pct"/>
                  <w:vMerge w:val="continue"/>
                  <w:vAlign w:val="center"/>
                </w:tcPr>
                <w:p w14:paraId="46F751B6">
                  <w:pPr>
                    <w:autoSpaceDE w:val="0"/>
                    <w:autoSpaceDN w:val="0"/>
                    <w:adjustRightInd w:val="0"/>
                    <w:snapToGrid w:val="0"/>
                    <w:jc w:val="center"/>
                    <w:rPr>
                      <w:color w:val="auto"/>
                      <w:sz w:val="18"/>
                      <w:szCs w:val="18"/>
                    </w:rPr>
                  </w:pPr>
                </w:p>
              </w:tc>
              <w:tc>
                <w:tcPr>
                  <w:tcW w:w="2748" w:type="pct"/>
                  <w:vAlign w:val="center"/>
                </w:tcPr>
                <w:p w14:paraId="6546D0D0">
                  <w:pPr>
                    <w:autoSpaceDE w:val="0"/>
                    <w:autoSpaceDN w:val="0"/>
                    <w:adjustRightInd w:val="0"/>
                    <w:snapToGrid w:val="0"/>
                    <w:rPr>
                      <w:color w:val="auto"/>
                      <w:kern w:val="0"/>
                      <w:sz w:val="18"/>
                      <w:szCs w:val="18"/>
                    </w:rPr>
                  </w:pPr>
                  <w:r>
                    <w:rPr>
                      <w:color w:val="auto"/>
                      <w:sz w:val="18"/>
                      <w:szCs w:val="18"/>
                    </w:rPr>
                    <w:t>3.水泥企业稳定达到超低排放水平，各生产环节满足《山西省水泥行业超低排放改造实施方案》（晋环发〔2021〕16 号）相关要求。</w:t>
                  </w:r>
                </w:p>
              </w:tc>
              <w:tc>
                <w:tcPr>
                  <w:tcW w:w="1550" w:type="pct"/>
                  <w:vAlign w:val="center"/>
                </w:tcPr>
                <w:p w14:paraId="5C07B735">
                  <w:pPr>
                    <w:autoSpaceDE w:val="0"/>
                    <w:autoSpaceDN w:val="0"/>
                    <w:adjustRightInd w:val="0"/>
                    <w:snapToGrid w:val="0"/>
                    <w:jc w:val="center"/>
                    <w:rPr>
                      <w:color w:val="auto"/>
                      <w:kern w:val="0"/>
                      <w:sz w:val="18"/>
                      <w:szCs w:val="18"/>
                    </w:rPr>
                  </w:pPr>
                  <w:r>
                    <w:rPr>
                      <w:color w:val="auto"/>
                      <w:kern w:val="0"/>
                      <w:sz w:val="18"/>
                      <w:szCs w:val="18"/>
                    </w:rPr>
                    <w:t>本项目不属于</w:t>
                  </w:r>
                </w:p>
                <w:p w14:paraId="40A51F95">
                  <w:pPr>
                    <w:autoSpaceDE w:val="0"/>
                    <w:autoSpaceDN w:val="0"/>
                    <w:adjustRightInd w:val="0"/>
                    <w:snapToGrid w:val="0"/>
                    <w:jc w:val="center"/>
                    <w:rPr>
                      <w:color w:val="auto"/>
                      <w:kern w:val="0"/>
                      <w:sz w:val="18"/>
                      <w:szCs w:val="18"/>
                    </w:rPr>
                  </w:pPr>
                  <w:r>
                    <w:rPr>
                      <w:color w:val="auto"/>
                      <w:kern w:val="0"/>
                      <w:sz w:val="18"/>
                      <w:szCs w:val="18"/>
                    </w:rPr>
                    <w:t>水泥行业</w:t>
                  </w:r>
                </w:p>
              </w:tc>
            </w:tr>
            <w:tr w14:paraId="0B85083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00" w:type="pct"/>
                  <w:vMerge w:val="continue"/>
                  <w:vAlign w:val="center"/>
                </w:tcPr>
                <w:p w14:paraId="03CEECAC">
                  <w:pPr>
                    <w:autoSpaceDE w:val="0"/>
                    <w:autoSpaceDN w:val="0"/>
                    <w:adjustRightInd w:val="0"/>
                    <w:snapToGrid w:val="0"/>
                    <w:jc w:val="center"/>
                    <w:rPr>
                      <w:color w:val="auto"/>
                      <w:sz w:val="18"/>
                      <w:szCs w:val="18"/>
                    </w:rPr>
                  </w:pPr>
                </w:p>
              </w:tc>
              <w:tc>
                <w:tcPr>
                  <w:tcW w:w="2748" w:type="pct"/>
                  <w:vAlign w:val="center"/>
                </w:tcPr>
                <w:p w14:paraId="38418F00">
                  <w:pPr>
                    <w:autoSpaceDE w:val="0"/>
                    <w:autoSpaceDN w:val="0"/>
                    <w:adjustRightInd w:val="0"/>
                    <w:snapToGrid w:val="0"/>
                    <w:rPr>
                      <w:color w:val="auto"/>
                      <w:kern w:val="0"/>
                      <w:sz w:val="18"/>
                      <w:szCs w:val="18"/>
                    </w:rPr>
                  </w:pPr>
                  <w:r>
                    <w:rPr>
                      <w:color w:val="auto"/>
                      <w:sz w:val="18"/>
                      <w:szCs w:val="18"/>
                    </w:rPr>
                    <w:t>4.能源、冶金、建材、化工、工业涂装、包装印刷等重点行业逐步实施强制性清洁生产审核。</w:t>
                  </w:r>
                </w:p>
              </w:tc>
              <w:tc>
                <w:tcPr>
                  <w:tcW w:w="1550" w:type="pct"/>
                  <w:vAlign w:val="center"/>
                </w:tcPr>
                <w:p w14:paraId="5DCDB82C">
                  <w:pPr>
                    <w:autoSpaceDE w:val="0"/>
                    <w:autoSpaceDN w:val="0"/>
                    <w:adjustRightInd w:val="0"/>
                    <w:snapToGrid w:val="0"/>
                    <w:jc w:val="center"/>
                    <w:rPr>
                      <w:rFonts w:hint="eastAsia" w:eastAsia="宋体"/>
                      <w:color w:val="auto"/>
                      <w:kern w:val="0"/>
                      <w:sz w:val="18"/>
                      <w:szCs w:val="18"/>
                      <w:lang w:eastAsia="zh-CN"/>
                    </w:rPr>
                  </w:pPr>
                  <w:r>
                    <w:rPr>
                      <w:rFonts w:hint="eastAsia"/>
                      <w:color w:val="auto"/>
                      <w:kern w:val="0"/>
                      <w:sz w:val="18"/>
                      <w:szCs w:val="18"/>
                      <w:lang w:val="en-US" w:eastAsia="zh-CN"/>
                    </w:rPr>
                    <w:t>不涉及</w:t>
                  </w:r>
                </w:p>
              </w:tc>
            </w:tr>
            <w:tr w14:paraId="5B6F82F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00" w:type="pct"/>
                  <w:vMerge w:val="continue"/>
                  <w:vAlign w:val="center"/>
                </w:tcPr>
                <w:p w14:paraId="6A5BC485">
                  <w:pPr>
                    <w:autoSpaceDE w:val="0"/>
                    <w:autoSpaceDN w:val="0"/>
                    <w:adjustRightInd w:val="0"/>
                    <w:snapToGrid w:val="0"/>
                    <w:jc w:val="center"/>
                    <w:rPr>
                      <w:color w:val="auto"/>
                      <w:sz w:val="18"/>
                      <w:szCs w:val="18"/>
                    </w:rPr>
                  </w:pPr>
                </w:p>
              </w:tc>
              <w:tc>
                <w:tcPr>
                  <w:tcW w:w="2748" w:type="pct"/>
                  <w:vAlign w:val="center"/>
                </w:tcPr>
                <w:p w14:paraId="76412563">
                  <w:pPr>
                    <w:autoSpaceDE w:val="0"/>
                    <w:autoSpaceDN w:val="0"/>
                    <w:adjustRightInd w:val="0"/>
                    <w:snapToGrid w:val="0"/>
                    <w:rPr>
                      <w:color w:val="auto"/>
                      <w:kern w:val="0"/>
                      <w:sz w:val="18"/>
                      <w:szCs w:val="18"/>
                    </w:rPr>
                  </w:pPr>
                  <w:r>
                    <w:rPr>
                      <w:color w:val="auto"/>
                      <w:sz w:val="18"/>
                      <w:szCs w:val="18"/>
                    </w:rPr>
                    <w:t>5</w:t>
                  </w:r>
                  <w:r>
                    <w:rPr>
                      <w:rFonts w:hint="eastAsia"/>
                      <w:color w:val="auto"/>
                      <w:sz w:val="18"/>
                      <w:szCs w:val="18"/>
                    </w:rPr>
                    <w:t>.</w:t>
                  </w:r>
                  <w:r>
                    <w:rPr>
                      <w:color w:val="auto"/>
                      <w:sz w:val="18"/>
                      <w:szCs w:val="18"/>
                    </w:rPr>
                    <w:t>新、改、扩建涉及大宗物料年货运量150万吨以上的大型工矿企业运输的建设项目，原则上全部修建铁路专用线，大宗货物清洁运输比例达到省级要求。</w:t>
                  </w:r>
                </w:p>
              </w:tc>
              <w:tc>
                <w:tcPr>
                  <w:tcW w:w="1550" w:type="pct"/>
                  <w:vAlign w:val="center"/>
                </w:tcPr>
                <w:p w14:paraId="694A9B10">
                  <w:pPr>
                    <w:autoSpaceDE w:val="0"/>
                    <w:autoSpaceDN w:val="0"/>
                    <w:adjustRightInd w:val="0"/>
                    <w:snapToGrid w:val="0"/>
                    <w:jc w:val="center"/>
                    <w:rPr>
                      <w:color w:val="auto"/>
                      <w:kern w:val="0"/>
                      <w:sz w:val="18"/>
                      <w:szCs w:val="18"/>
                    </w:rPr>
                  </w:pPr>
                  <w:r>
                    <w:rPr>
                      <w:color w:val="auto"/>
                      <w:kern w:val="0"/>
                      <w:sz w:val="18"/>
                      <w:szCs w:val="18"/>
                    </w:rPr>
                    <w:t>本项目不属于大宗物料及大型工矿企业运输业</w:t>
                  </w:r>
                </w:p>
              </w:tc>
            </w:tr>
            <w:tr w14:paraId="2F8452E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00" w:type="pct"/>
                  <w:vMerge w:val="continue"/>
                  <w:vAlign w:val="center"/>
                </w:tcPr>
                <w:p w14:paraId="432C5489">
                  <w:pPr>
                    <w:autoSpaceDE w:val="0"/>
                    <w:autoSpaceDN w:val="0"/>
                    <w:adjustRightInd w:val="0"/>
                    <w:snapToGrid w:val="0"/>
                    <w:jc w:val="center"/>
                    <w:rPr>
                      <w:color w:val="auto"/>
                      <w:sz w:val="18"/>
                      <w:szCs w:val="18"/>
                    </w:rPr>
                  </w:pPr>
                </w:p>
              </w:tc>
              <w:tc>
                <w:tcPr>
                  <w:tcW w:w="2748" w:type="pct"/>
                  <w:vAlign w:val="center"/>
                </w:tcPr>
                <w:p w14:paraId="01E62413">
                  <w:pPr>
                    <w:autoSpaceDE w:val="0"/>
                    <w:autoSpaceDN w:val="0"/>
                    <w:adjustRightInd w:val="0"/>
                    <w:snapToGrid w:val="0"/>
                    <w:rPr>
                      <w:color w:val="auto"/>
                      <w:kern w:val="0"/>
                      <w:sz w:val="18"/>
                      <w:szCs w:val="18"/>
                    </w:rPr>
                  </w:pPr>
                  <w:r>
                    <w:rPr>
                      <w:color w:val="auto"/>
                      <w:sz w:val="18"/>
                      <w:szCs w:val="18"/>
                    </w:rPr>
                    <w:t>6.禁燃区内禁止新建、扩建燃用高污染燃料的项目和设施，已建成的应逐步或依法限期改用天然气、电或者其他清洁能源。</w:t>
                  </w:r>
                </w:p>
              </w:tc>
              <w:tc>
                <w:tcPr>
                  <w:tcW w:w="1550" w:type="pct"/>
                  <w:vAlign w:val="center"/>
                </w:tcPr>
                <w:p w14:paraId="646FEDFB">
                  <w:pPr>
                    <w:autoSpaceDE w:val="0"/>
                    <w:autoSpaceDN w:val="0"/>
                    <w:adjustRightInd w:val="0"/>
                    <w:snapToGrid w:val="0"/>
                    <w:jc w:val="center"/>
                    <w:rPr>
                      <w:color w:val="auto"/>
                      <w:kern w:val="0"/>
                      <w:sz w:val="18"/>
                      <w:szCs w:val="18"/>
                    </w:rPr>
                  </w:pPr>
                  <w:r>
                    <w:rPr>
                      <w:rFonts w:hint="eastAsia"/>
                      <w:color w:val="auto"/>
                      <w:kern w:val="0"/>
                      <w:sz w:val="18"/>
                      <w:szCs w:val="18"/>
                    </w:rPr>
                    <w:t>运营期</w:t>
                  </w:r>
                  <w:r>
                    <w:rPr>
                      <w:color w:val="auto"/>
                      <w:kern w:val="0"/>
                      <w:sz w:val="18"/>
                      <w:szCs w:val="18"/>
                    </w:rPr>
                    <w:t>不涉及高污染燃料的使用</w:t>
                  </w:r>
                </w:p>
              </w:tc>
            </w:tr>
            <w:tr w14:paraId="5381A3C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00" w:type="pct"/>
                  <w:vMerge w:val="continue"/>
                  <w:vAlign w:val="center"/>
                </w:tcPr>
                <w:p w14:paraId="26E72FF3">
                  <w:pPr>
                    <w:autoSpaceDE w:val="0"/>
                    <w:autoSpaceDN w:val="0"/>
                    <w:adjustRightInd w:val="0"/>
                    <w:snapToGrid w:val="0"/>
                    <w:jc w:val="center"/>
                    <w:rPr>
                      <w:color w:val="auto"/>
                      <w:sz w:val="18"/>
                      <w:szCs w:val="18"/>
                    </w:rPr>
                  </w:pPr>
                </w:p>
              </w:tc>
              <w:tc>
                <w:tcPr>
                  <w:tcW w:w="2748" w:type="pct"/>
                  <w:vAlign w:val="center"/>
                </w:tcPr>
                <w:p w14:paraId="3887E927">
                  <w:pPr>
                    <w:autoSpaceDE w:val="0"/>
                    <w:autoSpaceDN w:val="0"/>
                    <w:adjustRightInd w:val="0"/>
                    <w:snapToGrid w:val="0"/>
                    <w:rPr>
                      <w:color w:val="auto"/>
                      <w:kern w:val="0"/>
                      <w:sz w:val="18"/>
                      <w:szCs w:val="18"/>
                    </w:rPr>
                  </w:pPr>
                  <w:r>
                    <w:rPr>
                      <w:color w:val="auto"/>
                      <w:sz w:val="18"/>
                      <w:szCs w:val="18"/>
                    </w:rPr>
                    <w:t>7.市域范围内基本淘汰每小时35蒸吨以下燃煤锅炉，燃气锅炉完成低氮改造。</w:t>
                  </w:r>
                </w:p>
              </w:tc>
              <w:tc>
                <w:tcPr>
                  <w:tcW w:w="1550" w:type="pct"/>
                  <w:vAlign w:val="center"/>
                </w:tcPr>
                <w:p w14:paraId="7F607196">
                  <w:pPr>
                    <w:autoSpaceDE w:val="0"/>
                    <w:autoSpaceDN w:val="0"/>
                    <w:adjustRightInd w:val="0"/>
                    <w:snapToGrid w:val="0"/>
                    <w:jc w:val="center"/>
                    <w:rPr>
                      <w:color w:val="auto"/>
                      <w:kern w:val="0"/>
                      <w:sz w:val="18"/>
                      <w:szCs w:val="18"/>
                    </w:rPr>
                  </w:pPr>
                  <w:r>
                    <w:rPr>
                      <w:color w:val="auto"/>
                      <w:kern w:val="0"/>
                      <w:sz w:val="18"/>
                      <w:szCs w:val="18"/>
                    </w:rPr>
                    <w:t>本项目</w:t>
                  </w:r>
                  <w:r>
                    <w:rPr>
                      <w:rFonts w:hint="eastAsia"/>
                      <w:color w:val="auto"/>
                      <w:kern w:val="0"/>
                      <w:sz w:val="18"/>
                      <w:szCs w:val="18"/>
                    </w:rPr>
                    <w:t>不设置</w:t>
                  </w:r>
                  <w:r>
                    <w:rPr>
                      <w:rFonts w:hint="eastAsia"/>
                      <w:color w:val="auto"/>
                      <w:kern w:val="0"/>
                      <w:sz w:val="18"/>
                      <w:szCs w:val="18"/>
                      <w:lang w:val="en-US" w:eastAsia="zh-CN"/>
                    </w:rPr>
                    <w:t>燃煤</w:t>
                  </w:r>
                  <w:r>
                    <w:rPr>
                      <w:rFonts w:hint="eastAsia"/>
                      <w:color w:val="auto"/>
                      <w:kern w:val="0"/>
                      <w:sz w:val="18"/>
                      <w:szCs w:val="18"/>
                    </w:rPr>
                    <w:t>锅炉</w:t>
                  </w:r>
                  <w:r>
                    <w:rPr>
                      <w:rFonts w:hint="eastAsia"/>
                      <w:color w:val="auto"/>
                      <w:kern w:val="0"/>
                      <w:sz w:val="18"/>
                      <w:szCs w:val="18"/>
                      <w:lang w:eastAsia="zh-CN"/>
                    </w:rPr>
                    <w:t>，</w:t>
                  </w:r>
                  <w:r>
                    <w:rPr>
                      <w:rFonts w:hint="eastAsia"/>
                      <w:color w:val="auto"/>
                      <w:kern w:val="0"/>
                      <w:sz w:val="18"/>
                      <w:szCs w:val="18"/>
                      <w:lang w:val="en-US" w:eastAsia="zh-CN"/>
                    </w:rPr>
                    <w:t>采用园区集中供暖</w:t>
                  </w:r>
                  <w:r>
                    <w:rPr>
                      <w:color w:val="auto"/>
                      <w:kern w:val="0"/>
                      <w:sz w:val="18"/>
                      <w:szCs w:val="18"/>
                    </w:rPr>
                    <w:t xml:space="preserve"> </w:t>
                  </w:r>
                </w:p>
              </w:tc>
            </w:tr>
            <w:tr w14:paraId="33F9FCB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00" w:type="pct"/>
                  <w:vMerge w:val="continue"/>
                  <w:vAlign w:val="center"/>
                </w:tcPr>
                <w:p w14:paraId="4F146897">
                  <w:pPr>
                    <w:autoSpaceDE w:val="0"/>
                    <w:autoSpaceDN w:val="0"/>
                    <w:adjustRightInd w:val="0"/>
                    <w:snapToGrid w:val="0"/>
                    <w:jc w:val="center"/>
                    <w:rPr>
                      <w:color w:val="auto"/>
                      <w:sz w:val="18"/>
                      <w:szCs w:val="18"/>
                    </w:rPr>
                  </w:pPr>
                </w:p>
              </w:tc>
              <w:tc>
                <w:tcPr>
                  <w:tcW w:w="2748" w:type="pct"/>
                  <w:vAlign w:val="center"/>
                </w:tcPr>
                <w:p w14:paraId="1F616B55">
                  <w:pPr>
                    <w:autoSpaceDE w:val="0"/>
                    <w:autoSpaceDN w:val="0"/>
                    <w:adjustRightInd w:val="0"/>
                    <w:snapToGrid w:val="0"/>
                    <w:rPr>
                      <w:color w:val="auto"/>
                      <w:sz w:val="18"/>
                      <w:szCs w:val="18"/>
                    </w:rPr>
                  </w:pPr>
                  <w:r>
                    <w:rPr>
                      <w:color w:val="auto"/>
                      <w:sz w:val="18"/>
                      <w:szCs w:val="18"/>
                    </w:rPr>
                    <w:t>8.按照《大同市关于划定禁止使用高排放非道路移动机械区域的通告》有关要求，禁用区内禁止使用高排放道路移动机械。</w:t>
                  </w:r>
                </w:p>
              </w:tc>
              <w:tc>
                <w:tcPr>
                  <w:tcW w:w="1550" w:type="pct"/>
                  <w:vAlign w:val="center"/>
                </w:tcPr>
                <w:p w14:paraId="7C0E6E79">
                  <w:pPr>
                    <w:autoSpaceDE w:val="0"/>
                    <w:autoSpaceDN w:val="0"/>
                    <w:adjustRightInd w:val="0"/>
                    <w:snapToGrid w:val="0"/>
                    <w:jc w:val="center"/>
                    <w:rPr>
                      <w:color w:val="auto"/>
                      <w:kern w:val="0"/>
                      <w:sz w:val="18"/>
                      <w:szCs w:val="18"/>
                    </w:rPr>
                  </w:pPr>
                  <w:r>
                    <w:rPr>
                      <w:color w:val="auto"/>
                      <w:kern w:val="0"/>
                      <w:sz w:val="18"/>
                      <w:szCs w:val="18"/>
                    </w:rPr>
                    <w:t>本项目不使用</w:t>
                  </w:r>
                  <w:r>
                    <w:rPr>
                      <w:color w:val="auto"/>
                      <w:sz w:val="18"/>
                      <w:szCs w:val="18"/>
                    </w:rPr>
                    <w:t>高排放道路移动机械</w:t>
                  </w:r>
                </w:p>
              </w:tc>
            </w:tr>
            <w:tr w14:paraId="4B8FD79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00" w:type="pct"/>
                  <w:vMerge w:val="continue"/>
                  <w:vAlign w:val="center"/>
                </w:tcPr>
                <w:p w14:paraId="315A3E89">
                  <w:pPr>
                    <w:autoSpaceDE w:val="0"/>
                    <w:autoSpaceDN w:val="0"/>
                    <w:adjustRightInd w:val="0"/>
                    <w:snapToGrid w:val="0"/>
                    <w:jc w:val="center"/>
                    <w:rPr>
                      <w:color w:val="auto"/>
                      <w:sz w:val="18"/>
                      <w:szCs w:val="18"/>
                    </w:rPr>
                  </w:pPr>
                </w:p>
              </w:tc>
              <w:tc>
                <w:tcPr>
                  <w:tcW w:w="2748" w:type="pct"/>
                  <w:vAlign w:val="center"/>
                </w:tcPr>
                <w:p w14:paraId="1340D2E8">
                  <w:pPr>
                    <w:autoSpaceDE w:val="0"/>
                    <w:autoSpaceDN w:val="0"/>
                    <w:adjustRightInd w:val="0"/>
                    <w:snapToGrid w:val="0"/>
                    <w:rPr>
                      <w:color w:val="auto"/>
                      <w:sz w:val="18"/>
                      <w:szCs w:val="18"/>
                    </w:rPr>
                  </w:pPr>
                  <w:r>
                    <w:rPr>
                      <w:color w:val="auto"/>
                      <w:sz w:val="18"/>
                      <w:szCs w:val="18"/>
                    </w:rPr>
                    <w:t>9．严格落实污染物排放总量控制制度，把主要污染物排放总量指标作为建设项目环境影响评价审批的前置条件。</w:t>
                  </w:r>
                </w:p>
                <w:p w14:paraId="6A94EF23">
                  <w:pPr>
                    <w:autoSpaceDE w:val="0"/>
                    <w:autoSpaceDN w:val="0"/>
                    <w:adjustRightInd w:val="0"/>
                    <w:snapToGrid w:val="0"/>
                    <w:rPr>
                      <w:color w:val="auto"/>
                      <w:sz w:val="18"/>
                      <w:szCs w:val="18"/>
                    </w:rPr>
                  </w:pPr>
                  <w:r>
                    <w:rPr>
                      <w:color w:val="auto"/>
                      <w:sz w:val="18"/>
                      <w:szCs w:val="18"/>
                    </w:rPr>
                    <w:t>排放主要污染物的建设项目，在环境影响评价文件（以下简称环评文件）审批前，须取得主要污染物排放总量指标</w:t>
                  </w:r>
                </w:p>
              </w:tc>
              <w:tc>
                <w:tcPr>
                  <w:tcW w:w="1550" w:type="pct"/>
                  <w:vMerge w:val="restart"/>
                  <w:vAlign w:val="center"/>
                </w:tcPr>
                <w:p w14:paraId="65271F5A">
                  <w:pPr>
                    <w:autoSpaceDE w:val="0"/>
                    <w:autoSpaceDN w:val="0"/>
                    <w:adjustRightInd w:val="0"/>
                    <w:snapToGrid w:val="0"/>
                    <w:jc w:val="center"/>
                    <w:rPr>
                      <w:color w:val="auto"/>
                      <w:kern w:val="0"/>
                      <w:sz w:val="18"/>
                      <w:szCs w:val="18"/>
                    </w:rPr>
                  </w:pPr>
                  <w:r>
                    <w:rPr>
                      <w:rFonts w:hint="eastAsia"/>
                      <w:color w:val="auto"/>
                      <w:kern w:val="0"/>
                      <w:sz w:val="18"/>
                      <w:szCs w:val="18"/>
                      <w:lang w:val="en-US" w:eastAsia="zh-CN"/>
                    </w:rPr>
                    <w:t>本项目属于疗养院类设项目，不设锅炉，无需申请总量</w:t>
                  </w:r>
                </w:p>
              </w:tc>
            </w:tr>
            <w:tr w14:paraId="41A6CD8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00" w:type="pct"/>
                  <w:vMerge w:val="continue"/>
                  <w:vAlign w:val="center"/>
                </w:tcPr>
                <w:p w14:paraId="1E43AA85">
                  <w:pPr>
                    <w:autoSpaceDE w:val="0"/>
                    <w:autoSpaceDN w:val="0"/>
                    <w:adjustRightInd w:val="0"/>
                    <w:snapToGrid w:val="0"/>
                    <w:jc w:val="center"/>
                    <w:rPr>
                      <w:color w:val="auto"/>
                      <w:sz w:val="18"/>
                      <w:szCs w:val="18"/>
                    </w:rPr>
                  </w:pPr>
                </w:p>
              </w:tc>
              <w:tc>
                <w:tcPr>
                  <w:tcW w:w="2748" w:type="pct"/>
                  <w:vAlign w:val="center"/>
                </w:tcPr>
                <w:p w14:paraId="5F465410">
                  <w:pPr>
                    <w:autoSpaceDE w:val="0"/>
                    <w:autoSpaceDN w:val="0"/>
                    <w:adjustRightInd w:val="0"/>
                    <w:snapToGrid w:val="0"/>
                    <w:rPr>
                      <w:color w:val="auto"/>
                      <w:sz w:val="18"/>
                      <w:szCs w:val="18"/>
                    </w:rPr>
                  </w:pPr>
                  <w:r>
                    <w:rPr>
                      <w:color w:val="auto"/>
                      <w:sz w:val="18"/>
                      <w:szCs w:val="18"/>
                    </w:rPr>
                    <w:t>10</w:t>
                  </w:r>
                  <w:r>
                    <w:rPr>
                      <w:rFonts w:hint="eastAsia"/>
                      <w:color w:val="auto"/>
                      <w:sz w:val="18"/>
                      <w:szCs w:val="18"/>
                    </w:rPr>
                    <w:t>.</w:t>
                  </w:r>
                  <w:r>
                    <w:rPr>
                      <w:color w:val="auto"/>
                      <w:sz w:val="18"/>
                      <w:szCs w:val="18"/>
                    </w:rPr>
                    <w:t>用于建设项目的“可替代总量指标”不得低于建设项目所需替代的主要污染物排放总量指标。上一年度环境空气质量年平均浓度不达标的县（区）、水环境质量未达到要求的县（区），相关污染物应按照建设项目所需替代的主要污染物排放总量指标的 2 倍进行削减替代（燃煤发电机组大气污染物排放浓度基本达到燃气轮机组排放限值的除外）；细颗粒物（PM</w:t>
                  </w:r>
                  <w:r>
                    <w:rPr>
                      <w:color w:val="auto"/>
                      <w:sz w:val="18"/>
                      <w:szCs w:val="18"/>
                      <w:vertAlign w:val="subscript"/>
                    </w:rPr>
                    <w:t>2.5</w:t>
                  </w:r>
                  <w:r>
                    <w:rPr>
                      <w:color w:val="auto"/>
                      <w:sz w:val="18"/>
                      <w:szCs w:val="18"/>
                    </w:rPr>
                    <w:t>）年平均浓度不达标的县（区），二氧化硫、氮氧化物、烟粉尘、挥发性有机物四项污染物均需进行2倍削减替代（燃煤发电机组大气污染物排放浓度基本达到燃气轮机组排放限值的除外）。</w:t>
                  </w:r>
                </w:p>
              </w:tc>
              <w:tc>
                <w:tcPr>
                  <w:tcW w:w="1550" w:type="pct"/>
                  <w:vMerge w:val="continue"/>
                  <w:vAlign w:val="center"/>
                </w:tcPr>
                <w:p w14:paraId="33248F87">
                  <w:pPr>
                    <w:autoSpaceDE w:val="0"/>
                    <w:autoSpaceDN w:val="0"/>
                    <w:adjustRightInd w:val="0"/>
                    <w:snapToGrid w:val="0"/>
                    <w:jc w:val="center"/>
                    <w:rPr>
                      <w:color w:val="auto"/>
                      <w:kern w:val="0"/>
                      <w:sz w:val="18"/>
                      <w:szCs w:val="18"/>
                    </w:rPr>
                  </w:pPr>
                </w:p>
              </w:tc>
            </w:tr>
            <w:tr w14:paraId="30FFAAF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00" w:type="pct"/>
                  <w:vMerge w:val="continue"/>
                  <w:vAlign w:val="center"/>
                </w:tcPr>
                <w:p w14:paraId="569AAA78">
                  <w:pPr>
                    <w:autoSpaceDE w:val="0"/>
                    <w:autoSpaceDN w:val="0"/>
                    <w:adjustRightInd w:val="0"/>
                    <w:snapToGrid w:val="0"/>
                    <w:jc w:val="center"/>
                    <w:rPr>
                      <w:color w:val="auto"/>
                      <w:sz w:val="18"/>
                      <w:szCs w:val="18"/>
                    </w:rPr>
                  </w:pPr>
                </w:p>
              </w:tc>
              <w:tc>
                <w:tcPr>
                  <w:tcW w:w="2748" w:type="pct"/>
                  <w:vAlign w:val="center"/>
                </w:tcPr>
                <w:p w14:paraId="58C0BB76">
                  <w:pPr>
                    <w:autoSpaceDE w:val="0"/>
                    <w:autoSpaceDN w:val="0"/>
                    <w:adjustRightInd w:val="0"/>
                    <w:snapToGrid w:val="0"/>
                    <w:rPr>
                      <w:color w:val="auto"/>
                      <w:sz w:val="18"/>
                      <w:szCs w:val="18"/>
                    </w:rPr>
                  </w:pPr>
                  <w:r>
                    <w:rPr>
                      <w:color w:val="auto"/>
                      <w:sz w:val="18"/>
                      <w:szCs w:val="18"/>
                    </w:rPr>
                    <w:t>11.城镇生活污水处理厂外排废水全面执行山西省《污水综合排放标准》（DB14/1928-2019）。</w:t>
                  </w:r>
                </w:p>
              </w:tc>
              <w:tc>
                <w:tcPr>
                  <w:tcW w:w="1550" w:type="pct"/>
                  <w:vAlign w:val="center"/>
                </w:tcPr>
                <w:p w14:paraId="29D1D967">
                  <w:pPr>
                    <w:autoSpaceDE w:val="0"/>
                    <w:autoSpaceDN w:val="0"/>
                    <w:adjustRightInd w:val="0"/>
                    <w:snapToGrid w:val="0"/>
                    <w:jc w:val="center"/>
                    <w:rPr>
                      <w:rFonts w:hint="eastAsia" w:eastAsia="宋体"/>
                      <w:color w:val="auto"/>
                      <w:kern w:val="0"/>
                      <w:sz w:val="18"/>
                      <w:szCs w:val="18"/>
                      <w:lang w:eastAsia="zh-CN"/>
                    </w:rPr>
                  </w:pPr>
                  <w:r>
                    <w:rPr>
                      <w:rFonts w:hint="eastAsia"/>
                      <w:color w:val="auto"/>
                      <w:kern w:val="0"/>
                      <w:sz w:val="18"/>
                      <w:szCs w:val="18"/>
                      <w:lang w:val="en-US" w:eastAsia="zh-CN"/>
                    </w:rPr>
                    <w:t>不涉及</w:t>
                  </w:r>
                </w:p>
              </w:tc>
            </w:tr>
            <w:tr w14:paraId="7D19D51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00" w:type="pct"/>
                  <w:vMerge w:val="continue"/>
                  <w:vAlign w:val="center"/>
                </w:tcPr>
                <w:p w14:paraId="4BB32575">
                  <w:pPr>
                    <w:autoSpaceDE w:val="0"/>
                    <w:autoSpaceDN w:val="0"/>
                    <w:adjustRightInd w:val="0"/>
                    <w:snapToGrid w:val="0"/>
                    <w:jc w:val="center"/>
                    <w:rPr>
                      <w:color w:val="auto"/>
                      <w:sz w:val="18"/>
                      <w:szCs w:val="18"/>
                    </w:rPr>
                  </w:pPr>
                </w:p>
              </w:tc>
              <w:tc>
                <w:tcPr>
                  <w:tcW w:w="2748" w:type="pct"/>
                  <w:vAlign w:val="center"/>
                </w:tcPr>
                <w:p w14:paraId="06667A0B">
                  <w:pPr>
                    <w:autoSpaceDE w:val="0"/>
                    <w:autoSpaceDN w:val="0"/>
                    <w:adjustRightInd w:val="0"/>
                    <w:snapToGrid w:val="0"/>
                    <w:rPr>
                      <w:color w:val="auto"/>
                      <w:sz w:val="18"/>
                      <w:szCs w:val="18"/>
                    </w:rPr>
                  </w:pPr>
                  <w:r>
                    <w:rPr>
                      <w:color w:val="auto"/>
                      <w:sz w:val="18"/>
                      <w:szCs w:val="18"/>
                    </w:rPr>
                    <w:t>12.工业废水外排主要三项污染物化学需氧量、氨氮、总磷须达到《地表水环境质量标准》（GB3838-2002）Ⅴ类标准要求，其余执行《城镇污水处理厂污染物排放标准》（GB18918-2002）一级A排放标准。</w:t>
                  </w:r>
                </w:p>
              </w:tc>
              <w:tc>
                <w:tcPr>
                  <w:tcW w:w="1550" w:type="pct"/>
                  <w:vAlign w:val="center"/>
                </w:tcPr>
                <w:p w14:paraId="4448C7E3">
                  <w:pPr>
                    <w:autoSpaceDE w:val="0"/>
                    <w:autoSpaceDN w:val="0"/>
                    <w:adjustRightInd w:val="0"/>
                    <w:snapToGrid w:val="0"/>
                    <w:jc w:val="center"/>
                    <w:rPr>
                      <w:rFonts w:hint="default" w:eastAsia="宋体"/>
                      <w:color w:val="auto"/>
                      <w:kern w:val="0"/>
                      <w:sz w:val="18"/>
                      <w:szCs w:val="18"/>
                      <w:lang w:val="en-US" w:eastAsia="zh-CN"/>
                    </w:rPr>
                  </w:pPr>
                  <w:r>
                    <w:rPr>
                      <w:rFonts w:hint="eastAsia"/>
                      <w:color w:val="auto"/>
                      <w:kern w:val="0"/>
                      <w:sz w:val="18"/>
                      <w:szCs w:val="18"/>
                      <w:lang w:val="en-US" w:eastAsia="zh-CN"/>
                    </w:rPr>
                    <w:t>本项目废水经自建污水处理站处理达标后通入园区污水管网，最终排入大同市开发区污水处理厂</w:t>
                  </w:r>
                </w:p>
              </w:tc>
            </w:tr>
            <w:tr w14:paraId="587D185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00" w:type="pct"/>
                  <w:vMerge w:val="continue"/>
                  <w:vAlign w:val="center"/>
                </w:tcPr>
                <w:p w14:paraId="6128DB05">
                  <w:pPr>
                    <w:autoSpaceDE w:val="0"/>
                    <w:autoSpaceDN w:val="0"/>
                    <w:adjustRightInd w:val="0"/>
                    <w:snapToGrid w:val="0"/>
                    <w:jc w:val="center"/>
                    <w:rPr>
                      <w:color w:val="auto"/>
                      <w:sz w:val="18"/>
                      <w:szCs w:val="18"/>
                    </w:rPr>
                  </w:pPr>
                </w:p>
              </w:tc>
              <w:tc>
                <w:tcPr>
                  <w:tcW w:w="2748" w:type="pct"/>
                  <w:vAlign w:val="center"/>
                </w:tcPr>
                <w:p w14:paraId="2390746F">
                  <w:pPr>
                    <w:autoSpaceDE w:val="0"/>
                    <w:autoSpaceDN w:val="0"/>
                    <w:adjustRightInd w:val="0"/>
                    <w:snapToGrid w:val="0"/>
                    <w:rPr>
                      <w:color w:val="auto"/>
                      <w:sz w:val="18"/>
                      <w:szCs w:val="18"/>
                    </w:rPr>
                  </w:pPr>
                  <w:r>
                    <w:rPr>
                      <w:color w:val="auto"/>
                      <w:sz w:val="18"/>
                      <w:szCs w:val="18"/>
                    </w:rPr>
                    <w:t>13.省级及以上工业集聚区应科学合理制定污水处理规划与工艺，按规定建设污水集中处理设施，外排口加装自动监控设施。</w:t>
                  </w:r>
                </w:p>
              </w:tc>
              <w:tc>
                <w:tcPr>
                  <w:tcW w:w="1550" w:type="pct"/>
                  <w:vAlign w:val="center"/>
                </w:tcPr>
                <w:p w14:paraId="0A80D9FE">
                  <w:pPr>
                    <w:autoSpaceDE w:val="0"/>
                    <w:autoSpaceDN w:val="0"/>
                    <w:adjustRightInd w:val="0"/>
                    <w:snapToGrid w:val="0"/>
                    <w:jc w:val="center"/>
                    <w:rPr>
                      <w:rFonts w:hint="eastAsia" w:eastAsia="宋体"/>
                      <w:color w:val="auto"/>
                      <w:kern w:val="0"/>
                      <w:sz w:val="18"/>
                      <w:szCs w:val="18"/>
                      <w:lang w:eastAsia="zh-CN"/>
                    </w:rPr>
                  </w:pPr>
                  <w:r>
                    <w:rPr>
                      <w:rFonts w:hint="eastAsia"/>
                      <w:color w:val="auto"/>
                      <w:kern w:val="0"/>
                      <w:sz w:val="18"/>
                      <w:szCs w:val="18"/>
                      <w:lang w:val="en-US" w:eastAsia="zh-CN"/>
                    </w:rPr>
                    <w:t>不涉及</w:t>
                  </w:r>
                </w:p>
              </w:tc>
            </w:tr>
            <w:tr w14:paraId="76869ED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00" w:type="pct"/>
                  <w:vMerge w:val="continue"/>
                  <w:vAlign w:val="center"/>
                </w:tcPr>
                <w:p w14:paraId="741B153F">
                  <w:pPr>
                    <w:autoSpaceDE w:val="0"/>
                    <w:autoSpaceDN w:val="0"/>
                    <w:adjustRightInd w:val="0"/>
                    <w:snapToGrid w:val="0"/>
                    <w:jc w:val="center"/>
                    <w:rPr>
                      <w:color w:val="auto"/>
                      <w:sz w:val="18"/>
                      <w:szCs w:val="18"/>
                    </w:rPr>
                  </w:pPr>
                </w:p>
              </w:tc>
              <w:tc>
                <w:tcPr>
                  <w:tcW w:w="2748" w:type="pct"/>
                  <w:vAlign w:val="center"/>
                </w:tcPr>
                <w:p w14:paraId="298E667A">
                  <w:pPr>
                    <w:autoSpaceDE w:val="0"/>
                    <w:autoSpaceDN w:val="0"/>
                    <w:adjustRightInd w:val="0"/>
                    <w:snapToGrid w:val="0"/>
                    <w:rPr>
                      <w:color w:val="auto"/>
                      <w:sz w:val="18"/>
                      <w:szCs w:val="18"/>
                    </w:rPr>
                  </w:pPr>
                  <w:r>
                    <w:rPr>
                      <w:color w:val="auto"/>
                      <w:sz w:val="18"/>
                      <w:szCs w:val="18"/>
                    </w:rPr>
                    <w:t>14.煤矿矿井水原则上废水全部循环利用，确需排放的煤矿矿井水需达到《地表水环境质量》Ⅲ类水质要求。</w:t>
                  </w:r>
                </w:p>
              </w:tc>
              <w:tc>
                <w:tcPr>
                  <w:tcW w:w="1550" w:type="pct"/>
                  <w:vAlign w:val="center"/>
                </w:tcPr>
                <w:p w14:paraId="1D063C3E">
                  <w:pPr>
                    <w:autoSpaceDE w:val="0"/>
                    <w:autoSpaceDN w:val="0"/>
                    <w:adjustRightInd w:val="0"/>
                    <w:snapToGrid w:val="0"/>
                    <w:jc w:val="center"/>
                    <w:rPr>
                      <w:color w:val="auto"/>
                      <w:kern w:val="0"/>
                      <w:sz w:val="18"/>
                      <w:szCs w:val="18"/>
                    </w:rPr>
                  </w:pPr>
                  <w:r>
                    <w:rPr>
                      <w:rFonts w:hint="eastAsia"/>
                      <w:color w:val="auto"/>
                      <w:kern w:val="0"/>
                      <w:sz w:val="18"/>
                      <w:szCs w:val="18"/>
                      <w:lang w:val="en-US" w:eastAsia="zh-CN"/>
                    </w:rPr>
                    <w:t>不涉及</w:t>
                  </w:r>
                </w:p>
              </w:tc>
            </w:tr>
            <w:tr w14:paraId="0DD9217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221" w:hRule="atLeast"/>
              </w:trPr>
              <w:tc>
                <w:tcPr>
                  <w:tcW w:w="700" w:type="pct"/>
                  <w:vAlign w:val="center"/>
                </w:tcPr>
                <w:p w14:paraId="6B8762CF">
                  <w:pPr>
                    <w:autoSpaceDE w:val="0"/>
                    <w:autoSpaceDN w:val="0"/>
                    <w:adjustRightInd w:val="0"/>
                    <w:snapToGrid w:val="0"/>
                    <w:jc w:val="center"/>
                    <w:rPr>
                      <w:color w:val="auto"/>
                      <w:sz w:val="18"/>
                      <w:szCs w:val="18"/>
                    </w:rPr>
                  </w:pPr>
                  <w:r>
                    <w:rPr>
                      <w:color w:val="auto"/>
                      <w:sz w:val="18"/>
                      <w:szCs w:val="18"/>
                    </w:rPr>
                    <w:t>环境风险防控</w:t>
                  </w:r>
                </w:p>
              </w:tc>
              <w:tc>
                <w:tcPr>
                  <w:tcW w:w="2748" w:type="pct"/>
                  <w:vAlign w:val="center"/>
                </w:tcPr>
                <w:p w14:paraId="12E59334">
                  <w:pPr>
                    <w:autoSpaceDE w:val="0"/>
                    <w:autoSpaceDN w:val="0"/>
                    <w:adjustRightInd w:val="0"/>
                    <w:snapToGrid w:val="0"/>
                    <w:rPr>
                      <w:color w:val="auto"/>
                      <w:sz w:val="18"/>
                      <w:szCs w:val="18"/>
                    </w:rPr>
                  </w:pPr>
                  <w:r>
                    <w:rPr>
                      <w:color w:val="auto"/>
                      <w:sz w:val="18"/>
                      <w:szCs w:val="18"/>
                    </w:rPr>
                    <w:t>1．强化重污染天气、饮用水水源地、有毒有害气体等重点领域风险预警，健全环境风险应急预案和应急响应措施，提高突发环境污染事件应急处置能力。</w:t>
                  </w:r>
                </w:p>
                <w:p w14:paraId="12DA9767">
                  <w:pPr>
                    <w:autoSpaceDE w:val="0"/>
                    <w:autoSpaceDN w:val="0"/>
                    <w:adjustRightInd w:val="0"/>
                    <w:snapToGrid w:val="0"/>
                    <w:rPr>
                      <w:color w:val="auto"/>
                      <w:sz w:val="18"/>
                      <w:szCs w:val="18"/>
                    </w:rPr>
                  </w:pPr>
                  <w:r>
                    <w:rPr>
                      <w:color w:val="auto"/>
                      <w:sz w:val="18"/>
                      <w:szCs w:val="18"/>
                    </w:rPr>
                    <w:t>2.科学布局危险废物处置设施和场所，危险废物暂存库按《危险废物贮存污染控制标准》（GB18597-2001 及其2013 年修改单）的相关要求建设，填埋场要严格执行《危险废物填埋污染控制标准》（GB18598-2019）的相关要求。</w:t>
                  </w:r>
                </w:p>
                <w:p w14:paraId="3A52F5C9">
                  <w:pPr>
                    <w:autoSpaceDE w:val="0"/>
                    <w:autoSpaceDN w:val="0"/>
                    <w:adjustRightInd w:val="0"/>
                    <w:snapToGrid w:val="0"/>
                    <w:rPr>
                      <w:color w:val="auto"/>
                      <w:sz w:val="18"/>
                      <w:szCs w:val="18"/>
                    </w:rPr>
                  </w:pPr>
                  <w:r>
                    <w:rPr>
                      <w:color w:val="auto"/>
                      <w:sz w:val="18"/>
                      <w:szCs w:val="18"/>
                    </w:rPr>
                    <w:t>3.针对焦化、化工、农药、有色冶炼、造纸、电镀等水环境风险较大行业，全面开展摸底排查，建立水环境风险管控清单，定期评估沿河（湖、库）工业企业、工业集聚区环境风险，落实防控措施。</w:t>
                  </w:r>
                </w:p>
                <w:p w14:paraId="12736397">
                  <w:pPr>
                    <w:autoSpaceDE w:val="0"/>
                    <w:autoSpaceDN w:val="0"/>
                    <w:adjustRightInd w:val="0"/>
                    <w:snapToGrid w:val="0"/>
                    <w:rPr>
                      <w:color w:val="auto"/>
                      <w:kern w:val="0"/>
                      <w:sz w:val="18"/>
                      <w:szCs w:val="18"/>
                    </w:rPr>
                  </w:pPr>
                  <w:r>
                    <w:rPr>
                      <w:color w:val="auto"/>
                      <w:sz w:val="18"/>
                      <w:szCs w:val="18"/>
                    </w:rPr>
                    <w:t>4.严格落实“三线一单”生态环境分区管控要求。桑干河干流及主要支流浑河、口泉河、七里河、御河、十里河、坊城河等沿岸范围内的重要湖（库）和饮用水水源地保护区，禁止新建焦化、化工、农药、有色冶炼、造纸、生物制药、电镀等高风险项目和危险化学品仓储设施。</w:t>
                  </w:r>
                </w:p>
              </w:tc>
              <w:tc>
                <w:tcPr>
                  <w:tcW w:w="1550" w:type="pct"/>
                  <w:vAlign w:val="center"/>
                </w:tcPr>
                <w:p w14:paraId="0E429A22">
                  <w:pPr>
                    <w:autoSpaceDE w:val="0"/>
                    <w:autoSpaceDN w:val="0"/>
                    <w:adjustRightInd w:val="0"/>
                    <w:snapToGrid w:val="0"/>
                    <w:jc w:val="center"/>
                    <w:rPr>
                      <w:rFonts w:hint="default" w:eastAsia="宋体"/>
                      <w:color w:val="auto"/>
                      <w:kern w:val="0"/>
                      <w:sz w:val="18"/>
                      <w:szCs w:val="18"/>
                      <w:lang w:val="en-US" w:eastAsia="zh-CN"/>
                    </w:rPr>
                  </w:pPr>
                  <w:r>
                    <w:rPr>
                      <w:rFonts w:hint="eastAsia"/>
                      <w:color w:val="auto"/>
                      <w:kern w:val="0"/>
                      <w:sz w:val="18"/>
                      <w:szCs w:val="18"/>
                      <w:lang w:val="en-US" w:eastAsia="zh-CN"/>
                    </w:rPr>
                    <w:t>本工程为疗养院项目，不属于上述行业。</w:t>
                  </w:r>
                </w:p>
                <w:p w14:paraId="3A55B010">
                  <w:pPr>
                    <w:autoSpaceDE w:val="0"/>
                    <w:autoSpaceDN w:val="0"/>
                    <w:adjustRightInd w:val="0"/>
                    <w:snapToGrid w:val="0"/>
                    <w:jc w:val="center"/>
                    <w:rPr>
                      <w:rFonts w:hint="eastAsia"/>
                      <w:color w:val="auto"/>
                      <w:sz w:val="18"/>
                      <w:szCs w:val="18"/>
                      <w:lang w:eastAsia="zh-CN"/>
                    </w:rPr>
                  </w:pPr>
                  <w:r>
                    <w:rPr>
                      <w:color w:val="auto"/>
                      <w:kern w:val="0"/>
                      <w:sz w:val="18"/>
                      <w:szCs w:val="18"/>
                    </w:rPr>
                    <w:t>本项目建成运营后将建立健全</w:t>
                  </w:r>
                  <w:r>
                    <w:rPr>
                      <w:color w:val="auto"/>
                      <w:sz w:val="18"/>
                      <w:szCs w:val="18"/>
                    </w:rPr>
                    <w:t>突发环境事件应对工作机制，提高</w:t>
                  </w:r>
                  <w:r>
                    <w:rPr>
                      <w:rFonts w:hint="eastAsia"/>
                      <w:color w:val="auto"/>
                      <w:sz w:val="18"/>
                      <w:szCs w:val="18"/>
                      <w:lang w:val="en-US" w:eastAsia="zh-CN"/>
                    </w:rPr>
                    <w:t>突发环境事件</w:t>
                  </w:r>
                  <w:r>
                    <w:rPr>
                      <w:color w:val="auto"/>
                      <w:sz w:val="18"/>
                      <w:szCs w:val="18"/>
                    </w:rPr>
                    <w:t>预防、预警、应对能力</w:t>
                  </w:r>
                  <w:r>
                    <w:rPr>
                      <w:rFonts w:hint="eastAsia"/>
                      <w:color w:val="auto"/>
                      <w:sz w:val="18"/>
                      <w:szCs w:val="18"/>
                      <w:lang w:eastAsia="zh-CN"/>
                    </w:rPr>
                    <w:t>；</w:t>
                  </w:r>
                </w:p>
                <w:p w14:paraId="197859EE">
                  <w:pPr>
                    <w:autoSpaceDE w:val="0"/>
                    <w:autoSpaceDN w:val="0"/>
                    <w:adjustRightInd w:val="0"/>
                    <w:snapToGrid w:val="0"/>
                    <w:jc w:val="center"/>
                    <w:rPr>
                      <w:rFonts w:hint="eastAsia"/>
                      <w:color w:val="auto"/>
                      <w:sz w:val="18"/>
                      <w:szCs w:val="18"/>
                      <w:lang w:val="en-US" w:eastAsia="zh-CN"/>
                    </w:rPr>
                  </w:pPr>
                  <w:r>
                    <w:rPr>
                      <w:rFonts w:hint="eastAsia"/>
                      <w:color w:val="auto"/>
                      <w:sz w:val="18"/>
                      <w:szCs w:val="18"/>
                      <w:lang w:val="en-US" w:eastAsia="zh-CN"/>
                    </w:rPr>
                    <w:t>本项目设置1座20m</w:t>
                  </w:r>
                  <w:r>
                    <w:rPr>
                      <w:rFonts w:hint="eastAsia"/>
                      <w:color w:val="auto"/>
                      <w:sz w:val="18"/>
                      <w:szCs w:val="18"/>
                      <w:vertAlign w:val="superscript"/>
                      <w:lang w:val="en-US" w:eastAsia="zh-CN"/>
                    </w:rPr>
                    <w:t>2</w:t>
                  </w:r>
                  <w:r>
                    <w:rPr>
                      <w:rFonts w:hint="eastAsia"/>
                      <w:color w:val="auto"/>
                      <w:sz w:val="18"/>
                      <w:szCs w:val="18"/>
                      <w:lang w:val="en-US" w:eastAsia="zh-CN"/>
                    </w:rPr>
                    <w:t>的医疗废物贮存间，项目运营期产生的医疗废物经收集后暂存于贮存间内，定期委托有资质的单位清运处置，医疗废物贮存间严格按照《危险废物贮存污染控制标准》（GB18597-2023）的标准要求进行建设。</w:t>
                  </w:r>
                </w:p>
                <w:p w14:paraId="2F153310">
                  <w:pPr>
                    <w:autoSpaceDE w:val="0"/>
                    <w:autoSpaceDN w:val="0"/>
                    <w:adjustRightInd w:val="0"/>
                    <w:snapToGrid w:val="0"/>
                    <w:jc w:val="center"/>
                    <w:rPr>
                      <w:rFonts w:hint="default"/>
                      <w:color w:val="auto"/>
                      <w:sz w:val="18"/>
                      <w:szCs w:val="18"/>
                      <w:lang w:val="en-US" w:eastAsia="zh-CN"/>
                    </w:rPr>
                  </w:pPr>
                  <w:r>
                    <w:rPr>
                      <w:rFonts w:hint="eastAsia"/>
                      <w:color w:val="auto"/>
                      <w:sz w:val="18"/>
                      <w:szCs w:val="18"/>
                      <w:lang w:val="en-US" w:eastAsia="zh-CN"/>
                    </w:rPr>
                    <w:t>经上文分析可知，项目的建设符合“三线一单”生态环境分区管控要求。</w:t>
                  </w:r>
                </w:p>
              </w:tc>
            </w:tr>
            <w:tr w14:paraId="711964E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700" w:type="pct"/>
                  <w:vMerge w:val="restart"/>
                  <w:vAlign w:val="center"/>
                </w:tcPr>
                <w:p w14:paraId="73820BD8">
                  <w:pPr>
                    <w:autoSpaceDE w:val="0"/>
                    <w:autoSpaceDN w:val="0"/>
                    <w:adjustRightInd w:val="0"/>
                    <w:snapToGrid w:val="0"/>
                    <w:jc w:val="center"/>
                    <w:rPr>
                      <w:color w:val="auto"/>
                      <w:kern w:val="0"/>
                      <w:sz w:val="18"/>
                      <w:szCs w:val="18"/>
                    </w:rPr>
                  </w:pPr>
                  <w:r>
                    <w:rPr>
                      <w:color w:val="auto"/>
                      <w:sz w:val="18"/>
                      <w:szCs w:val="18"/>
                    </w:rPr>
                    <w:t>资源利用效率</w:t>
                  </w:r>
                </w:p>
              </w:tc>
              <w:tc>
                <w:tcPr>
                  <w:tcW w:w="2748" w:type="pct"/>
                  <w:vAlign w:val="center"/>
                </w:tcPr>
                <w:p w14:paraId="501AF778">
                  <w:pPr>
                    <w:autoSpaceDE w:val="0"/>
                    <w:autoSpaceDN w:val="0"/>
                    <w:adjustRightInd w:val="0"/>
                    <w:snapToGrid w:val="0"/>
                    <w:rPr>
                      <w:color w:val="auto"/>
                      <w:sz w:val="18"/>
                      <w:szCs w:val="18"/>
                    </w:rPr>
                  </w:pPr>
                  <w:r>
                    <w:rPr>
                      <w:color w:val="auto"/>
                      <w:sz w:val="18"/>
                      <w:szCs w:val="18"/>
                    </w:rPr>
                    <w:t>1.水资源利用上线严格落实“十四五”相关目标指标。</w:t>
                  </w:r>
                </w:p>
                <w:p w14:paraId="0AE0213E">
                  <w:pPr>
                    <w:autoSpaceDE w:val="0"/>
                    <w:autoSpaceDN w:val="0"/>
                    <w:adjustRightInd w:val="0"/>
                    <w:snapToGrid w:val="0"/>
                    <w:rPr>
                      <w:color w:val="auto"/>
                      <w:sz w:val="18"/>
                      <w:szCs w:val="18"/>
                    </w:rPr>
                  </w:pPr>
                  <w:r>
                    <w:rPr>
                      <w:color w:val="auto"/>
                      <w:sz w:val="18"/>
                      <w:szCs w:val="18"/>
                    </w:rPr>
                    <w:t>2.加快推进城头会泉域和水神堂泉域重点保护区的保护和生态修复。</w:t>
                  </w:r>
                </w:p>
                <w:p w14:paraId="6D6C98C0">
                  <w:pPr>
                    <w:autoSpaceDE w:val="0"/>
                    <w:autoSpaceDN w:val="0"/>
                    <w:adjustRightInd w:val="0"/>
                    <w:snapToGrid w:val="0"/>
                    <w:rPr>
                      <w:color w:val="auto"/>
                      <w:sz w:val="18"/>
                      <w:szCs w:val="18"/>
                    </w:rPr>
                  </w:pPr>
                  <w:r>
                    <w:rPr>
                      <w:color w:val="auto"/>
                      <w:sz w:val="18"/>
                      <w:szCs w:val="18"/>
                    </w:rPr>
                    <w:t>3.加强水资源开发利用红线管理，严格取用水总量汲取水许可管理，到2030年大同市用水总量控制在7.4亿立方米以内，万元工业增加值用水量控制在40立方米以下。</w:t>
                  </w:r>
                </w:p>
                <w:p w14:paraId="6AF9DE65">
                  <w:pPr>
                    <w:autoSpaceDE w:val="0"/>
                    <w:autoSpaceDN w:val="0"/>
                    <w:adjustRightInd w:val="0"/>
                    <w:snapToGrid w:val="0"/>
                    <w:rPr>
                      <w:color w:val="auto"/>
                      <w:sz w:val="18"/>
                      <w:szCs w:val="18"/>
                    </w:rPr>
                  </w:pPr>
                  <w:r>
                    <w:rPr>
                      <w:color w:val="auto"/>
                      <w:sz w:val="18"/>
                      <w:szCs w:val="18"/>
                    </w:rPr>
                    <w:t>4.大力推进工业节水，推动高耗水行业节水增效，积极推行水循环梯级利用，农田灌溉水有效利用系数提高到 0.6 以上。</w:t>
                  </w:r>
                </w:p>
                <w:p w14:paraId="2818723E">
                  <w:pPr>
                    <w:autoSpaceDE w:val="0"/>
                    <w:autoSpaceDN w:val="0"/>
                    <w:adjustRightInd w:val="0"/>
                    <w:snapToGrid w:val="0"/>
                    <w:rPr>
                      <w:color w:val="auto"/>
                      <w:kern w:val="0"/>
                      <w:sz w:val="18"/>
                      <w:szCs w:val="18"/>
                    </w:rPr>
                  </w:pPr>
                  <w:r>
                    <w:rPr>
                      <w:color w:val="auto"/>
                      <w:sz w:val="18"/>
                      <w:szCs w:val="18"/>
                    </w:rPr>
                    <w:t>5.严格规范地下水取水许可审批管理，实行取水许可区域限批制度和取水许可验收制度。对地下水取水总量已达到或超过控制指标的地区，暂停建设项目新增取水用地下水；对取水地下水总量接近控制指标的地区，限制审批新增取用地下水。</w:t>
                  </w:r>
                </w:p>
              </w:tc>
              <w:tc>
                <w:tcPr>
                  <w:tcW w:w="1550" w:type="pct"/>
                  <w:vAlign w:val="center"/>
                </w:tcPr>
                <w:p w14:paraId="60691FDC">
                  <w:pPr>
                    <w:autoSpaceDE w:val="0"/>
                    <w:autoSpaceDN w:val="0"/>
                    <w:adjustRightInd w:val="0"/>
                    <w:snapToGrid w:val="0"/>
                    <w:jc w:val="center"/>
                    <w:rPr>
                      <w:rFonts w:hint="default" w:eastAsia="宋体"/>
                      <w:color w:val="auto"/>
                      <w:kern w:val="0"/>
                      <w:sz w:val="18"/>
                      <w:szCs w:val="18"/>
                      <w:lang w:val="en-US" w:eastAsia="zh-CN"/>
                    </w:rPr>
                  </w:pPr>
                  <w:r>
                    <w:rPr>
                      <w:color w:val="auto"/>
                      <w:kern w:val="0"/>
                      <w:sz w:val="18"/>
                      <w:szCs w:val="18"/>
                    </w:rPr>
                    <w:t>本项目</w:t>
                  </w:r>
                  <w:r>
                    <w:rPr>
                      <w:rFonts w:hint="eastAsia"/>
                      <w:color w:val="auto"/>
                      <w:kern w:val="0"/>
                      <w:sz w:val="18"/>
                      <w:szCs w:val="18"/>
                      <w:lang w:val="en-US" w:eastAsia="zh-CN"/>
                    </w:rPr>
                    <w:t>运营期</w:t>
                  </w:r>
                  <w:r>
                    <w:rPr>
                      <w:color w:val="auto"/>
                      <w:kern w:val="0"/>
                      <w:sz w:val="18"/>
                      <w:szCs w:val="18"/>
                    </w:rPr>
                    <w:t>用水量较小</w:t>
                  </w:r>
                  <w:r>
                    <w:rPr>
                      <w:rFonts w:hint="eastAsia"/>
                      <w:color w:val="auto"/>
                      <w:kern w:val="0"/>
                      <w:sz w:val="18"/>
                      <w:szCs w:val="18"/>
                      <w:lang w:eastAsia="zh-CN"/>
                    </w:rPr>
                    <w:t>，</w:t>
                  </w:r>
                  <w:r>
                    <w:rPr>
                      <w:rFonts w:hint="eastAsia"/>
                      <w:color w:val="auto"/>
                      <w:kern w:val="0"/>
                      <w:sz w:val="18"/>
                      <w:szCs w:val="18"/>
                      <w:lang w:val="en-US" w:eastAsia="zh-CN"/>
                    </w:rPr>
                    <w:t>不使用地下水，水源为园区自来水管道提供</w:t>
                  </w:r>
                </w:p>
              </w:tc>
            </w:tr>
            <w:tr w14:paraId="75F8DC3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978" w:hRule="atLeast"/>
              </w:trPr>
              <w:tc>
                <w:tcPr>
                  <w:tcW w:w="700" w:type="pct"/>
                  <w:vMerge w:val="continue"/>
                  <w:vAlign w:val="center"/>
                </w:tcPr>
                <w:p w14:paraId="24E02324">
                  <w:pPr>
                    <w:autoSpaceDE w:val="0"/>
                    <w:autoSpaceDN w:val="0"/>
                    <w:adjustRightInd w:val="0"/>
                    <w:snapToGrid w:val="0"/>
                    <w:jc w:val="center"/>
                    <w:rPr>
                      <w:color w:val="auto"/>
                      <w:kern w:val="0"/>
                      <w:sz w:val="18"/>
                      <w:szCs w:val="18"/>
                    </w:rPr>
                  </w:pPr>
                </w:p>
              </w:tc>
              <w:tc>
                <w:tcPr>
                  <w:tcW w:w="2748" w:type="pct"/>
                  <w:vAlign w:val="center"/>
                </w:tcPr>
                <w:p w14:paraId="3C0B9E6D">
                  <w:pPr>
                    <w:autoSpaceDE w:val="0"/>
                    <w:autoSpaceDN w:val="0"/>
                    <w:adjustRightInd w:val="0"/>
                    <w:snapToGrid w:val="0"/>
                    <w:rPr>
                      <w:color w:val="auto"/>
                      <w:sz w:val="18"/>
                      <w:szCs w:val="18"/>
                    </w:rPr>
                  </w:pPr>
                  <w:r>
                    <w:rPr>
                      <w:color w:val="auto"/>
                      <w:sz w:val="18"/>
                      <w:szCs w:val="18"/>
                    </w:rPr>
                    <w:t>1.能源利用上线严格落实碳达峰、碳中和相关要求以及“十四五”相关目标指标。</w:t>
                  </w:r>
                </w:p>
                <w:p w14:paraId="5909C86C">
                  <w:pPr>
                    <w:autoSpaceDE w:val="0"/>
                    <w:autoSpaceDN w:val="0"/>
                    <w:adjustRightInd w:val="0"/>
                    <w:snapToGrid w:val="0"/>
                    <w:rPr>
                      <w:color w:val="auto"/>
                      <w:sz w:val="18"/>
                      <w:szCs w:val="18"/>
                    </w:rPr>
                  </w:pPr>
                  <w:r>
                    <w:rPr>
                      <w:color w:val="auto"/>
                      <w:sz w:val="18"/>
                      <w:szCs w:val="18"/>
                    </w:rPr>
                    <w:t>2.加强清洁低碳能源体系建设，大力发展非化石能源，严格落实煤炭消费等量减量替代措施。</w:t>
                  </w:r>
                </w:p>
                <w:p w14:paraId="370BCD64">
                  <w:pPr>
                    <w:autoSpaceDE w:val="0"/>
                    <w:autoSpaceDN w:val="0"/>
                    <w:adjustRightInd w:val="0"/>
                    <w:snapToGrid w:val="0"/>
                    <w:rPr>
                      <w:color w:val="auto"/>
                      <w:kern w:val="0"/>
                      <w:sz w:val="18"/>
                      <w:szCs w:val="18"/>
                    </w:rPr>
                  </w:pPr>
                  <w:r>
                    <w:rPr>
                      <w:color w:val="auto"/>
                      <w:sz w:val="18"/>
                      <w:szCs w:val="18"/>
                    </w:rPr>
                    <w:t>3.新建、改建、扩建项目“两高”项目须达到强制性能耗限额标准；现有企业和其他项目通过实施清洁生产改造，2030 年能耗水平显著下降。</w:t>
                  </w:r>
                </w:p>
              </w:tc>
              <w:tc>
                <w:tcPr>
                  <w:tcW w:w="1550" w:type="pct"/>
                  <w:vAlign w:val="center"/>
                </w:tcPr>
                <w:p w14:paraId="7BB794A4">
                  <w:pPr>
                    <w:autoSpaceDE w:val="0"/>
                    <w:autoSpaceDN w:val="0"/>
                    <w:adjustRightInd w:val="0"/>
                    <w:snapToGrid w:val="0"/>
                    <w:jc w:val="center"/>
                    <w:rPr>
                      <w:color w:val="auto"/>
                      <w:kern w:val="0"/>
                      <w:sz w:val="18"/>
                      <w:szCs w:val="18"/>
                    </w:rPr>
                  </w:pPr>
                  <w:r>
                    <w:rPr>
                      <w:color w:val="auto"/>
                      <w:kern w:val="0"/>
                      <w:sz w:val="18"/>
                      <w:szCs w:val="18"/>
                    </w:rPr>
                    <w:t>本项目不属于“两高”项目</w:t>
                  </w:r>
                </w:p>
              </w:tc>
            </w:tr>
            <w:tr w14:paraId="78BA939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48" w:hRule="atLeast"/>
              </w:trPr>
              <w:tc>
                <w:tcPr>
                  <w:tcW w:w="700" w:type="pct"/>
                  <w:vMerge w:val="continue"/>
                  <w:vAlign w:val="center"/>
                </w:tcPr>
                <w:p w14:paraId="41AFEF75">
                  <w:pPr>
                    <w:autoSpaceDE w:val="0"/>
                    <w:autoSpaceDN w:val="0"/>
                    <w:adjustRightInd w:val="0"/>
                    <w:snapToGrid w:val="0"/>
                    <w:jc w:val="center"/>
                    <w:rPr>
                      <w:color w:val="auto"/>
                      <w:kern w:val="0"/>
                      <w:sz w:val="18"/>
                      <w:szCs w:val="18"/>
                    </w:rPr>
                  </w:pPr>
                </w:p>
              </w:tc>
              <w:tc>
                <w:tcPr>
                  <w:tcW w:w="2748" w:type="pct"/>
                  <w:vAlign w:val="center"/>
                </w:tcPr>
                <w:p w14:paraId="5554FD18">
                  <w:pPr>
                    <w:autoSpaceDE w:val="0"/>
                    <w:autoSpaceDN w:val="0"/>
                    <w:adjustRightInd w:val="0"/>
                    <w:snapToGrid w:val="0"/>
                    <w:rPr>
                      <w:color w:val="auto"/>
                      <w:sz w:val="18"/>
                      <w:szCs w:val="18"/>
                    </w:rPr>
                  </w:pPr>
                  <w:r>
                    <w:rPr>
                      <w:color w:val="auto"/>
                      <w:sz w:val="18"/>
                      <w:szCs w:val="18"/>
                    </w:rPr>
                    <w:t>1.土地资源利用上线严格落实“十四五”相关目标指标。</w:t>
                  </w:r>
                </w:p>
                <w:p w14:paraId="62418A1A">
                  <w:pPr>
                    <w:autoSpaceDE w:val="0"/>
                    <w:autoSpaceDN w:val="0"/>
                    <w:adjustRightInd w:val="0"/>
                    <w:snapToGrid w:val="0"/>
                    <w:rPr>
                      <w:color w:val="auto"/>
                      <w:kern w:val="0"/>
                      <w:sz w:val="18"/>
                      <w:szCs w:val="18"/>
                    </w:rPr>
                  </w:pPr>
                  <w:r>
                    <w:rPr>
                      <w:color w:val="auto"/>
                      <w:sz w:val="18"/>
                      <w:szCs w:val="18"/>
                    </w:rPr>
                    <w:t>2.严格控制非农建设占用耕地工业项目，商业旅游、农村宅基地等建设项目在选址时应尽量利用未利用地及闲置土地，尽量不占或少占耕地。确需占用耕地的，必须符合土地利用总体规划和城市总体规划，做到“占一补一”“占优补优”，并依法办理农用地转用审批手续。</w:t>
                  </w:r>
                </w:p>
              </w:tc>
              <w:tc>
                <w:tcPr>
                  <w:tcW w:w="1550" w:type="pct"/>
                  <w:vAlign w:val="center"/>
                </w:tcPr>
                <w:p w14:paraId="6316B159">
                  <w:pPr>
                    <w:autoSpaceDE w:val="0"/>
                    <w:autoSpaceDN w:val="0"/>
                    <w:adjustRightInd w:val="0"/>
                    <w:snapToGrid w:val="0"/>
                    <w:jc w:val="center"/>
                    <w:rPr>
                      <w:rFonts w:hint="default" w:eastAsia="宋体"/>
                      <w:color w:val="auto"/>
                      <w:kern w:val="0"/>
                      <w:sz w:val="18"/>
                      <w:szCs w:val="18"/>
                      <w:lang w:val="en-US" w:eastAsia="zh-CN"/>
                    </w:rPr>
                  </w:pPr>
                  <w:r>
                    <w:rPr>
                      <w:color w:val="auto"/>
                      <w:kern w:val="0"/>
                      <w:sz w:val="18"/>
                      <w:szCs w:val="18"/>
                    </w:rPr>
                    <w:t>项目占地</w:t>
                  </w:r>
                  <w:r>
                    <w:rPr>
                      <w:rFonts w:hint="eastAsia"/>
                      <w:color w:val="auto"/>
                      <w:kern w:val="0"/>
                      <w:sz w:val="18"/>
                      <w:szCs w:val="18"/>
                    </w:rPr>
                    <w:t>性质</w:t>
                  </w:r>
                  <w:r>
                    <w:rPr>
                      <w:color w:val="auto"/>
                      <w:kern w:val="0"/>
                      <w:sz w:val="18"/>
                      <w:szCs w:val="18"/>
                    </w:rPr>
                    <w:t>为</w:t>
                  </w:r>
                  <w:r>
                    <w:rPr>
                      <w:rFonts w:hint="eastAsia"/>
                      <w:color w:val="auto"/>
                      <w:kern w:val="0"/>
                      <w:sz w:val="18"/>
                      <w:szCs w:val="18"/>
                      <w:lang w:val="en-US" w:eastAsia="zh-CN"/>
                    </w:rPr>
                    <w:t>医疗卫生</w:t>
                  </w:r>
                  <w:r>
                    <w:rPr>
                      <w:color w:val="auto"/>
                      <w:kern w:val="0"/>
                      <w:sz w:val="18"/>
                      <w:szCs w:val="18"/>
                    </w:rPr>
                    <w:t>用地</w:t>
                  </w:r>
                  <w:r>
                    <w:rPr>
                      <w:rFonts w:hint="eastAsia"/>
                      <w:color w:val="auto"/>
                      <w:kern w:val="0"/>
                      <w:sz w:val="18"/>
                      <w:szCs w:val="18"/>
                    </w:rPr>
                    <w:t>，</w:t>
                  </w:r>
                  <w:r>
                    <w:rPr>
                      <w:color w:val="auto"/>
                      <w:kern w:val="0"/>
                      <w:sz w:val="18"/>
                      <w:szCs w:val="18"/>
                    </w:rPr>
                    <w:t>施工及运营期均在本</w:t>
                  </w:r>
                  <w:r>
                    <w:rPr>
                      <w:rFonts w:hint="eastAsia"/>
                      <w:color w:val="auto"/>
                      <w:kern w:val="0"/>
                      <w:sz w:val="18"/>
                      <w:szCs w:val="18"/>
                      <w:lang w:val="en-US" w:eastAsia="zh-CN"/>
                    </w:rPr>
                    <w:t>项目</w:t>
                  </w:r>
                  <w:r>
                    <w:rPr>
                      <w:color w:val="auto"/>
                      <w:kern w:val="0"/>
                      <w:sz w:val="18"/>
                      <w:szCs w:val="18"/>
                    </w:rPr>
                    <w:t>占地范围内进行</w:t>
                  </w:r>
                  <w:r>
                    <w:rPr>
                      <w:rFonts w:hint="eastAsia"/>
                      <w:color w:val="auto"/>
                      <w:kern w:val="0"/>
                      <w:sz w:val="18"/>
                      <w:szCs w:val="18"/>
                      <w:lang w:eastAsia="zh-CN"/>
                    </w:rPr>
                    <w:t>，</w:t>
                  </w:r>
                  <w:r>
                    <w:rPr>
                      <w:rFonts w:hint="eastAsia"/>
                      <w:color w:val="auto"/>
                      <w:kern w:val="0"/>
                      <w:sz w:val="18"/>
                      <w:szCs w:val="18"/>
                      <w:lang w:val="en-US" w:eastAsia="zh-CN"/>
                    </w:rPr>
                    <w:t>不新增临时用地</w:t>
                  </w:r>
                </w:p>
              </w:tc>
            </w:tr>
          </w:tbl>
          <w:p w14:paraId="64B28E8B">
            <w:pPr>
              <w:spacing w:line="360" w:lineRule="auto"/>
              <w:ind w:firstLine="420" w:firstLineChars="200"/>
              <w:rPr>
                <w:color w:val="auto"/>
                <w:szCs w:val="21"/>
              </w:rPr>
            </w:pPr>
            <w:r>
              <w:rPr>
                <w:bCs/>
                <w:color w:val="auto"/>
                <w:szCs w:val="21"/>
              </w:rPr>
              <w:t>另外，本项目建设单位承诺积极配合当地环境管理以及相关部门的各项管理与监督。</w:t>
            </w:r>
          </w:p>
          <w:p w14:paraId="01041035">
            <w:pPr>
              <w:autoSpaceDE w:val="0"/>
              <w:autoSpaceDN w:val="0"/>
              <w:adjustRightInd w:val="0"/>
              <w:snapToGrid w:val="0"/>
              <w:spacing w:line="360" w:lineRule="auto"/>
              <w:ind w:firstLine="420" w:firstLineChars="200"/>
              <w:rPr>
                <w:color w:val="auto"/>
                <w:szCs w:val="21"/>
              </w:rPr>
            </w:pPr>
            <w:r>
              <w:rPr>
                <w:color w:val="auto"/>
                <w:szCs w:val="21"/>
              </w:rPr>
              <w:t>综上所述，本项目的建设符合“三线一单”的管控要求。</w:t>
            </w:r>
          </w:p>
          <w:p w14:paraId="4C078FE8">
            <w:pPr>
              <w:pStyle w:val="77"/>
              <w:snapToGrid/>
              <w:ind w:firstLine="422"/>
              <w:rPr>
                <w:rFonts w:ascii="Times New Roman" w:hAnsi="Times New Roman"/>
                <w:bCs/>
                <w:color w:val="auto"/>
                <w:szCs w:val="21"/>
              </w:rPr>
            </w:pPr>
            <w:r>
              <w:rPr>
                <w:rFonts w:hint="eastAsia" w:ascii="Times New Roman" w:hAnsi="Times New Roman"/>
                <w:bCs/>
                <w:color w:val="auto"/>
                <w:szCs w:val="21"/>
              </w:rPr>
              <w:t>2</w:t>
            </w:r>
            <w:r>
              <w:rPr>
                <w:rFonts w:ascii="Times New Roman" w:hAnsi="Times New Roman"/>
                <w:bCs/>
                <w:color w:val="auto"/>
                <w:szCs w:val="21"/>
              </w:rPr>
              <w:t>、产业政策符合性分析</w:t>
            </w:r>
          </w:p>
          <w:p w14:paraId="53BC38B3">
            <w:pPr>
              <w:spacing w:line="360" w:lineRule="auto"/>
              <w:ind w:firstLine="420" w:firstLineChars="200"/>
              <w:rPr>
                <w:bCs/>
                <w:color w:val="auto"/>
                <w:szCs w:val="21"/>
              </w:rPr>
            </w:pPr>
            <w:r>
              <w:rPr>
                <w:bCs/>
                <w:color w:val="auto"/>
                <w:szCs w:val="21"/>
              </w:rPr>
              <w:t>本工程为</w:t>
            </w:r>
            <w:r>
              <w:rPr>
                <w:rFonts w:hint="eastAsia"/>
                <w:bCs/>
                <w:color w:val="auto"/>
                <w:szCs w:val="21"/>
                <w:lang w:val="en-US" w:eastAsia="zh-CN"/>
              </w:rPr>
              <w:t>疗养院</w:t>
            </w:r>
            <w:r>
              <w:rPr>
                <w:bCs/>
                <w:color w:val="auto"/>
                <w:szCs w:val="21"/>
              </w:rPr>
              <w:t>类项目，属于</w:t>
            </w:r>
            <w:r>
              <w:rPr>
                <w:rFonts w:hint="eastAsia"/>
                <w:bCs/>
                <w:color w:val="auto"/>
                <w:szCs w:val="21"/>
              </w:rPr>
              <w:t>新建</w:t>
            </w:r>
            <w:r>
              <w:rPr>
                <w:rFonts w:hint="eastAsia"/>
                <w:bCs/>
                <w:color w:val="auto"/>
                <w:szCs w:val="21"/>
                <w:lang w:val="en-US" w:eastAsia="zh-CN"/>
              </w:rPr>
              <w:t>项目</w:t>
            </w:r>
            <w:r>
              <w:rPr>
                <w:bCs/>
                <w:color w:val="auto"/>
                <w:szCs w:val="21"/>
              </w:rPr>
              <w:t>。</w:t>
            </w:r>
          </w:p>
          <w:p w14:paraId="3B72232D">
            <w:pPr>
              <w:spacing w:line="360" w:lineRule="auto"/>
              <w:ind w:firstLine="420" w:firstLineChars="200"/>
              <w:rPr>
                <w:color w:val="auto"/>
                <w:szCs w:val="21"/>
              </w:rPr>
            </w:pPr>
            <w:r>
              <w:rPr>
                <w:color w:val="auto"/>
                <w:szCs w:val="21"/>
              </w:rPr>
              <w:t>根据《产业结构调整指导目录（20</w:t>
            </w:r>
            <w:r>
              <w:rPr>
                <w:rFonts w:hint="eastAsia"/>
                <w:color w:val="auto"/>
                <w:szCs w:val="21"/>
                <w:lang w:val="en-US" w:eastAsia="zh-CN"/>
              </w:rPr>
              <w:t>24</w:t>
            </w:r>
            <w:r>
              <w:rPr>
                <w:color w:val="auto"/>
                <w:szCs w:val="21"/>
              </w:rPr>
              <w:t>年本）》，本项目属于</w:t>
            </w:r>
            <w:r>
              <w:rPr>
                <w:rFonts w:hint="eastAsia"/>
                <w:color w:val="auto"/>
                <w:szCs w:val="21"/>
                <w:lang w:val="en-US" w:eastAsia="zh-CN"/>
              </w:rPr>
              <w:t>的“三十七、卫生健康”中的“</w:t>
            </w:r>
            <w:r>
              <w:rPr>
                <w:rFonts w:hint="default"/>
                <w:color w:val="auto"/>
                <w:szCs w:val="21"/>
                <w:lang w:val="en-US" w:eastAsia="zh-CN"/>
              </w:rPr>
              <w:t>1.</w:t>
            </w:r>
            <w:r>
              <w:rPr>
                <w:rFonts w:hint="eastAsia"/>
                <w:color w:val="auto"/>
                <w:szCs w:val="21"/>
                <w:lang w:val="en-US" w:eastAsia="zh-CN"/>
              </w:rPr>
              <w:t>医疗服务设施建设”，属于鼓励类项目，符合产业政策</w:t>
            </w:r>
            <w:r>
              <w:rPr>
                <w:color w:val="auto"/>
                <w:szCs w:val="21"/>
              </w:rPr>
              <w:t>。</w:t>
            </w:r>
          </w:p>
          <w:p w14:paraId="6D8011F8">
            <w:pPr>
              <w:pStyle w:val="77"/>
              <w:snapToGrid/>
              <w:ind w:firstLine="411" w:firstLineChars="196"/>
              <w:rPr>
                <w:rFonts w:ascii="Times New Roman" w:hAnsi="Times New Roman"/>
                <w:bCs/>
                <w:color w:val="auto"/>
                <w:szCs w:val="21"/>
              </w:rPr>
            </w:pPr>
            <w:r>
              <w:rPr>
                <w:rFonts w:ascii="Times New Roman" w:hAnsi="Times New Roman"/>
                <w:b w:val="0"/>
                <w:color w:val="auto"/>
                <w:szCs w:val="21"/>
              </w:rPr>
              <w:t>由此可知，本项目的建设</w:t>
            </w:r>
            <w:r>
              <w:rPr>
                <w:rFonts w:ascii="Times New Roman" w:hAnsi="Times New Roman"/>
                <w:b w:val="0"/>
                <w:bCs/>
                <w:color w:val="auto"/>
                <w:szCs w:val="21"/>
              </w:rPr>
              <w:t>不违背国家和地方产业政策。</w:t>
            </w:r>
          </w:p>
          <w:p w14:paraId="724D1BF0">
            <w:pPr>
              <w:pStyle w:val="77"/>
              <w:snapToGrid/>
              <w:ind w:firstLine="420"/>
              <w:rPr>
                <w:rFonts w:ascii="Times New Roman"/>
                <w:b w:val="0"/>
                <w:color w:val="auto"/>
                <w:kern w:val="0"/>
                <w:szCs w:val="21"/>
              </w:rPr>
            </w:pPr>
          </w:p>
          <w:p w14:paraId="10224C9F">
            <w:pPr>
              <w:pStyle w:val="77"/>
              <w:snapToGrid/>
              <w:ind w:firstLine="420"/>
              <w:rPr>
                <w:rFonts w:ascii="Times New Roman"/>
                <w:b w:val="0"/>
                <w:color w:val="auto"/>
                <w:kern w:val="0"/>
                <w:szCs w:val="21"/>
              </w:rPr>
            </w:pPr>
          </w:p>
          <w:p w14:paraId="11E856B0">
            <w:pPr>
              <w:pStyle w:val="77"/>
              <w:snapToGrid/>
              <w:ind w:firstLine="420"/>
              <w:rPr>
                <w:rFonts w:ascii="Times New Roman"/>
                <w:b w:val="0"/>
                <w:color w:val="auto"/>
                <w:kern w:val="0"/>
                <w:szCs w:val="21"/>
              </w:rPr>
            </w:pPr>
          </w:p>
          <w:p w14:paraId="07D776A1">
            <w:pPr>
              <w:pStyle w:val="77"/>
              <w:snapToGrid/>
              <w:ind w:firstLine="420"/>
              <w:rPr>
                <w:rFonts w:ascii="Times New Roman"/>
                <w:b w:val="0"/>
                <w:color w:val="auto"/>
                <w:kern w:val="0"/>
                <w:szCs w:val="21"/>
              </w:rPr>
            </w:pPr>
          </w:p>
          <w:p w14:paraId="5D5EC84B">
            <w:pPr>
              <w:pStyle w:val="77"/>
              <w:snapToGrid/>
              <w:ind w:firstLine="420"/>
              <w:rPr>
                <w:rFonts w:ascii="Times New Roman"/>
                <w:b w:val="0"/>
                <w:color w:val="auto"/>
                <w:kern w:val="0"/>
                <w:szCs w:val="21"/>
              </w:rPr>
            </w:pPr>
          </w:p>
          <w:p w14:paraId="766A5C55">
            <w:pPr>
              <w:pStyle w:val="77"/>
              <w:snapToGrid/>
              <w:ind w:firstLine="420"/>
              <w:rPr>
                <w:rFonts w:ascii="Times New Roman"/>
                <w:b w:val="0"/>
                <w:color w:val="auto"/>
                <w:kern w:val="0"/>
                <w:szCs w:val="21"/>
              </w:rPr>
            </w:pPr>
          </w:p>
          <w:p w14:paraId="1574C56E">
            <w:pPr>
              <w:pStyle w:val="77"/>
              <w:snapToGrid/>
              <w:ind w:firstLine="420"/>
              <w:rPr>
                <w:rFonts w:ascii="Times New Roman"/>
                <w:b w:val="0"/>
                <w:color w:val="auto"/>
                <w:kern w:val="0"/>
                <w:szCs w:val="21"/>
              </w:rPr>
            </w:pPr>
          </w:p>
          <w:p w14:paraId="295D9F67">
            <w:pPr>
              <w:pStyle w:val="77"/>
              <w:snapToGrid/>
              <w:ind w:firstLine="420"/>
              <w:rPr>
                <w:rFonts w:ascii="Times New Roman"/>
                <w:b w:val="0"/>
                <w:color w:val="auto"/>
                <w:kern w:val="0"/>
                <w:szCs w:val="21"/>
              </w:rPr>
            </w:pPr>
          </w:p>
          <w:p w14:paraId="7278CCAC">
            <w:pPr>
              <w:pStyle w:val="77"/>
              <w:snapToGrid/>
              <w:ind w:firstLine="420"/>
              <w:rPr>
                <w:rFonts w:ascii="Times New Roman"/>
                <w:b w:val="0"/>
                <w:color w:val="auto"/>
                <w:kern w:val="0"/>
                <w:szCs w:val="21"/>
              </w:rPr>
            </w:pPr>
          </w:p>
          <w:p w14:paraId="5823A0A9">
            <w:pPr>
              <w:pStyle w:val="77"/>
              <w:snapToGrid/>
              <w:ind w:firstLine="420"/>
              <w:rPr>
                <w:rFonts w:ascii="Times New Roman"/>
                <w:b w:val="0"/>
                <w:color w:val="auto"/>
                <w:kern w:val="0"/>
                <w:szCs w:val="21"/>
              </w:rPr>
            </w:pPr>
          </w:p>
          <w:p w14:paraId="55B5D5EB">
            <w:pPr>
              <w:pStyle w:val="77"/>
              <w:snapToGrid/>
              <w:ind w:firstLine="420"/>
              <w:rPr>
                <w:rFonts w:ascii="Times New Roman"/>
                <w:b w:val="0"/>
                <w:color w:val="auto"/>
                <w:kern w:val="0"/>
                <w:szCs w:val="21"/>
              </w:rPr>
            </w:pPr>
          </w:p>
          <w:p w14:paraId="1DC05800">
            <w:pPr>
              <w:pStyle w:val="77"/>
              <w:snapToGrid/>
              <w:ind w:firstLine="420"/>
              <w:rPr>
                <w:rFonts w:ascii="Times New Roman"/>
                <w:b w:val="0"/>
                <w:color w:val="auto"/>
                <w:kern w:val="0"/>
                <w:szCs w:val="21"/>
              </w:rPr>
            </w:pPr>
          </w:p>
          <w:p w14:paraId="291E139F">
            <w:pPr>
              <w:pStyle w:val="77"/>
              <w:snapToGrid/>
              <w:ind w:firstLine="420"/>
              <w:rPr>
                <w:rFonts w:ascii="Times New Roman"/>
                <w:b w:val="0"/>
                <w:color w:val="auto"/>
                <w:kern w:val="0"/>
                <w:szCs w:val="21"/>
              </w:rPr>
            </w:pPr>
          </w:p>
          <w:p w14:paraId="54E659C8">
            <w:pPr>
              <w:pStyle w:val="77"/>
              <w:snapToGrid/>
              <w:ind w:firstLine="420"/>
              <w:rPr>
                <w:rFonts w:ascii="Times New Roman"/>
                <w:b w:val="0"/>
                <w:color w:val="auto"/>
                <w:kern w:val="0"/>
                <w:szCs w:val="21"/>
              </w:rPr>
            </w:pPr>
          </w:p>
          <w:p w14:paraId="1BC64B16">
            <w:pPr>
              <w:pStyle w:val="77"/>
              <w:snapToGrid/>
              <w:ind w:firstLine="420"/>
              <w:rPr>
                <w:rFonts w:ascii="Times New Roman"/>
                <w:b w:val="0"/>
                <w:color w:val="auto"/>
                <w:kern w:val="0"/>
                <w:szCs w:val="21"/>
              </w:rPr>
            </w:pPr>
          </w:p>
          <w:p w14:paraId="55183DE0">
            <w:pPr>
              <w:pStyle w:val="77"/>
              <w:snapToGrid/>
              <w:ind w:firstLine="420"/>
              <w:rPr>
                <w:rFonts w:ascii="Times New Roman"/>
                <w:b w:val="0"/>
                <w:color w:val="auto"/>
                <w:kern w:val="0"/>
                <w:szCs w:val="21"/>
              </w:rPr>
            </w:pPr>
          </w:p>
          <w:p w14:paraId="5518AF7B">
            <w:pPr>
              <w:pStyle w:val="77"/>
              <w:snapToGrid/>
              <w:ind w:firstLine="420"/>
              <w:rPr>
                <w:rFonts w:ascii="Times New Roman"/>
                <w:b w:val="0"/>
                <w:color w:val="auto"/>
                <w:kern w:val="0"/>
                <w:szCs w:val="21"/>
              </w:rPr>
            </w:pPr>
          </w:p>
          <w:p w14:paraId="7B48D666">
            <w:pPr>
              <w:pStyle w:val="77"/>
              <w:snapToGrid/>
              <w:ind w:firstLine="420"/>
              <w:rPr>
                <w:rFonts w:ascii="Times New Roman"/>
                <w:b w:val="0"/>
                <w:color w:val="auto"/>
                <w:kern w:val="0"/>
                <w:szCs w:val="21"/>
              </w:rPr>
            </w:pPr>
          </w:p>
          <w:p w14:paraId="1E914BD7">
            <w:pPr>
              <w:pStyle w:val="77"/>
              <w:snapToGrid/>
              <w:ind w:firstLine="420"/>
              <w:rPr>
                <w:rFonts w:ascii="Times New Roman"/>
                <w:b w:val="0"/>
                <w:color w:val="auto"/>
                <w:kern w:val="0"/>
                <w:szCs w:val="21"/>
              </w:rPr>
            </w:pPr>
          </w:p>
          <w:p w14:paraId="36570BA8">
            <w:pPr>
              <w:pStyle w:val="77"/>
              <w:snapToGrid/>
              <w:ind w:firstLine="420"/>
              <w:rPr>
                <w:rFonts w:ascii="Times New Roman"/>
                <w:b w:val="0"/>
                <w:color w:val="auto"/>
                <w:kern w:val="0"/>
                <w:szCs w:val="21"/>
              </w:rPr>
            </w:pPr>
          </w:p>
          <w:p w14:paraId="5E655A54">
            <w:pPr>
              <w:pStyle w:val="77"/>
              <w:snapToGrid/>
              <w:ind w:firstLine="420"/>
              <w:rPr>
                <w:rFonts w:ascii="Times New Roman"/>
                <w:b w:val="0"/>
                <w:color w:val="auto"/>
                <w:kern w:val="0"/>
                <w:szCs w:val="21"/>
              </w:rPr>
            </w:pPr>
          </w:p>
          <w:p w14:paraId="57957160">
            <w:pPr>
              <w:pStyle w:val="77"/>
              <w:snapToGrid/>
              <w:ind w:firstLine="420"/>
              <w:rPr>
                <w:rFonts w:ascii="Times New Roman"/>
                <w:b w:val="0"/>
                <w:color w:val="auto"/>
                <w:kern w:val="0"/>
                <w:szCs w:val="21"/>
              </w:rPr>
            </w:pPr>
          </w:p>
          <w:p w14:paraId="188DC27A">
            <w:pPr>
              <w:pStyle w:val="77"/>
              <w:snapToGrid/>
              <w:ind w:firstLine="420"/>
              <w:rPr>
                <w:rFonts w:ascii="Times New Roman"/>
                <w:b w:val="0"/>
                <w:color w:val="auto"/>
                <w:kern w:val="0"/>
                <w:szCs w:val="21"/>
              </w:rPr>
            </w:pPr>
          </w:p>
          <w:p w14:paraId="1EC09B1A">
            <w:pPr>
              <w:pStyle w:val="77"/>
              <w:snapToGrid/>
              <w:ind w:firstLine="420"/>
              <w:rPr>
                <w:rFonts w:ascii="Times New Roman"/>
                <w:b w:val="0"/>
                <w:color w:val="auto"/>
                <w:kern w:val="0"/>
                <w:szCs w:val="21"/>
              </w:rPr>
            </w:pPr>
          </w:p>
          <w:p w14:paraId="1675F6F3">
            <w:pPr>
              <w:pStyle w:val="77"/>
              <w:snapToGrid/>
              <w:ind w:firstLine="420"/>
              <w:rPr>
                <w:rFonts w:ascii="Times New Roman"/>
                <w:b w:val="0"/>
                <w:color w:val="auto"/>
                <w:kern w:val="0"/>
                <w:szCs w:val="21"/>
              </w:rPr>
            </w:pPr>
          </w:p>
          <w:p w14:paraId="458C2D44">
            <w:pPr>
              <w:pStyle w:val="77"/>
              <w:snapToGrid/>
              <w:ind w:firstLine="420"/>
              <w:rPr>
                <w:rFonts w:ascii="Times New Roman"/>
                <w:b w:val="0"/>
                <w:color w:val="auto"/>
                <w:kern w:val="0"/>
                <w:szCs w:val="21"/>
              </w:rPr>
            </w:pPr>
          </w:p>
        </w:tc>
      </w:tr>
    </w:tbl>
    <w:p w14:paraId="2389286C">
      <w:pPr>
        <w:spacing w:line="360" w:lineRule="auto"/>
        <w:outlineLvl w:val="9"/>
        <w:rPr>
          <w:rFonts w:eastAsia="黑体"/>
          <w:sz w:val="30"/>
        </w:rPr>
        <w:sectPr>
          <w:footerReference r:id="rId4" w:type="default"/>
          <w:pgSz w:w="11906" w:h="16838"/>
          <w:pgMar w:top="1701" w:right="1531" w:bottom="1701" w:left="1531" w:header="851" w:footer="1077" w:gutter="0"/>
          <w:pgBorders>
            <w:top w:val="none" w:sz="0" w:space="0"/>
            <w:left w:val="none" w:sz="0" w:space="0"/>
            <w:bottom w:val="none" w:sz="0" w:space="0"/>
            <w:right w:val="none" w:sz="0" w:space="0"/>
          </w:pgBorders>
          <w:pgNumType w:fmt="decimal" w:start="1"/>
          <w:cols w:space="720" w:num="1"/>
          <w:docGrid w:linePitch="312" w:charSpace="0"/>
        </w:sectPr>
      </w:pPr>
    </w:p>
    <w:p w14:paraId="3A518B3B">
      <w:pPr>
        <w:pStyle w:val="41"/>
        <w:jc w:val="center"/>
        <w:outlineLvl w:val="0"/>
        <w:rPr>
          <w:rFonts w:ascii="Times New Roman" w:hAnsi="Times New Roman" w:eastAsia="黑体"/>
          <w:snapToGrid w:val="0"/>
          <w:sz w:val="30"/>
          <w:szCs w:val="30"/>
        </w:rPr>
      </w:pPr>
      <w:bookmarkStart w:id="3" w:name="_Toc11592"/>
      <w:r>
        <w:rPr>
          <w:rFonts w:ascii="Times New Roman" w:hAnsi="Times New Roman" w:eastAsia="黑体"/>
          <w:snapToGrid w:val="0"/>
          <w:sz w:val="30"/>
          <w:szCs w:val="30"/>
        </w:rPr>
        <w:t>二、建设项目工程分析</w:t>
      </w:r>
      <w:bookmarkEnd w:id="3"/>
    </w:p>
    <w:tbl>
      <w:tblPr>
        <w:tblStyle w:val="47"/>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491"/>
        <w:gridCol w:w="7499"/>
      </w:tblGrid>
      <w:tr w14:paraId="2589930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111" w:hRule="atLeast"/>
          <w:jc w:val="center"/>
        </w:trPr>
        <w:tc>
          <w:tcPr>
            <w:tcW w:w="1491" w:type="dxa"/>
            <w:vAlign w:val="center"/>
          </w:tcPr>
          <w:p w14:paraId="4FEC4655">
            <w:pPr>
              <w:pStyle w:val="41"/>
              <w:adjustRightInd w:val="0"/>
              <w:snapToGrid w:val="0"/>
              <w:spacing w:before="0" w:beforeAutospacing="0" w:after="0" w:afterAutospacing="0"/>
              <w:jc w:val="center"/>
              <w:rPr>
                <w:rFonts w:ascii="Times New Roman" w:hAnsi="Times New Roman"/>
                <w:sz w:val="21"/>
                <w:szCs w:val="21"/>
              </w:rPr>
            </w:pPr>
            <w:r>
              <w:rPr>
                <w:rFonts w:ascii="Times New Roman" w:hAnsi="Times New Roman"/>
                <w:sz w:val="21"/>
                <w:szCs w:val="21"/>
              </w:rPr>
              <w:t>建设</w:t>
            </w:r>
          </w:p>
          <w:p w14:paraId="5BC131BB">
            <w:pPr>
              <w:pStyle w:val="41"/>
              <w:adjustRightInd w:val="0"/>
              <w:snapToGrid w:val="0"/>
              <w:spacing w:before="0" w:beforeAutospacing="0" w:after="0" w:afterAutospacing="0"/>
              <w:jc w:val="center"/>
              <w:rPr>
                <w:rFonts w:ascii="Times New Roman" w:hAnsi="Times New Roman"/>
                <w:sz w:val="21"/>
                <w:szCs w:val="21"/>
              </w:rPr>
            </w:pPr>
            <w:r>
              <w:rPr>
                <w:rFonts w:ascii="Times New Roman" w:hAnsi="Times New Roman"/>
                <w:sz w:val="21"/>
                <w:szCs w:val="21"/>
              </w:rPr>
              <w:t>内容</w:t>
            </w:r>
          </w:p>
        </w:tc>
        <w:tc>
          <w:tcPr>
            <w:tcW w:w="7499" w:type="dxa"/>
          </w:tcPr>
          <w:p w14:paraId="384F7C2D">
            <w:pPr>
              <w:spacing w:line="360" w:lineRule="auto"/>
              <w:ind w:firstLine="422" w:firstLineChars="200"/>
              <w:rPr>
                <w:rFonts w:hint="eastAsia"/>
                <w:b/>
                <w:bCs/>
                <w:color w:val="auto"/>
                <w:szCs w:val="21"/>
                <w:lang w:val="en-US" w:eastAsia="zh-CN"/>
              </w:rPr>
            </w:pPr>
            <w:r>
              <w:rPr>
                <w:rFonts w:hint="eastAsia"/>
                <w:b/>
                <w:bCs/>
                <w:color w:val="auto"/>
                <w:szCs w:val="21"/>
                <w:lang w:val="en-US" w:eastAsia="zh-CN"/>
              </w:rPr>
              <w:t>背景简介</w:t>
            </w:r>
          </w:p>
          <w:p w14:paraId="2C696102">
            <w:pPr>
              <w:spacing w:line="360" w:lineRule="auto"/>
              <w:ind w:firstLine="420" w:firstLineChars="200"/>
              <w:rPr>
                <w:rFonts w:hint="eastAsia"/>
                <w:bCs/>
                <w:color w:val="auto"/>
                <w:szCs w:val="21"/>
                <w:lang w:val="en-US" w:eastAsia="zh-CN"/>
              </w:rPr>
            </w:pPr>
            <w:r>
              <w:rPr>
                <w:rFonts w:hint="eastAsia"/>
                <w:bCs/>
                <w:color w:val="auto"/>
                <w:szCs w:val="21"/>
                <w:lang w:val="en-US" w:eastAsia="zh-CN"/>
              </w:rPr>
              <w:t xml:space="preserve">本项目为新建项目，建设单位原为大同市现代医院管理有限责任公司，原项目名称为大同市医康养中心建设项目，2018年8月委托山西清泽阳光环保科技有限公司编制《大同市现代医院管理有限责任公司大同市医康养中心建设项目环境影响报告表》，大同经济技术开发区行政审批局于2018年11月7日以同开审批环函[2018]22号文批复。因市场经济等综合因素，建设单位未开工建设，属于“超5年重新审核”类项目，特提出本次评价。 </w:t>
            </w:r>
          </w:p>
          <w:p w14:paraId="0423B564">
            <w:pPr>
              <w:spacing w:line="360" w:lineRule="auto"/>
              <w:ind w:firstLine="420" w:firstLineChars="200"/>
              <w:rPr>
                <w:rFonts w:hint="default"/>
                <w:bCs/>
                <w:color w:val="auto"/>
                <w:szCs w:val="21"/>
                <w:lang w:val="en-US"/>
              </w:rPr>
            </w:pPr>
            <w:r>
              <w:rPr>
                <w:rFonts w:hint="eastAsia"/>
                <w:bCs/>
                <w:color w:val="auto"/>
                <w:szCs w:val="21"/>
                <w:lang w:val="en-US" w:eastAsia="zh-CN"/>
              </w:rPr>
              <w:t>根据企业提供的设计资料显示，本项目建设完成后，设计床位472</w:t>
            </w:r>
            <w:r>
              <w:rPr>
                <w:rFonts w:hint="default"/>
                <w:bCs/>
                <w:color w:val="auto"/>
                <w:szCs w:val="21"/>
                <w:lang w:val="en-US" w:eastAsia="zh-CN"/>
              </w:rPr>
              <w:t xml:space="preserve"> </w:t>
            </w:r>
            <w:r>
              <w:rPr>
                <w:rFonts w:hint="eastAsia"/>
                <w:bCs/>
                <w:color w:val="auto"/>
                <w:szCs w:val="21"/>
                <w:lang w:val="en-US" w:eastAsia="zh-CN"/>
              </w:rPr>
              <w:t>张；拟设置的诊疗科目包括内科、外科、眼科、妇科、耳鼻咽喉科、麻醉科、中医科、医学检验科（临床体液、血液专业；临床化学检验专业；临床免疫、血清学专业）、医学影像科（核医学科）（</w:t>
            </w:r>
            <w:r>
              <w:rPr>
                <w:rFonts w:hint="default"/>
                <w:bCs/>
                <w:color w:val="auto"/>
                <w:szCs w:val="21"/>
                <w:lang w:val="en-US" w:eastAsia="zh-CN"/>
              </w:rPr>
              <w:t xml:space="preserve">X </w:t>
            </w:r>
            <w:r>
              <w:rPr>
                <w:rFonts w:hint="eastAsia"/>
                <w:bCs/>
                <w:color w:val="auto"/>
                <w:szCs w:val="21"/>
                <w:lang w:val="en-US" w:eastAsia="zh-CN"/>
              </w:rPr>
              <w:t>线诊断专业、</w:t>
            </w:r>
            <w:r>
              <w:rPr>
                <w:rFonts w:hint="default"/>
                <w:bCs/>
                <w:color w:val="auto"/>
                <w:szCs w:val="21"/>
                <w:lang w:val="en-US" w:eastAsia="zh-CN"/>
              </w:rPr>
              <w:t xml:space="preserve">CT </w:t>
            </w:r>
            <w:r>
              <w:rPr>
                <w:rFonts w:hint="eastAsia"/>
                <w:bCs/>
                <w:color w:val="auto"/>
                <w:szCs w:val="21"/>
                <w:lang w:val="en-US" w:eastAsia="zh-CN"/>
              </w:rPr>
              <w:t>诊断专业、超声诊断专业、心电诊断专业）等。属于二级甲等医院配置。</w:t>
            </w:r>
          </w:p>
          <w:p w14:paraId="2C2734BC">
            <w:pPr>
              <w:spacing w:line="360" w:lineRule="auto"/>
              <w:ind w:firstLine="420" w:firstLineChars="200"/>
              <w:rPr>
                <w:bCs/>
                <w:color w:val="auto"/>
                <w:szCs w:val="21"/>
              </w:rPr>
            </w:pPr>
            <w:r>
              <w:rPr>
                <w:rFonts w:hint="eastAsia"/>
                <w:bCs/>
                <w:color w:val="auto"/>
                <w:szCs w:val="21"/>
                <w:u w:val="single"/>
                <w:lang w:val="en-US" w:eastAsia="zh-CN"/>
              </w:rPr>
              <w:t>本医院医学影像科采用直接成像技术，不进行洗印；医学检验科使用外购的成品检测试剂。</w:t>
            </w:r>
            <w:r>
              <w:rPr>
                <w:rFonts w:hint="eastAsia"/>
                <w:b/>
                <w:bCs w:val="0"/>
                <w:color w:val="auto"/>
                <w:szCs w:val="21"/>
                <w:u w:val="single"/>
                <w:lang w:val="en-US" w:eastAsia="zh-CN"/>
              </w:rPr>
              <w:t>项目医学影像科（核医学科）涉及放射源及射线装置须委托有相应资质的单位另行评价。</w:t>
            </w:r>
          </w:p>
          <w:p w14:paraId="49A05AB0">
            <w:pPr>
              <w:spacing w:line="360" w:lineRule="auto"/>
              <w:ind w:firstLine="422" w:firstLineChars="200"/>
              <w:rPr>
                <w:rFonts w:hint="default" w:eastAsia="宋体"/>
                <w:b/>
                <w:bCs/>
                <w:color w:val="auto"/>
                <w:szCs w:val="21"/>
                <w:lang w:val="en-US" w:eastAsia="zh-CN"/>
              </w:rPr>
            </w:pPr>
            <w:r>
              <w:rPr>
                <w:rFonts w:hint="eastAsia"/>
                <w:b/>
                <w:bCs/>
                <w:color w:val="auto"/>
                <w:szCs w:val="21"/>
                <w:lang w:val="en-US" w:eastAsia="zh-CN"/>
              </w:rPr>
              <w:t>2.1工程组成</w:t>
            </w:r>
          </w:p>
          <w:p w14:paraId="64AB497E">
            <w:pPr>
              <w:spacing w:line="360" w:lineRule="auto"/>
              <w:ind w:firstLine="420" w:firstLineChars="200"/>
              <w:rPr>
                <w:b/>
                <w:bCs/>
                <w:color w:val="auto"/>
                <w:szCs w:val="21"/>
              </w:rPr>
            </w:pPr>
            <w:r>
              <w:rPr>
                <w:bCs/>
                <w:color w:val="auto"/>
                <w:szCs w:val="21"/>
              </w:rPr>
              <w:t>本项目主要建设内容见表2-</w:t>
            </w:r>
            <w:r>
              <w:rPr>
                <w:rFonts w:hint="eastAsia"/>
                <w:bCs/>
                <w:color w:val="auto"/>
                <w:szCs w:val="21"/>
                <w:lang w:val="en-US" w:eastAsia="zh-CN"/>
              </w:rPr>
              <w:t>1</w:t>
            </w:r>
            <w:r>
              <w:rPr>
                <w:bCs/>
                <w:color w:val="auto"/>
                <w:szCs w:val="21"/>
              </w:rPr>
              <w:t>。</w:t>
            </w:r>
          </w:p>
          <w:p w14:paraId="586B24BE">
            <w:pPr>
              <w:pStyle w:val="77"/>
              <w:snapToGrid/>
              <w:spacing w:line="240" w:lineRule="exact"/>
              <w:ind w:firstLine="361"/>
              <w:jc w:val="center"/>
              <w:rPr>
                <w:rFonts w:ascii="Times New Roman" w:hAnsi="Times New Roman"/>
                <w:b w:val="0"/>
                <w:bCs/>
                <w:color w:val="auto"/>
                <w:sz w:val="18"/>
                <w:szCs w:val="18"/>
              </w:rPr>
            </w:pPr>
            <w:r>
              <w:rPr>
                <w:rFonts w:ascii="Times New Roman" w:hAnsi="Times New Roman"/>
                <w:color w:val="auto"/>
                <w:sz w:val="18"/>
                <w:szCs w:val="18"/>
              </w:rPr>
              <w:t>表2-</w:t>
            </w:r>
            <w:r>
              <w:rPr>
                <w:rFonts w:hint="eastAsia" w:ascii="Times New Roman" w:hAnsi="Times New Roman"/>
                <w:color w:val="auto"/>
                <w:sz w:val="18"/>
                <w:szCs w:val="18"/>
                <w:lang w:val="en-US" w:eastAsia="zh-CN"/>
              </w:rPr>
              <w:t>1</w:t>
            </w:r>
            <w:r>
              <w:rPr>
                <w:rFonts w:ascii="Times New Roman" w:hAnsi="Times New Roman"/>
                <w:color w:val="auto"/>
                <w:sz w:val="18"/>
                <w:szCs w:val="18"/>
              </w:rPr>
              <w:t xml:space="preserve">    主要建设内容表</w:t>
            </w:r>
          </w:p>
          <w:tbl>
            <w:tblPr>
              <w:tblStyle w:val="47"/>
              <w:tblW w:w="5000" w:type="pct"/>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autofit"/>
              <w:tblCellMar>
                <w:top w:w="0" w:type="dxa"/>
                <w:left w:w="108" w:type="dxa"/>
                <w:bottom w:w="0" w:type="dxa"/>
                <w:right w:w="108" w:type="dxa"/>
              </w:tblCellMar>
            </w:tblPr>
            <w:tblGrid>
              <w:gridCol w:w="495"/>
              <w:gridCol w:w="495"/>
              <w:gridCol w:w="812"/>
              <w:gridCol w:w="4843"/>
              <w:gridCol w:w="608"/>
            </w:tblGrid>
            <w:tr w14:paraId="0982500B">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1242" w:type="pct"/>
                  <w:gridSpan w:val="3"/>
                  <w:vAlign w:val="center"/>
                </w:tcPr>
                <w:p w14:paraId="6C47E7FE">
                  <w:pPr>
                    <w:jc w:val="center"/>
                    <w:rPr>
                      <w:color w:val="auto"/>
                      <w:sz w:val="18"/>
                      <w:szCs w:val="18"/>
                    </w:rPr>
                  </w:pPr>
                  <w:r>
                    <w:rPr>
                      <w:color w:val="auto"/>
                      <w:sz w:val="18"/>
                      <w:szCs w:val="18"/>
                    </w:rPr>
                    <w:t>工程名称</w:t>
                  </w:r>
                </w:p>
              </w:tc>
              <w:tc>
                <w:tcPr>
                  <w:tcW w:w="3338" w:type="pct"/>
                  <w:vAlign w:val="center"/>
                </w:tcPr>
                <w:p w14:paraId="309E8C52">
                  <w:pPr>
                    <w:jc w:val="center"/>
                    <w:rPr>
                      <w:color w:val="auto"/>
                      <w:sz w:val="18"/>
                      <w:szCs w:val="18"/>
                    </w:rPr>
                  </w:pPr>
                  <w:r>
                    <w:rPr>
                      <w:color w:val="auto"/>
                      <w:sz w:val="18"/>
                      <w:szCs w:val="18"/>
                    </w:rPr>
                    <w:t>工程建设内容</w:t>
                  </w:r>
                </w:p>
              </w:tc>
              <w:tc>
                <w:tcPr>
                  <w:tcW w:w="419" w:type="pct"/>
                  <w:vAlign w:val="center"/>
                </w:tcPr>
                <w:p w14:paraId="79263BB1">
                  <w:pPr>
                    <w:jc w:val="center"/>
                    <w:rPr>
                      <w:color w:val="auto"/>
                      <w:sz w:val="18"/>
                      <w:szCs w:val="18"/>
                    </w:rPr>
                  </w:pPr>
                  <w:r>
                    <w:rPr>
                      <w:color w:val="auto"/>
                      <w:sz w:val="18"/>
                      <w:szCs w:val="18"/>
                    </w:rPr>
                    <w:t>备注</w:t>
                  </w:r>
                </w:p>
              </w:tc>
            </w:tr>
            <w:tr w14:paraId="1AA7DBFF">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769" w:hRule="atLeast"/>
                <w:jc w:val="center"/>
              </w:trPr>
              <w:tc>
                <w:tcPr>
                  <w:tcW w:w="341" w:type="pct"/>
                  <w:vMerge w:val="restart"/>
                  <w:vAlign w:val="center"/>
                </w:tcPr>
                <w:p w14:paraId="615D57F6">
                  <w:pPr>
                    <w:jc w:val="center"/>
                    <w:rPr>
                      <w:color w:val="auto"/>
                      <w:sz w:val="18"/>
                      <w:szCs w:val="18"/>
                    </w:rPr>
                  </w:pPr>
                  <w:r>
                    <w:rPr>
                      <w:color w:val="auto"/>
                      <w:sz w:val="18"/>
                      <w:szCs w:val="18"/>
                    </w:rPr>
                    <w:t>主体工程</w:t>
                  </w:r>
                </w:p>
              </w:tc>
              <w:tc>
                <w:tcPr>
                  <w:tcW w:w="901" w:type="pct"/>
                  <w:gridSpan w:val="2"/>
                  <w:vAlign w:val="center"/>
                </w:tcPr>
                <w:p w14:paraId="28739A06">
                  <w:pPr>
                    <w:jc w:val="center"/>
                    <w:rPr>
                      <w:rFonts w:hint="default" w:eastAsia="宋体"/>
                      <w:color w:val="auto"/>
                      <w:sz w:val="18"/>
                      <w:szCs w:val="18"/>
                      <w:lang w:val="en-US" w:eastAsia="zh-CN"/>
                    </w:rPr>
                  </w:pPr>
                  <w:r>
                    <w:rPr>
                      <w:rFonts w:hint="eastAsia"/>
                      <w:color w:val="auto"/>
                      <w:sz w:val="18"/>
                      <w:szCs w:val="18"/>
                      <w:lang w:val="en-US" w:eastAsia="zh-CN"/>
                    </w:rPr>
                    <w:t>综合医疗楼</w:t>
                  </w:r>
                </w:p>
              </w:tc>
              <w:tc>
                <w:tcPr>
                  <w:tcW w:w="3338" w:type="pct"/>
                  <w:tcBorders>
                    <w:bottom w:val="single" w:color="auto" w:sz="4" w:space="0"/>
                  </w:tcBorders>
                  <w:vAlign w:val="center"/>
                </w:tcPr>
                <w:p w14:paraId="6C55C9DE">
                  <w:pPr>
                    <w:rPr>
                      <w:rFonts w:hint="eastAsia"/>
                      <w:color w:val="auto"/>
                      <w:sz w:val="18"/>
                      <w:szCs w:val="18"/>
                      <w:lang w:val="en-US" w:eastAsia="zh-CN"/>
                    </w:rPr>
                  </w:pPr>
                  <w:r>
                    <w:rPr>
                      <w:rFonts w:hint="eastAsia"/>
                      <w:color w:val="auto"/>
                      <w:sz w:val="18"/>
                      <w:szCs w:val="18"/>
                      <w:lang w:val="en-US" w:eastAsia="zh-CN"/>
                    </w:rPr>
                    <w:t>建筑面积11852.64m</w:t>
                  </w:r>
                  <w:r>
                    <w:rPr>
                      <w:rFonts w:hint="eastAsia"/>
                      <w:color w:val="auto"/>
                      <w:sz w:val="18"/>
                      <w:szCs w:val="18"/>
                      <w:vertAlign w:val="superscript"/>
                      <w:lang w:val="en-US" w:eastAsia="zh-CN"/>
                    </w:rPr>
                    <w:t>2</w:t>
                  </w:r>
                  <w:r>
                    <w:rPr>
                      <w:rFonts w:hint="eastAsia"/>
                      <w:color w:val="auto"/>
                      <w:sz w:val="18"/>
                      <w:szCs w:val="18"/>
                      <w:lang w:val="en-US" w:eastAsia="zh-CN"/>
                    </w:rPr>
                    <w:t>，位于场地北侧处，地上3层、地下2层建筑（H16.95m）。</w:t>
                  </w:r>
                </w:p>
                <w:p w14:paraId="53A64ECD">
                  <w:pPr>
                    <w:rPr>
                      <w:rFonts w:hint="eastAsia"/>
                      <w:color w:val="auto"/>
                      <w:sz w:val="18"/>
                      <w:szCs w:val="18"/>
                      <w:lang w:val="en-US" w:eastAsia="zh-CN"/>
                    </w:rPr>
                  </w:pPr>
                  <w:r>
                    <w:rPr>
                      <w:rFonts w:hint="eastAsia"/>
                      <w:color w:val="auto"/>
                      <w:sz w:val="18"/>
                      <w:szCs w:val="18"/>
                      <w:lang w:val="en-US" w:eastAsia="zh-CN"/>
                    </w:rPr>
                    <w:t>首层布置有门诊大厅、共享大厅、核医学大厅、登记处、咨询问诊处、护士站、医护休息室、放射影响中心、药房药库、急救大厅、抢救室、配液中心、医办、卫生间等；</w:t>
                  </w:r>
                </w:p>
                <w:p w14:paraId="67BA85B3">
                  <w:pPr>
                    <w:rPr>
                      <w:rFonts w:hint="eastAsia"/>
                      <w:color w:val="auto"/>
                      <w:sz w:val="18"/>
                      <w:szCs w:val="18"/>
                      <w:lang w:val="en-US" w:eastAsia="zh-CN"/>
                    </w:rPr>
                  </w:pPr>
                  <w:r>
                    <w:rPr>
                      <w:rFonts w:hint="eastAsia"/>
                      <w:color w:val="auto"/>
                      <w:sz w:val="18"/>
                      <w:szCs w:val="18"/>
                      <w:lang w:val="en-US" w:eastAsia="zh-CN"/>
                    </w:rPr>
                    <w:t>2层布置有诊室、B超、气管镜胃镜肠镜室、护士台等；</w:t>
                  </w:r>
                </w:p>
                <w:p w14:paraId="5BC1F3F5">
                  <w:pPr>
                    <w:rPr>
                      <w:rFonts w:hint="eastAsia"/>
                      <w:color w:val="auto"/>
                      <w:sz w:val="18"/>
                      <w:szCs w:val="18"/>
                      <w:lang w:val="en-US" w:eastAsia="zh-CN"/>
                    </w:rPr>
                  </w:pPr>
                  <w:r>
                    <w:rPr>
                      <w:rFonts w:hint="eastAsia"/>
                      <w:color w:val="auto"/>
                      <w:sz w:val="18"/>
                      <w:szCs w:val="18"/>
                      <w:lang w:val="en-US" w:eastAsia="zh-CN"/>
                    </w:rPr>
                    <w:t>3层布置有理疗室、针灸推拿室、艾灸室、言语治疗室、库房、办公室、护士站等；</w:t>
                  </w:r>
                </w:p>
                <w:p w14:paraId="2AA6FCB4">
                  <w:pPr>
                    <w:rPr>
                      <w:rFonts w:hint="default"/>
                      <w:color w:val="auto"/>
                      <w:sz w:val="18"/>
                      <w:szCs w:val="18"/>
                      <w:lang w:val="en-US" w:eastAsia="zh-CN"/>
                    </w:rPr>
                  </w:pPr>
                  <w:r>
                    <w:rPr>
                      <w:rFonts w:hint="eastAsia"/>
                      <w:color w:val="auto"/>
                      <w:sz w:val="18"/>
                      <w:szCs w:val="18"/>
                      <w:lang w:val="en-US" w:eastAsia="zh-CN"/>
                    </w:rPr>
                    <w:t>地下布置有车库、变电所、核医学室等。</w:t>
                  </w:r>
                </w:p>
              </w:tc>
              <w:tc>
                <w:tcPr>
                  <w:tcW w:w="419" w:type="pct"/>
                  <w:vAlign w:val="center"/>
                </w:tcPr>
                <w:p w14:paraId="1E4F5DFE">
                  <w:pPr>
                    <w:jc w:val="center"/>
                    <w:rPr>
                      <w:rFonts w:hint="eastAsia" w:eastAsia="宋体"/>
                      <w:color w:val="auto"/>
                      <w:sz w:val="18"/>
                      <w:szCs w:val="18"/>
                      <w:lang w:val="en-US" w:eastAsia="zh-CN"/>
                    </w:rPr>
                  </w:pPr>
                  <w:r>
                    <w:rPr>
                      <w:rFonts w:hint="eastAsia"/>
                      <w:color w:val="auto"/>
                      <w:sz w:val="18"/>
                      <w:szCs w:val="18"/>
                      <w:lang w:val="en-US" w:eastAsia="zh-CN"/>
                    </w:rPr>
                    <w:t>新建</w:t>
                  </w:r>
                </w:p>
              </w:tc>
            </w:tr>
            <w:tr w14:paraId="0C3BE617">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184" w:hRule="atLeast"/>
                <w:jc w:val="center"/>
              </w:trPr>
              <w:tc>
                <w:tcPr>
                  <w:tcW w:w="341" w:type="pct"/>
                  <w:vMerge w:val="continue"/>
                  <w:vAlign w:val="center"/>
                </w:tcPr>
                <w:p w14:paraId="63275BAC">
                  <w:pPr>
                    <w:jc w:val="center"/>
                    <w:rPr>
                      <w:color w:val="auto"/>
                      <w:sz w:val="18"/>
                      <w:szCs w:val="18"/>
                    </w:rPr>
                  </w:pPr>
                </w:p>
              </w:tc>
              <w:tc>
                <w:tcPr>
                  <w:tcW w:w="901" w:type="pct"/>
                  <w:gridSpan w:val="2"/>
                  <w:vAlign w:val="center"/>
                </w:tcPr>
                <w:p w14:paraId="71576A56">
                  <w:pPr>
                    <w:jc w:val="center"/>
                    <w:rPr>
                      <w:rFonts w:hint="default" w:eastAsia="宋体"/>
                      <w:color w:val="auto"/>
                      <w:sz w:val="18"/>
                      <w:szCs w:val="18"/>
                      <w:lang w:val="en-US" w:eastAsia="zh-CN"/>
                    </w:rPr>
                  </w:pPr>
                  <w:r>
                    <w:rPr>
                      <w:rFonts w:hint="eastAsia"/>
                      <w:color w:val="auto"/>
                      <w:sz w:val="18"/>
                      <w:szCs w:val="18"/>
                      <w:lang w:val="en-US" w:eastAsia="zh-CN"/>
                    </w:rPr>
                    <w:t>综合住院楼</w:t>
                  </w:r>
                </w:p>
              </w:tc>
              <w:tc>
                <w:tcPr>
                  <w:tcW w:w="3338" w:type="pct"/>
                  <w:tcBorders>
                    <w:top w:val="single" w:color="auto" w:sz="4" w:space="0"/>
                    <w:bottom w:val="single" w:color="auto" w:sz="4" w:space="0"/>
                  </w:tcBorders>
                  <w:vAlign w:val="center"/>
                </w:tcPr>
                <w:p w14:paraId="3D546CA3">
                  <w:pPr>
                    <w:rPr>
                      <w:rFonts w:hint="eastAsia"/>
                      <w:color w:val="auto"/>
                      <w:sz w:val="18"/>
                      <w:szCs w:val="18"/>
                      <w:lang w:val="en-US" w:eastAsia="zh-CN"/>
                    </w:rPr>
                  </w:pPr>
                  <w:r>
                    <w:rPr>
                      <w:rFonts w:hint="eastAsia"/>
                      <w:color w:val="auto"/>
                      <w:sz w:val="18"/>
                      <w:szCs w:val="18"/>
                      <w:lang w:val="en-US" w:eastAsia="zh-CN"/>
                    </w:rPr>
                    <w:t>建筑面积29101.35m</w:t>
                  </w:r>
                  <w:r>
                    <w:rPr>
                      <w:rFonts w:hint="eastAsia"/>
                      <w:color w:val="auto"/>
                      <w:sz w:val="18"/>
                      <w:szCs w:val="18"/>
                      <w:vertAlign w:val="superscript"/>
                      <w:lang w:val="en-US" w:eastAsia="zh-CN"/>
                    </w:rPr>
                    <w:t>2</w:t>
                  </w:r>
                  <w:r>
                    <w:rPr>
                      <w:rFonts w:hint="eastAsia"/>
                      <w:color w:val="auto"/>
                      <w:sz w:val="18"/>
                      <w:szCs w:val="18"/>
                      <w:lang w:val="en-US" w:eastAsia="zh-CN"/>
                    </w:rPr>
                    <w:t>，位于场地中部，地上11层、地下2层建筑（H48.55m）。</w:t>
                  </w:r>
                </w:p>
                <w:p w14:paraId="0236D10D">
                  <w:pPr>
                    <w:rPr>
                      <w:rFonts w:hint="eastAsia"/>
                      <w:color w:val="auto"/>
                      <w:sz w:val="18"/>
                      <w:szCs w:val="18"/>
                      <w:lang w:val="en-US" w:eastAsia="zh-CN"/>
                    </w:rPr>
                  </w:pPr>
                  <w:r>
                    <w:rPr>
                      <w:rFonts w:hint="eastAsia"/>
                      <w:color w:val="auto"/>
                      <w:sz w:val="18"/>
                      <w:szCs w:val="18"/>
                      <w:lang w:val="en-US" w:eastAsia="zh-CN"/>
                    </w:rPr>
                    <w:t>首层布置有服务台、住院大厅、体检中心、资料库、病案库、检验病理中心、医办、卫生间；</w:t>
                  </w:r>
                </w:p>
                <w:p w14:paraId="2956C263">
                  <w:pPr>
                    <w:rPr>
                      <w:rFonts w:hint="eastAsia"/>
                      <w:color w:val="auto"/>
                      <w:sz w:val="18"/>
                      <w:szCs w:val="18"/>
                      <w:lang w:val="en-US" w:eastAsia="zh-CN"/>
                    </w:rPr>
                  </w:pPr>
                  <w:r>
                    <w:rPr>
                      <w:rFonts w:hint="eastAsia"/>
                      <w:color w:val="auto"/>
                      <w:sz w:val="18"/>
                      <w:szCs w:val="18"/>
                      <w:lang w:val="en-US" w:eastAsia="zh-CN"/>
                    </w:rPr>
                    <w:t>2层布置有体检中心、医办、卫生间；</w:t>
                  </w:r>
                </w:p>
                <w:p w14:paraId="1B0D6B53">
                  <w:pPr>
                    <w:rPr>
                      <w:rFonts w:hint="eastAsia"/>
                      <w:color w:val="auto"/>
                      <w:sz w:val="18"/>
                      <w:szCs w:val="18"/>
                      <w:lang w:val="en-US" w:eastAsia="zh-CN"/>
                    </w:rPr>
                  </w:pPr>
                  <w:r>
                    <w:rPr>
                      <w:rFonts w:hint="eastAsia"/>
                      <w:color w:val="auto"/>
                      <w:sz w:val="18"/>
                      <w:szCs w:val="18"/>
                      <w:lang w:val="en-US" w:eastAsia="zh-CN"/>
                    </w:rPr>
                    <w:t>3层布置有手术室、麻醉复苏室、淋浴室、值班室等；</w:t>
                  </w:r>
                </w:p>
                <w:p w14:paraId="02D25FBB">
                  <w:pPr>
                    <w:rPr>
                      <w:rFonts w:hint="eastAsia"/>
                      <w:color w:val="auto"/>
                      <w:sz w:val="18"/>
                      <w:szCs w:val="18"/>
                      <w:lang w:val="en-US" w:eastAsia="zh-CN"/>
                    </w:rPr>
                  </w:pPr>
                  <w:r>
                    <w:rPr>
                      <w:rFonts w:hint="eastAsia"/>
                      <w:color w:val="auto"/>
                      <w:sz w:val="18"/>
                      <w:szCs w:val="18"/>
                      <w:lang w:val="en-US" w:eastAsia="zh-CN"/>
                    </w:rPr>
                    <w:t>4-11层为住院楼标准病房，布置有病房、护士站、处置室等；</w:t>
                  </w:r>
                </w:p>
                <w:p w14:paraId="3B80297B">
                  <w:pPr>
                    <w:rPr>
                      <w:rFonts w:hint="default"/>
                      <w:color w:val="auto"/>
                      <w:sz w:val="18"/>
                      <w:szCs w:val="18"/>
                      <w:lang w:val="en-US" w:eastAsia="zh-CN"/>
                    </w:rPr>
                  </w:pPr>
                  <w:r>
                    <w:rPr>
                      <w:rFonts w:hint="eastAsia"/>
                      <w:color w:val="auto"/>
                      <w:sz w:val="18"/>
                      <w:szCs w:val="18"/>
                      <w:lang w:val="en-US" w:eastAsia="zh-CN"/>
                    </w:rPr>
                    <w:t>地下布置有车库、变电所等。</w:t>
                  </w:r>
                </w:p>
              </w:tc>
              <w:tc>
                <w:tcPr>
                  <w:tcW w:w="419" w:type="pct"/>
                  <w:vAlign w:val="center"/>
                </w:tcPr>
                <w:p w14:paraId="508F5F41">
                  <w:pPr>
                    <w:jc w:val="center"/>
                    <w:rPr>
                      <w:rFonts w:hint="eastAsia"/>
                      <w:color w:val="auto"/>
                      <w:sz w:val="18"/>
                      <w:szCs w:val="18"/>
                      <w:lang w:val="en-US" w:eastAsia="zh-CN"/>
                    </w:rPr>
                  </w:pPr>
                  <w:r>
                    <w:rPr>
                      <w:rFonts w:hint="eastAsia"/>
                      <w:color w:val="auto"/>
                      <w:sz w:val="18"/>
                      <w:szCs w:val="18"/>
                      <w:lang w:val="en-US" w:eastAsia="zh-CN"/>
                    </w:rPr>
                    <w:t>新建</w:t>
                  </w:r>
                </w:p>
              </w:tc>
            </w:tr>
            <w:tr w14:paraId="63F32B64">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184" w:hRule="atLeast"/>
                <w:jc w:val="center"/>
              </w:trPr>
              <w:tc>
                <w:tcPr>
                  <w:tcW w:w="341" w:type="pct"/>
                  <w:vMerge w:val="continue"/>
                  <w:vAlign w:val="center"/>
                </w:tcPr>
                <w:p w14:paraId="259F9801">
                  <w:pPr>
                    <w:jc w:val="center"/>
                    <w:rPr>
                      <w:color w:val="auto"/>
                      <w:sz w:val="18"/>
                      <w:szCs w:val="18"/>
                    </w:rPr>
                  </w:pPr>
                </w:p>
              </w:tc>
              <w:tc>
                <w:tcPr>
                  <w:tcW w:w="901" w:type="pct"/>
                  <w:gridSpan w:val="2"/>
                  <w:vAlign w:val="center"/>
                </w:tcPr>
                <w:p w14:paraId="7DD48CEF">
                  <w:pPr>
                    <w:jc w:val="center"/>
                    <w:rPr>
                      <w:rFonts w:hint="default"/>
                      <w:color w:val="auto"/>
                      <w:sz w:val="18"/>
                      <w:szCs w:val="18"/>
                      <w:lang w:val="en-US" w:eastAsia="zh-CN"/>
                    </w:rPr>
                  </w:pPr>
                  <w:r>
                    <w:rPr>
                      <w:rFonts w:hint="eastAsia"/>
                      <w:color w:val="auto"/>
                      <w:sz w:val="18"/>
                      <w:szCs w:val="18"/>
                      <w:lang w:val="en-US" w:eastAsia="zh-CN"/>
                    </w:rPr>
                    <w:t>1#护理楼</w:t>
                  </w:r>
                </w:p>
              </w:tc>
              <w:tc>
                <w:tcPr>
                  <w:tcW w:w="3338" w:type="pct"/>
                  <w:tcBorders>
                    <w:top w:val="single" w:color="auto" w:sz="4" w:space="0"/>
                    <w:bottom w:val="single" w:color="auto" w:sz="4" w:space="0"/>
                  </w:tcBorders>
                  <w:vAlign w:val="center"/>
                </w:tcPr>
                <w:p w14:paraId="240B3629">
                  <w:pPr>
                    <w:rPr>
                      <w:rFonts w:hint="eastAsia"/>
                      <w:color w:val="auto"/>
                      <w:sz w:val="18"/>
                      <w:szCs w:val="18"/>
                      <w:lang w:val="en-US" w:eastAsia="zh-CN"/>
                    </w:rPr>
                  </w:pPr>
                  <w:r>
                    <w:rPr>
                      <w:rFonts w:hint="eastAsia"/>
                      <w:color w:val="auto"/>
                      <w:sz w:val="18"/>
                      <w:szCs w:val="18"/>
                      <w:lang w:val="en-US" w:eastAsia="zh-CN"/>
                    </w:rPr>
                    <w:t>建筑面积20516.63m</w:t>
                  </w:r>
                  <w:r>
                    <w:rPr>
                      <w:rFonts w:hint="eastAsia"/>
                      <w:color w:val="auto"/>
                      <w:sz w:val="18"/>
                      <w:szCs w:val="18"/>
                      <w:vertAlign w:val="superscript"/>
                      <w:lang w:val="en-US" w:eastAsia="zh-CN"/>
                    </w:rPr>
                    <w:t>2</w:t>
                  </w:r>
                  <w:r>
                    <w:rPr>
                      <w:rFonts w:hint="eastAsia"/>
                      <w:color w:val="auto"/>
                      <w:sz w:val="18"/>
                      <w:szCs w:val="18"/>
                      <w:lang w:val="en-US" w:eastAsia="zh-CN"/>
                    </w:rPr>
                    <w:t>，位于场地东北侧处，地上14层、地下2层建筑（H49.65m）。</w:t>
                  </w:r>
                </w:p>
                <w:p w14:paraId="5180F9CB">
                  <w:pPr>
                    <w:rPr>
                      <w:rFonts w:hint="eastAsia"/>
                      <w:color w:val="auto"/>
                      <w:sz w:val="18"/>
                      <w:szCs w:val="18"/>
                      <w:lang w:val="en-US" w:eastAsia="zh-CN"/>
                    </w:rPr>
                  </w:pPr>
                  <w:r>
                    <w:rPr>
                      <w:rFonts w:hint="eastAsia"/>
                      <w:color w:val="auto"/>
                      <w:sz w:val="18"/>
                      <w:szCs w:val="18"/>
                      <w:lang w:val="en-US" w:eastAsia="zh-CN"/>
                    </w:rPr>
                    <w:t>每层布置有护士站、活动室以及配套房间。</w:t>
                  </w:r>
                </w:p>
                <w:p w14:paraId="26DE1F58">
                  <w:pPr>
                    <w:rPr>
                      <w:rFonts w:hint="default"/>
                      <w:color w:val="auto"/>
                      <w:sz w:val="18"/>
                      <w:szCs w:val="18"/>
                      <w:lang w:val="en-US" w:eastAsia="zh-CN"/>
                    </w:rPr>
                  </w:pPr>
                  <w:r>
                    <w:rPr>
                      <w:rFonts w:hint="eastAsia"/>
                      <w:color w:val="auto"/>
                      <w:sz w:val="18"/>
                      <w:szCs w:val="18"/>
                      <w:lang w:val="en-US" w:eastAsia="zh-CN"/>
                    </w:rPr>
                    <w:t>地下布置有车库等。</w:t>
                  </w:r>
                </w:p>
              </w:tc>
              <w:tc>
                <w:tcPr>
                  <w:tcW w:w="419" w:type="pct"/>
                  <w:vAlign w:val="center"/>
                </w:tcPr>
                <w:p w14:paraId="41DB2DB8">
                  <w:pPr>
                    <w:jc w:val="center"/>
                    <w:rPr>
                      <w:rFonts w:hint="eastAsia"/>
                      <w:color w:val="auto"/>
                      <w:sz w:val="18"/>
                      <w:szCs w:val="18"/>
                      <w:lang w:val="en-US" w:eastAsia="zh-CN"/>
                    </w:rPr>
                  </w:pPr>
                  <w:r>
                    <w:rPr>
                      <w:rFonts w:hint="eastAsia"/>
                      <w:color w:val="auto"/>
                      <w:sz w:val="18"/>
                      <w:szCs w:val="18"/>
                      <w:lang w:val="en-US" w:eastAsia="zh-CN"/>
                    </w:rPr>
                    <w:t>新建</w:t>
                  </w:r>
                </w:p>
              </w:tc>
            </w:tr>
            <w:tr w14:paraId="4A707AEF">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184" w:hRule="atLeast"/>
                <w:jc w:val="center"/>
              </w:trPr>
              <w:tc>
                <w:tcPr>
                  <w:tcW w:w="341" w:type="pct"/>
                  <w:vMerge w:val="continue"/>
                  <w:vAlign w:val="center"/>
                </w:tcPr>
                <w:p w14:paraId="153B50CC">
                  <w:pPr>
                    <w:jc w:val="center"/>
                    <w:rPr>
                      <w:color w:val="auto"/>
                      <w:sz w:val="18"/>
                      <w:szCs w:val="18"/>
                    </w:rPr>
                  </w:pPr>
                </w:p>
              </w:tc>
              <w:tc>
                <w:tcPr>
                  <w:tcW w:w="901" w:type="pct"/>
                  <w:gridSpan w:val="2"/>
                  <w:vAlign w:val="center"/>
                </w:tcPr>
                <w:p w14:paraId="6BA0DDFA">
                  <w:pPr>
                    <w:jc w:val="center"/>
                    <w:rPr>
                      <w:rFonts w:hint="eastAsia"/>
                      <w:color w:val="auto"/>
                      <w:sz w:val="18"/>
                      <w:szCs w:val="18"/>
                      <w:lang w:val="en-US" w:eastAsia="zh-CN"/>
                    </w:rPr>
                  </w:pPr>
                  <w:r>
                    <w:rPr>
                      <w:rFonts w:hint="eastAsia"/>
                      <w:color w:val="auto"/>
                      <w:sz w:val="18"/>
                      <w:szCs w:val="18"/>
                      <w:lang w:val="en-US" w:eastAsia="zh-CN"/>
                    </w:rPr>
                    <w:t>2#护理楼</w:t>
                  </w:r>
                </w:p>
              </w:tc>
              <w:tc>
                <w:tcPr>
                  <w:tcW w:w="3338" w:type="pct"/>
                  <w:tcBorders>
                    <w:top w:val="single" w:color="auto" w:sz="4" w:space="0"/>
                    <w:bottom w:val="single" w:color="auto" w:sz="4" w:space="0"/>
                  </w:tcBorders>
                  <w:vAlign w:val="center"/>
                </w:tcPr>
                <w:p w14:paraId="7A48029E">
                  <w:pPr>
                    <w:rPr>
                      <w:rFonts w:hint="eastAsia"/>
                      <w:color w:val="auto"/>
                      <w:sz w:val="18"/>
                      <w:szCs w:val="18"/>
                      <w:lang w:val="en-US" w:eastAsia="zh-CN"/>
                    </w:rPr>
                  </w:pPr>
                  <w:r>
                    <w:rPr>
                      <w:rFonts w:hint="eastAsia"/>
                      <w:color w:val="auto"/>
                      <w:sz w:val="18"/>
                      <w:szCs w:val="18"/>
                      <w:lang w:val="en-US" w:eastAsia="zh-CN"/>
                    </w:rPr>
                    <w:t>建筑面积15594.06m</w:t>
                  </w:r>
                  <w:r>
                    <w:rPr>
                      <w:rFonts w:hint="eastAsia"/>
                      <w:color w:val="auto"/>
                      <w:sz w:val="18"/>
                      <w:szCs w:val="18"/>
                      <w:vertAlign w:val="superscript"/>
                      <w:lang w:val="en-US" w:eastAsia="zh-CN"/>
                    </w:rPr>
                    <w:t>2</w:t>
                  </w:r>
                  <w:r>
                    <w:rPr>
                      <w:rFonts w:hint="eastAsia"/>
                      <w:color w:val="auto"/>
                      <w:sz w:val="18"/>
                      <w:szCs w:val="18"/>
                      <w:lang w:val="en-US" w:eastAsia="zh-CN"/>
                    </w:rPr>
                    <w:t>，位于场地东南角处，地上14层、地下2层建筑（H49.65m）。</w:t>
                  </w:r>
                </w:p>
                <w:p w14:paraId="6F6D52F9">
                  <w:pPr>
                    <w:rPr>
                      <w:rFonts w:hint="eastAsia"/>
                      <w:color w:val="auto"/>
                      <w:sz w:val="18"/>
                      <w:szCs w:val="18"/>
                      <w:lang w:val="en-US" w:eastAsia="zh-CN"/>
                    </w:rPr>
                  </w:pPr>
                  <w:r>
                    <w:rPr>
                      <w:rFonts w:hint="eastAsia"/>
                      <w:color w:val="auto"/>
                      <w:sz w:val="18"/>
                      <w:szCs w:val="18"/>
                      <w:lang w:val="en-US" w:eastAsia="zh-CN"/>
                    </w:rPr>
                    <w:t>每层布置有护士站、活动室以及配套房间。</w:t>
                  </w:r>
                </w:p>
                <w:p w14:paraId="734665AA">
                  <w:pPr>
                    <w:rPr>
                      <w:rFonts w:hint="default"/>
                      <w:color w:val="auto"/>
                      <w:sz w:val="18"/>
                      <w:szCs w:val="18"/>
                      <w:lang w:val="en-US" w:eastAsia="zh-CN"/>
                    </w:rPr>
                  </w:pPr>
                  <w:r>
                    <w:rPr>
                      <w:rFonts w:hint="eastAsia"/>
                      <w:color w:val="auto"/>
                      <w:sz w:val="18"/>
                      <w:szCs w:val="18"/>
                      <w:lang w:val="en-US" w:eastAsia="zh-CN"/>
                    </w:rPr>
                    <w:t>地下布置有车库等。</w:t>
                  </w:r>
                </w:p>
              </w:tc>
              <w:tc>
                <w:tcPr>
                  <w:tcW w:w="419" w:type="pct"/>
                  <w:vAlign w:val="center"/>
                </w:tcPr>
                <w:p w14:paraId="3E78833E">
                  <w:pPr>
                    <w:jc w:val="center"/>
                    <w:rPr>
                      <w:rFonts w:hint="eastAsia"/>
                      <w:color w:val="auto"/>
                      <w:sz w:val="18"/>
                      <w:szCs w:val="18"/>
                      <w:lang w:val="en-US" w:eastAsia="zh-CN"/>
                    </w:rPr>
                  </w:pPr>
                  <w:r>
                    <w:rPr>
                      <w:rFonts w:hint="eastAsia"/>
                      <w:color w:val="auto"/>
                      <w:sz w:val="18"/>
                      <w:szCs w:val="18"/>
                      <w:lang w:val="en-US" w:eastAsia="zh-CN"/>
                    </w:rPr>
                    <w:t>新建</w:t>
                  </w:r>
                </w:p>
              </w:tc>
            </w:tr>
            <w:tr w14:paraId="05922A81">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197" w:hRule="atLeast"/>
                <w:jc w:val="center"/>
              </w:trPr>
              <w:tc>
                <w:tcPr>
                  <w:tcW w:w="341" w:type="pct"/>
                  <w:vMerge w:val="continue"/>
                  <w:vAlign w:val="center"/>
                </w:tcPr>
                <w:p w14:paraId="7C52EEDE">
                  <w:pPr>
                    <w:jc w:val="center"/>
                    <w:rPr>
                      <w:color w:val="auto"/>
                      <w:sz w:val="18"/>
                      <w:szCs w:val="18"/>
                    </w:rPr>
                  </w:pPr>
                </w:p>
              </w:tc>
              <w:tc>
                <w:tcPr>
                  <w:tcW w:w="901" w:type="pct"/>
                  <w:gridSpan w:val="2"/>
                  <w:vAlign w:val="center"/>
                </w:tcPr>
                <w:p w14:paraId="3274023A">
                  <w:pPr>
                    <w:jc w:val="center"/>
                    <w:rPr>
                      <w:rFonts w:hint="default" w:eastAsia="宋体"/>
                      <w:color w:val="auto"/>
                      <w:sz w:val="18"/>
                      <w:szCs w:val="18"/>
                      <w:lang w:val="en-US" w:eastAsia="zh-CN"/>
                    </w:rPr>
                  </w:pPr>
                  <w:r>
                    <w:rPr>
                      <w:rFonts w:hint="eastAsia"/>
                      <w:color w:val="auto"/>
                      <w:sz w:val="18"/>
                      <w:szCs w:val="18"/>
                      <w:lang w:val="en-US" w:eastAsia="zh-CN"/>
                    </w:rPr>
                    <w:t>康养花园</w:t>
                  </w:r>
                </w:p>
              </w:tc>
              <w:tc>
                <w:tcPr>
                  <w:tcW w:w="3338" w:type="pct"/>
                  <w:tcBorders>
                    <w:top w:val="single" w:color="auto" w:sz="4" w:space="0"/>
                  </w:tcBorders>
                  <w:vAlign w:val="center"/>
                </w:tcPr>
                <w:p w14:paraId="1A27E3D9">
                  <w:pPr>
                    <w:rPr>
                      <w:rFonts w:hint="default"/>
                      <w:color w:val="auto"/>
                      <w:sz w:val="18"/>
                      <w:szCs w:val="18"/>
                      <w:lang w:val="en-US" w:eastAsia="zh-CN"/>
                    </w:rPr>
                  </w:pPr>
                  <w:r>
                    <w:rPr>
                      <w:rFonts w:hint="eastAsia"/>
                      <w:color w:val="auto"/>
                      <w:sz w:val="18"/>
                      <w:szCs w:val="18"/>
                      <w:lang w:val="en-US" w:eastAsia="zh-CN"/>
                    </w:rPr>
                    <w:t>占地5913.39m</w:t>
                  </w:r>
                  <w:r>
                    <w:rPr>
                      <w:rFonts w:hint="eastAsia"/>
                      <w:color w:val="auto"/>
                      <w:sz w:val="18"/>
                      <w:szCs w:val="18"/>
                      <w:vertAlign w:val="superscript"/>
                      <w:lang w:val="en-US" w:eastAsia="zh-CN"/>
                    </w:rPr>
                    <w:t>2</w:t>
                  </w:r>
                  <w:r>
                    <w:rPr>
                      <w:rFonts w:hint="eastAsia"/>
                      <w:color w:val="auto"/>
                      <w:sz w:val="18"/>
                      <w:szCs w:val="18"/>
                      <w:lang w:val="en-US" w:eastAsia="zh-CN"/>
                    </w:rPr>
                    <w:t>，位于2座护理楼之间。配套有多处景观、绿植、花园道路等。</w:t>
                  </w:r>
                </w:p>
              </w:tc>
              <w:tc>
                <w:tcPr>
                  <w:tcW w:w="419" w:type="pct"/>
                  <w:vAlign w:val="center"/>
                </w:tcPr>
                <w:p w14:paraId="7639BB51">
                  <w:pPr>
                    <w:jc w:val="center"/>
                    <w:rPr>
                      <w:rFonts w:hint="eastAsia"/>
                      <w:color w:val="auto"/>
                      <w:sz w:val="18"/>
                      <w:szCs w:val="18"/>
                      <w:lang w:val="en-US" w:eastAsia="zh-CN"/>
                    </w:rPr>
                  </w:pPr>
                  <w:r>
                    <w:rPr>
                      <w:rFonts w:hint="eastAsia"/>
                      <w:color w:val="auto"/>
                      <w:sz w:val="18"/>
                      <w:szCs w:val="18"/>
                      <w:lang w:val="en-US" w:eastAsia="zh-CN"/>
                    </w:rPr>
                    <w:t>新建</w:t>
                  </w:r>
                </w:p>
              </w:tc>
            </w:tr>
            <w:tr w14:paraId="0B3E6211">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341" w:type="pct"/>
                  <w:vMerge w:val="restart"/>
                  <w:vAlign w:val="center"/>
                </w:tcPr>
                <w:p w14:paraId="1020BEB1">
                  <w:pPr>
                    <w:jc w:val="center"/>
                    <w:rPr>
                      <w:color w:val="auto"/>
                      <w:sz w:val="18"/>
                      <w:szCs w:val="18"/>
                    </w:rPr>
                  </w:pPr>
                  <w:r>
                    <w:rPr>
                      <w:rFonts w:hint="eastAsia"/>
                      <w:color w:val="auto"/>
                      <w:sz w:val="18"/>
                      <w:szCs w:val="18"/>
                      <w:lang w:val="en-US" w:eastAsia="zh-CN"/>
                    </w:rPr>
                    <w:t>辅助</w:t>
                  </w:r>
                  <w:r>
                    <w:rPr>
                      <w:color w:val="auto"/>
                      <w:sz w:val="18"/>
                      <w:szCs w:val="18"/>
                    </w:rPr>
                    <w:t>工程</w:t>
                  </w:r>
                </w:p>
              </w:tc>
              <w:tc>
                <w:tcPr>
                  <w:tcW w:w="901" w:type="pct"/>
                  <w:gridSpan w:val="2"/>
                  <w:vAlign w:val="center"/>
                </w:tcPr>
                <w:p w14:paraId="40B4083A">
                  <w:pPr>
                    <w:jc w:val="center"/>
                    <w:rPr>
                      <w:rFonts w:hint="eastAsia"/>
                      <w:color w:val="auto"/>
                      <w:sz w:val="18"/>
                      <w:szCs w:val="18"/>
                      <w:lang w:val="en-US" w:eastAsia="zh-CN"/>
                    </w:rPr>
                  </w:pPr>
                  <w:r>
                    <w:rPr>
                      <w:rFonts w:hint="eastAsia"/>
                      <w:color w:val="auto"/>
                      <w:sz w:val="18"/>
                      <w:szCs w:val="18"/>
                      <w:lang w:val="en-US" w:eastAsia="zh-CN"/>
                    </w:rPr>
                    <w:t>能源中心</w:t>
                  </w:r>
                </w:p>
                <w:p w14:paraId="19E73718">
                  <w:pPr>
                    <w:jc w:val="center"/>
                    <w:rPr>
                      <w:rFonts w:hint="default" w:eastAsia="宋体"/>
                      <w:color w:val="auto"/>
                      <w:sz w:val="18"/>
                      <w:szCs w:val="18"/>
                      <w:lang w:val="en-US" w:eastAsia="zh-CN"/>
                    </w:rPr>
                  </w:pPr>
                  <w:r>
                    <w:rPr>
                      <w:rFonts w:hint="eastAsia"/>
                      <w:color w:val="auto"/>
                      <w:sz w:val="18"/>
                      <w:szCs w:val="18"/>
                      <w:lang w:val="en-US" w:eastAsia="zh-CN"/>
                    </w:rPr>
                    <w:t>（换热站）</w:t>
                  </w:r>
                </w:p>
              </w:tc>
              <w:tc>
                <w:tcPr>
                  <w:tcW w:w="3338" w:type="pct"/>
                  <w:vAlign w:val="center"/>
                </w:tcPr>
                <w:p w14:paraId="0F38320E">
                  <w:pPr>
                    <w:rPr>
                      <w:color w:val="auto"/>
                      <w:sz w:val="18"/>
                      <w:szCs w:val="18"/>
                    </w:rPr>
                  </w:pPr>
                  <w:r>
                    <w:rPr>
                      <w:rFonts w:hint="eastAsia"/>
                      <w:color w:val="auto"/>
                      <w:sz w:val="18"/>
                      <w:szCs w:val="18"/>
                      <w:lang w:val="en-US" w:eastAsia="zh-CN"/>
                    </w:rPr>
                    <w:t>建筑面积855.74m</w:t>
                  </w:r>
                  <w:r>
                    <w:rPr>
                      <w:rFonts w:hint="eastAsia"/>
                      <w:color w:val="auto"/>
                      <w:sz w:val="18"/>
                      <w:szCs w:val="18"/>
                      <w:vertAlign w:val="superscript"/>
                      <w:lang w:val="en-US" w:eastAsia="zh-CN"/>
                    </w:rPr>
                    <w:t>2</w:t>
                  </w:r>
                  <w:r>
                    <w:rPr>
                      <w:rFonts w:hint="eastAsia"/>
                      <w:color w:val="auto"/>
                      <w:sz w:val="18"/>
                      <w:szCs w:val="18"/>
                      <w:lang w:val="en-US" w:eastAsia="zh-CN"/>
                    </w:rPr>
                    <w:t>，位于场地西北侧处，2层建筑（H9.6m）</w:t>
                  </w:r>
                  <w:r>
                    <w:rPr>
                      <w:color w:val="auto"/>
                      <w:sz w:val="18"/>
                      <w:szCs w:val="18"/>
                    </w:rPr>
                    <w:t>。</w:t>
                  </w:r>
                </w:p>
              </w:tc>
              <w:tc>
                <w:tcPr>
                  <w:tcW w:w="419" w:type="pct"/>
                  <w:tcBorders>
                    <w:bottom w:val="single" w:color="auto" w:sz="4" w:space="0"/>
                  </w:tcBorders>
                  <w:vAlign w:val="center"/>
                </w:tcPr>
                <w:p w14:paraId="3CE99716">
                  <w:pPr>
                    <w:jc w:val="center"/>
                    <w:rPr>
                      <w:rFonts w:hint="default" w:eastAsia="宋体"/>
                      <w:color w:val="auto"/>
                      <w:sz w:val="18"/>
                      <w:szCs w:val="18"/>
                      <w:lang w:val="en-US" w:eastAsia="zh-CN"/>
                    </w:rPr>
                  </w:pPr>
                  <w:r>
                    <w:rPr>
                      <w:rFonts w:hint="eastAsia"/>
                      <w:color w:val="auto"/>
                      <w:sz w:val="18"/>
                      <w:szCs w:val="18"/>
                      <w:lang w:val="en-US" w:eastAsia="zh-CN"/>
                    </w:rPr>
                    <w:t>新建</w:t>
                  </w:r>
                </w:p>
              </w:tc>
            </w:tr>
            <w:tr w14:paraId="43B6B4F0">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341" w:type="pct"/>
                  <w:vMerge w:val="continue"/>
                  <w:vAlign w:val="center"/>
                </w:tcPr>
                <w:p w14:paraId="3167F8E6">
                  <w:pPr>
                    <w:jc w:val="center"/>
                    <w:rPr>
                      <w:rFonts w:hint="eastAsia"/>
                      <w:color w:val="auto"/>
                      <w:sz w:val="18"/>
                      <w:szCs w:val="18"/>
                      <w:lang w:val="en-US" w:eastAsia="zh-CN"/>
                    </w:rPr>
                  </w:pPr>
                </w:p>
              </w:tc>
              <w:tc>
                <w:tcPr>
                  <w:tcW w:w="901" w:type="pct"/>
                  <w:gridSpan w:val="2"/>
                  <w:vAlign w:val="center"/>
                </w:tcPr>
                <w:p w14:paraId="1390CDCD">
                  <w:pPr>
                    <w:jc w:val="center"/>
                    <w:rPr>
                      <w:rFonts w:hint="default"/>
                      <w:color w:val="auto"/>
                      <w:sz w:val="18"/>
                      <w:szCs w:val="18"/>
                      <w:lang w:val="en-US" w:eastAsia="zh-CN"/>
                    </w:rPr>
                  </w:pPr>
                  <w:r>
                    <w:rPr>
                      <w:rFonts w:hint="eastAsia"/>
                      <w:color w:val="auto"/>
                      <w:sz w:val="18"/>
                      <w:szCs w:val="18"/>
                      <w:lang w:val="en-US" w:eastAsia="zh-CN"/>
                    </w:rPr>
                    <w:t>液氧站</w:t>
                  </w:r>
                </w:p>
              </w:tc>
              <w:tc>
                <w:tcPr>
                  <w:tcW w:w="3338" w:type="pct"/>
                  <w:vAlign w:val="center"/>
                </w:tcPr>
                <w:p w14:paraId="46E16395">
                  <w:pPr>
                    <w:rPr>
                      <w:rFonts w:hint="default"/>
                      <w:color w:val="auto"/>
                      <w:sz w:val="18"/>
                      <w:szCs w:val="18"/>
                      <w:lang w:val="en-US" w:eastAsia="zh-CN"/>
                    </w:rPr>
                  </w:pPr>
                  <w:r>
                    <w:rPr>
                      <w:rFonts w:hint="eastAsia"/>
                      <w:color w:val="auto"/>
                      <w:sz w:val="18"/>
                      <w:szCs w:val="18"/>
                      <w:lang w:val="en-US" w:eastAsia="zh-CN"/>
                    </w:rPr>
                    <w:t>占地92.07m</w:t>
                  </w:r>
                  <w:r>
                    <w:rPr>
                      <w:rFonts w:hint="eastAsia"/>
                      <w:color w:val="auto"/>
                      <w:sz w:val="18"/>
                      <w:szCs w:val="18"/>
                      <w:vertAlign w:val="superscript"/>
                      <w:lang w:val="en-US" w:eastAsia="zh-CN"/>
                    </w:rPr>
                    <w:t>2</w:t>
                  </w:r>
                  <w:r>
                    <w:rPr>
                      <w:rFonts w:hint="eastAsia"/>
                      <w:color w:val="auto"/>
                      <w:sz w:val="18"/>
                      <w:szCs w:val="18"/>
                      <w:lang w:val="en-US" w:eastAsia="zh-CN"/>
                    </w:rPr>
                    <w:t>，位于场地西北侧处，1层建筑（H5.1m）。设置有液氧站和液氧罐，主要供给各病房、手术室、治疗室、抢救室等。</w:t>
                  </w:r>
                </w:p>
              </w:tc>
              <w:tc>
                <w:tcPr>
                  <w:tcW w:w="419" w:type="pct"/>
                  <w:tcBorders>
                    <w:bottom w:val="single" w:color="auto" w:sz="4" w:space="0"/>
                  </w:tcBorders>
                  <w:vAlign w:val="center"/>
                </w:tcPr>
                <w:p w14:paraId="00578CF9">
                  <w:pPr>
                    <w:jc w:val="center"/>
                    <w:rPr>
                      <w:rFonts w:hint="eastAsia"/>
                      <w:color w:val="auto"/>
                      <w:sz w:val="18"/>
                      <w:szCs w:val="18"/>
                      <w:lang w:val="en-US" w:eastAsia="zh-CN"/>
                    </w:rPr>
                  </w:pPr>
                  <w:r>
                    <w:rPr>
                      <w:rFonts w:hint="eastAsia"/>
                      <w:color w:val="auto"/>
                      <w:sz w:val="18"/>
                      <w:szCs w:val="18"/>
                      <w:lang w:val="en-US" w:eastAsia="zh-CN"/>
                    </w:rPr>
                    <w:t>新建</w:t>
                  </w:r>
                </w:p>
              </w:tc>
            </w:tr>
            <w:tr w14:paraId="1A6DAD3E">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341" w:type="pct"/>
                  <w:vMerge w:val="continue"/>
                  <w:vAlign w:val="center"/>
                </w:tcPr>
                <w:p w14:paraId="2CBF452A">
                  <w:pPr>
                    <w:jc w:val="center"/>
                    <w:rPr>
                      <w:rFonts w:hint="eastAsia"/>
                      <w:color w:val="auto"/>
                      <w:sz w:val="18"/>
                      <w:szCs w:val="18"/>
                      <w:lang w:val="en-US" w:eastAsia="zh-CN"/>
                    </w:rPr>
                  </w:pPr>
                </w:p>
              </w:tc>
              <w:tc>
                <w:tcPr>
                  <w:tcW w:w="901" w:type="pct"/>
                  <w:gridSpan w:val="2"/>
                  <w:vAlign w:val="center"/>
                </w:tcPr>
                <w:p w14:paraId="19B87F7D">
                  <w:pPr>
                    <w:jc w:val="center"/>
                    <w:rPr>
                      <w:rFonts w:hint="default"/>
                      <w:color w:val="auto"/>
                      <w:sz w:val="18"/>
                      <w:szCs w:val="18"/>
                      <w:lang w:val="en-US" w:eastAsia="zh-CN"/>
                    </w:rPr>
                  </w:pPr>
                  <w:r>
                    <w:rPr>
                      <w:rFonts w:hint="eastAsia"/>
                      <w:color w:val="auto"/>
                      <w:sz w:val="18"/>
                      <w:szCs w:val="18"/>
                      <w:lang w:val="en-US" w:eastAsia="zh-CN"/>
                    </w:rPr>
                    <w:t>污水处理垃圾回收</w:t>
                  </w:r>
                </w:p>
              </w:tc>
              <w:tc>
                <w:tcPr>
                  <w:tcW w:w="3338" w:type="pct"/>
                  <w:vAlign w:val="center"/>
                </w:tcPr>
                <w:p w14:paraId="1C9AED02">
                  <w:pPr>
                    <w:rPr>
                      <w:rFonts w:hint="default"/>
                      <w:color w:val="auto"/>
                      <w:sz w:val="18"/>
                      <w:szCs w:val="18"/>
                      <w:lang w:val="en-US" w:eastAsia="zh-CN"/>
                    </w:rPr>
                  </w:pPr>
                  <w:r>
                    <w:rPr>
                      <w:rFonts w:hint="eastAsia"/>
                      <w:color w:val="auto"/>
                      <w:sz w:val="18"/>
                      <w:szCs w:val="18"/>
                      <w:lang w:val="en-US" w:eastAsia="zh-CN"/>
                    </w:rPr>
                    <w:t>建筑面积150.67m</w:t>
                  </w:r>
                  <w:r>
                    <w:rPr>
                      <w:rFonts w:hint="eastAsia"/>
                      <w:color w:val="auto"/>
                      <w:sz w:val="18"/>
                      <w:szCs w:val="18"/>
                      <w:vertAlign w:val="superscript"/>
                      <w:lang w:val="en-US" w:eastAsia="zh-CN"/>
                    </w:rPr>
                    <w:t>2</w:t>
                  </w:r>
                  <w:r>
                    <w:rPr>
                      <w:rFonts w:hint="eastAsia"/>
                      <w:color w:val="auto"/>
                      <w:sz w:val="18"/>
                      <w:szCs w:val="18"/>
                      <w:lang w:val="en-US" w:eastAsia="zh-CN"/>
                    </w:rPr>
                    <w:t>，位于场地西南角处，1层建筑（H5.5m）。布设有1座污水处理站以及1座垃圾回收站。</w:t>
                  </w:r>
                </w:p>
              </w:tc>
              <w:tc>
                <w:tcPr>
                  <w:tcW w:w="419" w:type="pct"/>
                  <w:tcBorders>
                    <w:bottom w:val="single" w:color="auto" w:sz="4" w:space="0"/>
                  </w:tcBorders>
                  <w:vAlign w:val="center"/>
                </w:tcPr>
                <w:p w14:paraId="4E903DAC">
                  <w:pPr>
                    <w:jc w:val="center"/>
                    <w:rPr>
                      <w:rFonts w:hint="eastAsia"/>
                      <w:color w:val="auto"/>
                      <w:sz w:val="18"/>
                      <w:szCs w:val="18"/>
                      <w:lang w:val="en-US" w:eastAsia="zh-CN"/>
                    </w:rPr>
                  </w:pPr>
                  <w:r>
                    <w:rPr>
                      <w:rFonts w:hint="eastAsia"/>
                      <w:color w:val="auto"/>
                      <w:sz w:val="18"/>
                      <w:szCs w:val="18"/>
                      <w:lang w:val="en-US" w:eastAsia="zh-CN"/>
                    </w:rPr>
                    <w:t>新建</w:t>
                  </w:r>
                </w:p>
              </w:tc>
            </w:tr>
            <w:tr w14:paraId="2635CD01">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341" w:type="pct"/>
                  <w:vMerge w:val="continue"/>
                  <w:vAlign w:val="center"/>
                </w:tcPr>
                <w:p w14:paraId="210C2F67">
                  <w:pPr>
                    <w:jc w:val="center"/>
                    <w:rPr>
                      <w:color w:val="auto"/>
                      <w:sz w:val="18"/>
                      <w:szCs w:val="18"/>
                    </w:rPr>
                  </w:pPr>
                </w:p>
              </w:tc>
              <w:tc>
                <w:tcPr>
                  <w:tcW w:w="901" w:type="pct"/>
                  <w:gridSpan w:val="2"/>
                  <w:vAlign w:val="center"/>
                </w:tcPr>
                <w:p w14:paraId="2210C6D0">
                  <w:pPr>
                    <w:jc w:val="center"/>
                    <w:rPr>
                      <w:rFonts w:hint="default" w:eastAsia="宋体"/>
                      <w:color w:val="auto"/>
                      <w:sz w:val="18"/>
                      <w:szCs w:val="18"/>
                      <w:lang w:val="en-US" w:eastAsia="zh-CN"/>
                    </w:rPr>
                  </w:pPr>
                  <w:r>
                    <w:rPr>
                      <w:rFonts w:hint="eastAsia"/>
                      <w:color w:val="auto"/>
                      <w:sz w:val="18"/>
                      <w:szCs w:val="18"/>
                      <w:lang w:val="en-US" w:eastAsia="zh-CN"/>
                    </w:rPr>
                    <w:t>配套</w:t>
                  </w:r>
                </w:p>
              </w:tc>
              <w:tc>
                <w:tcPr>
                  <w:tcW w:w="3338" w:type="pct"/>
                  <w:vAlign w:val="center"/>
                </w:tcPr>
                <w:p w14:paraId="536D0508">
                  <w:pPr>
                    <w:rPr>
                      <w:rFonts w:hint="default" w:eastAsia="宋体"/>
                      <w:color w:val="auto"/>
                      <w:sz w:val="18"/>
                      <w:szCs w:val="18"/>
                      <w:lang w:val="en-US" w:eastAsia="zh-CN"/>
                    </w:rPr>
                  </w:pPr>
                  <w:r>
                    <w:rPr>
                      <w:rFonts w:hint="eastAsia"/>
                      <w:color w:val="auto"/>
                      <w:sz w:val="18"/>
                      <w:szCs w:val="18"/>
                      <w:lang w:val="en-US" w:eastAsia="zh-CN"/>
                    </w:rPr>
                    <w:t>建筑面积704.54m</w:t>
                  </w:r>
                  <w:r>
                    <w:rPr>
                      <w:rFonts w:hint="eastAsia"/>
                      <w:color w:val="auto"/>
                      <w:sz w:val="18"/>
                      <w:szCs w:val="18"/>
                      <w:vertAlign w:val="superscript"/>
                      <w:lang w:val="en-US" w:eastAsia="zh-CN"/>
                    </w:rPr>
                    <w:t>2</w:t>
                  </w:r>
                  <w:r>
                    <w:rPr>
                      <w:rFonts w:hint="eastAsia"/>
                      <w:color w:val="auto"/>
                      <w:sz w:val="18"/>
                      <w:szCs w:val="18"/>
                      <w:lang w:val="en-US" w:eastAsia="zh-CN"/>
                    </w:rPr>
                    <w:t>，位于场地西南侧处，2层建筑（H9.6m）。用于配套贮存等。</w:t>
                  </w:r>
                </w:p>
              </w:tc>
              <w:tc>
                <w:tcPr>
                  <w:tcW w:w="419" w:type="pct"/>
                  <w:tcBorders>
                    <w:bottom w:val="single" w:color="auto" w:sz="4" w:space="0"/>
                  </w:tcBorders>
                  <w:vAlign w:val="center"/>
                </w:tcPr>
                <w:p w14:paraId="2F4F4C3D">
                  <w:pPr>
                    <w:jc w:val="center"/>
                    <w:rPr>
                      <w:rFonts w:hint="eastAsia" w:eastAsia="宋体"/>
                      <w:color w:val="auto"/>
                      <w:sz w:val="18"/>
                      <w:szCs w:val="18"/>
                      <w:lang w:val="en-US" w:eastAsia="zh-CN"/>
                    </w:rPr>
                  </w:pPr>
                  <w:r>
                    <w:rPr>
                      <w:rFonts w:hint="eastAsia"/>
                      <w:color w:val="auto"/>
                      <w:sz w:val="18"/>
                      <w:szCs w:val="18"/>
                      <w:lang w:val="en-US" w:eastAsia="zh-CN"/>
                    </w:rPr>
                    <w:t>新建</w:t>
                  </w:r>
                </w:p>
              </w:tc>
            </w:tr>
            <w:tr w14:paraId="23182331">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341" w:type="pct"/>
                  <w:vMerge w:val="continue"/>
                  <w:vAlign w:val="center"/>
                </w:tcPr>
                <w:p w14:paraId="26270183">
                  <w:pPr>
                    <w:jc w:val="center"/>
                    <w:rPr>
                      <w:color w:val="auto"/>
                      <w:sz w:val="18"/>
                      <w:szCs w:val="18"/>
                    </w:rPr>
                  </w:pPr>
                </w:p>
              </w:tc>
              <w:tc>
                <w:tcPr>
                  <w:tcW w:w="901" w:type="pct"/>
                  <w:gridSpan w:val="2"/>
                  <w:vAlign w:val="center"/>
                </w:tcPr>
                <w:p w14:paraId="21D46E10">
                  <w:pPr>
                    <w:jc w:val="center"/>
                    <w:rPr>
                      <w:rFonts w:hint="default"/>
                      <w:color w:val="auto"/>
                      <w:sz w:val="18"/>
                      <w:szCs w:val="18"/>
                      <w:lang w:val="en-US" w:eastAsia="zh-CN"/>
                    </w:rPr>
                  </w:pPr>
                  <w:r>
                    <w:rPr>
                      <w:rFonts w:hint="eastAsia"/>
                      <w:color w:val="auto"/>
                      <w:sz w:val="18"/>
                      <w:szCs w:val="18"/>
                      <w:lang w:val="en-US" w:eastAsia="zh-CN"/>
                    </w:rPr>
                    <w:t>地库出地面坡道风井</w:t>
                  </w:r>
                </w:p>
              </w:tc>
              <w:tc>
                <w:tcPr>
                  <w:tcW w:w="3338" w:type="pct"/>
                  <w:vAlign w:val="center"/>
                </w:tcPr>
                <w:p w14:paraId="419E3FB2">
                  <w:pPr>
                    <w:rPr>
                      <w:rFonts w:hint="eastAsia"/>
                      <w:color w:val="auto"/>
                      <w:sz w:val="18"/>
                      <w:szCs w:val="18"/>
                      <w:lang w:val="en-US" w:eastAsia="zh-CN"/>
                    </w:rPr>
                  </w:pPr>
                  <w:r>
                    <w:rPr>
                      <w:rFonts w:hint="eastAsia"/>
                      <w:color w:val="auto"/>
                      <w:sz w:val="18"/>
                      <w:szCs w:val="18"/>
                      <w:lang w:val="en-US" w:eastAsia="zh-CN"/>
                    </w:rPr>
                    <w:t>占地630.3m</w:t>
                  </w:r>
                  <w:r>
                    <w:rPr>
                      <w:rFonts w:hint="eastAsia"/>
                      <w:color w:val="auto"/>
                      <w:sz w:val="18"/>
                      <w:szCs w:val="18"/>
                      <w:vertAlign w:val="superscript"/>
                      <w:lang w:val="en-US" w:eastAsia="zh-CN"/>
                    </w:rPr>
                    <w:t>2</w:t>
                  </w:r>
                  <w:r>
                    <w:rPr>
                      <w:rFonts w:hint="eastAsia"/>
                      <w:color w:val="auto"/>
                      <w:sz w:val="18"/>
                      <w:szCs w:val="18"/>
                      <w:lang w:val="en-US" w:eastAsia="zh-CN"/>
                    </w:rPr>
                    <w:t>，位于2#护理楼西侧处。</w:t>
                  </w:r>
                </w:p>
              </w:tc>
              <w:tc>
                <w:tcPr>
                  <w:tcW w:w="419" w:type="pct"/>
                  <w:tcBorders>
                    <w:bottom w:val="single" w:color="auto" w:sz="4" w:space="0"/>
                  </w:tcBorders>
                  <w:vAlign w:val="center"/>
                </w:tcPr>
                <w:p w14:paraId="15FB4D16">
                  <w:pPr>
                    <w:jc w:val="center"/>
                    <w:rPr>
                      <w:rFonts w:hint="eastAsia" w:eastAsia="宋体"/>
                      <w:color w:val="auto"/>
                      <w:sz w:val="18"/>
                      <w:szCs w:val="18"/>
                      <w:lang w:val="en-US" w:eastAsia="zh-CN"/>
                    </w:rPr>
                  </w:pPr>
                  <w:r>
                    <w:rPr>
                      <w:rFonts w:hint="eastAsia"/>
                      <w:color w:val="auto"/>
                      <w:sz w:val="18"/>
                      <w:szCs w:val="18"/>
                      <w:lang w:val="en-US" w:eastAsia="zh-CN"/>
                    </w:rPr>
                    <w:t>新建</w:t>
                  </w:r>
                </w:p>
              </w:tc>
            </w:tr>
            <w:tr w14:paraId="456495B5">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341" w:type="pct"/>
                  <w:vMerge w:val="continue"/>
                  <w:vAlign w:val="center"/>
                </w:tcPr>
                <w:p w14:paraId="17B7DF71">
                  <w:pPr>
                    <w:jc w:val="center"/>
                    <w:rPr>
                      <w:color w:val="auto"/>
                      <w:sz w:val="18"/>
                      <w:szCs w:val="18"/>
                    </w:rPr>
                  </w:pPr>
                </w:p>
              </w:tc>
              <w:tc>
                <w:tcPr>
                  <w:tcW w:w="901" w:type="pct"/>
                  <w:gridSpan w:val="2"/>
                  <w:vAlign w:val="center"/>
                </w:tcPr>
                <w:p w14:paraId="4C690783">
                  <w:pPr>
                    <w:jc w:val="center"/>
                    <w:rPr>
                      <w:rFonts w:hint="default"/>
                      <w:color w:val="auto"/>
                      <w:sz w:val="18"/>
                      <w:szCs w:val="18"/>
                      <w:lang w:val="en-US" w:eastAsia="zh-CN"/>
                    </w:rPr>
                  </w:pPr>
                  <w:r>
                    <w:rPr>
                      <w:rFonts w:hint="eastAsia"/>
                      <w:color w:val="auto"/>
                      <w:sz w:val="18"/>
                      <w:szCs w:val="18"/>
                      <w:lang w:val="en-US" w:eastAsia="zh-CN"/>
                    </w:rPr>
                    <w:t>雨水调蓄池</w:t>
                  </w:r>
                </w:p>
              </w:tc>
              <w:tc>
                <w:tcPr>
                  <w:tcW w:w="3338" w:type="pct"/>
                  <w:vAlign w:val="center"/>
                </w:tcPr>
                <w:p w14:paraId="67733AA3">
                  <w:pPr>
                    <w:rPr>
                      <w:rFonts w:hint="default"/>
                      <w:color w:val="auto"/>
                      <w:sz w:val="18"/>
                      <w:szCs w:val="18"/>
                      <w:lang w:val="en-US" w:eastAsia="zh-CN"/>
                    </w:rPr>
                  </w:pPr>
                  <w:r>
                    <w:rPr>
                      <w:rFonts w:hint="eastAsia"/>
                      <w:color w:val="auto"/>
                      <w:sz w:val="18"/>
                      <w:szCs w:val="18"/>
                      <w:lang w:val="en-US" w:eastAsia="zh-CN"/>
                    </w:rPr>
                    <w:t>共2座，每座65m</w:t>
                  </w:r>
                  <w:r>
                    <w:rPr>
                      <w:rFonts w:hint="eastAsia"/>
                      <w:color w:val="auto"/>
                      <w:sz w:val="18"/>
                      <w:szCs w:val="18"/>
                      <w:vertAlign w:val="superscript"/>
                      <w:lang w:val="en-US" w:eastAsia="zh-CN"/>
                    </w:rPr>
                    <w:t>3</w:t>
                  </w:r>
                  <w:r>
                    <w:rPr>
                      <w:rFonts w:hint="eastAsia"/>
                      <w:color w:val="auto"/>
                      <w:sz w:val="18"/>
                      <w:szCs w:val="18"/>
                      <w:lang w:val="en-US" w:eastAsia="zh-CN"/>
                    </w:rPr>
                    <w:t>，位于场地西北侧处和西南侧处。</w:t>
                  </w:r>
                </w:p>
              </w:tc>
              <w:tc>
                <w:tcPr>
                  <w:tcW w:w="419" w:type="pct"/>
                  <w:tcBorders>
                    <w:bottom w:val="single" w:color="auto" w:sz="4" w:space="0"/>
                  </w:tcBorders>
                  <w:vAlign w:val="center"/>
                </w:tcPr>
                <w:p w14:paraId="4CFA8875">
                  <w:pPr>
                    <w:jc w:val="center"/>
                    <w:rPr>
                      <w:rFonts w:hint="default"/>
                      <w:color w:val="auto"/>
                      <w:sz w:val="18"/>
                      <w:szCs w:val="18"/>
                      <w:lang w:val="en-US" w:eastAsia="zh-CN"/>
                    </w:rPr>
                  </w:pPr>
                  <w:r>
                    <w:rPr>
                      <w:rFonts w:hint="eastAsia"/>
                      <w:color w:val="auto"/>
                      <w:sz w:val="18"/>
                      <w:szCs w:val="18"/>
                      <w:lang w:val="en-US" w:eastAsia="zh-CN"/>
                    </w:rPr>
                    <w:t>新建</w:t>
                  </w:r>
                </w:p>
              </w:tc>
            </w:tr>
            <w:tr w14:paraId="3C92AF77">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341" w:type="pct"/>
                  <w:vMerge w:val="continue"/>
                  <w:vAlign w:val="center"/>
                </w:tcPr>
                <w:p w14:paraId="18D1D807">
                  <w:pPr>
                    <w:jc w:val="center"/>
                    <w:rPr>
                      <w:color w:val="auto"/>
                      <w:sz w:val="18"/>
                      <w:szCs w:val="18"/>
                    </w:rPr>
                  </w:pPr>
                </w:p>
              </w:tc>
              <w:tc>
                <w:tcPr>
                  <w:tcW w:w="901" w:type="pct"/>
                  <w:gridSpan w:val="2"/>
                  <w:vAlign w:val="center"/>
                </w:tcPr>
                <w:p w14:paraId="4FCD1BFE">
                  <w:pPr>
                    <w:jc w:val="center"/>
                    <w:rPr>
                      <w:rFonts w:hint="default"/>
                      <w:color w:val="auto"/>
                      <w:sz w:val="18"/>
                      <w:szCs w:val="18"/>
                      <w:lang w:val="en-US" w:eastAsia="zh-CN"/>
                    </w:rPr>
                  </w:pPr>
                  <w:r>
                    <w:rPr>
                      <w:rFonts w:hint="eastAsia"/>
                      <w:color w:val="auto"/>
                      <w:sz w:val="18"/>
                      <w:szCs w:val="18"/>
                      <w:lang w:val="en-US" w:eastAsia="zh-CN"/>
                    </w:rPr>
                    <w:t>消防储水池</w:t>
                  </w:r>
                </w:p>
              </w:tc>
              <w:tc>
                <w:tcPr>
                  <w:tcW w:w="3338" w:type="pct"/>
                  <w:vAlign w:val="center"/>
                </w:tcPr>
                <w:p w14:paraId="71CF15AA">
                  <w:pPr>
                    <w:rPr>
                      <w:rFonts w:hint="default"/>
                      <w:color w:val="auto"/>
                      <w:sz w:val="18"/>
                      <w:szCs w:val="18"/>
                      <w:lang w:val="en-US" w:eastAsia="zh-CN"/>
                    </w:rPr>
                  </w:pPr>
                  <w:r>
                    <w:rPr>
                      <w:rFonts w:hint="eastAsia"/>
                      <w:color w:val="auto"/>
                      <w:sz w:val="18"/>
                      <w:szCs w:val="18"/>
                      <w:lang w:val="en-US" w:eastAsia="zh-CN"/>
                    </w:rPr>
                    <w:t>位于综合住院楼地下设置，有效容积360m</w:t>
                  </w:r>
                  <w:r>
                    <w:rPr>
                      <w:rFonts w:hint="eastAsia"/>
                      <w:color w:val="auto"/>
                      <w:sz w:val="18"/>
                      <w:szCs w:val="18"/>
                      <w:vertAlign w:val="superscript"/>
                      <w:lang w:val="en-US" w:eastAsia="zh-CN"/>
                    </w:rPr>
                    <w:t>3</w:t>
                  </w:r>
                  <w:r>
                    <w:rPr>
                      <w:rFonts w:hint="eastAsia"/>
                      <w:color w:val="auto"/>
                      <w:sz w:val="18"/>
                      <w:szCs w:val="18"/>
                      <w:lang w:val="en-US" w:eastAsia="zh-CN"/>
                    </w:rPr>
                    <w:t>，住院楼屋顶设置有1座36m</w:t>
                  </w:r>
                  <w:r>
                    <w:rPr>
                      <w:rFonts w:hint="eastAsia"/>
                      <w:color w:val="auto"/>
                      <w:sz w:val="18"/>
                      <w:szCs w:val="18"/>
                      <w:vertAlign w:val="superscript"/>
                      <w:lang w:val="en-US" w:eastAsia="zh-CN"/>
                    </w:rPr>
                    <w:t>3</w:t>
                  </w:r>
                  <w:r>
                    <w:rPr>
                      <w:rFonts w:hint="eastAsia"/>
                      <w:color w:val="auto"/>
                      <w:sz w:val="18"/>
                      <w:szCs w:val="18"/>
                      <w:lang w:val="en-US" w:eastAsia="zh-CN"/>
                    </w:rPr>
                    <w:t>的消防初期水箱。</w:t>
                  </w:r>
                </w:p>
              </w:tc>
              <w:tc>
                <w:tcPr>
                  <w:tcW w:w="419" w:type="pct"/>
                  <w:tcBorders>
                    <w:bottom w:val="single" w:color="auto" w:sz="4" w:space="0"/>
                  </w:tcBorders>
                  <w:vAlign w:val="center"/>
                </w:tcPr>
                <w:p w14:paraId="3FC0670A">
                  <w:pPr>
                    <w:jc w:val="center"/>
                    <w:rPr>
                      <w:rFonts w:hint="default"/>
                      <w:color w:val="auto"/>
                      <w:sz w:val="18"/>
                      <w:szCs w:val="18"/>
                      <w:lang w:val="en-US" w:eastAsia="zh-CN"/>
                    </w:rPr>
                  </w:pPr>
                  <w:r>
                    <w:rPr>
                      <w:rFonts w:hint="eastAsia"/>
                      <w:color w:val="auto"/>
                      <w:sz w:val="18"/>
                      <w:szCs w:val="18"/>
                      <w:lang w:val="en-US" w:eastAsia="zh-CN"/>
                    </w:rPr>
                    <w:t>新建</w:t>
                  </w:r>
                </w:p>
              </w:tc>
            </w:tr>
            <w:tr w14:paraId="29E8F045">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341" w:type="pct"/>
                  <w:vMerge w:val="continue"/>
                  <w:vAlign w:val="center"/>
                </w:tcPr>
                <w:p w14:paraId="58A15AD5">
                  <w:pPr>
                    <w:jc w:val="center"/>
                    <w:rPr>
                      <w:color w:val="auto"/>
                      <w:sz w:val="18"/>
                      <w:szCs w:val="18"/>
                    </w:rPr>
                  </w:pPr>
                </w:p>
              </w:tc>
              <w:tc>
                <w:tcPr>
                  <w:tcW w:w="901" w:type="pct"/>
                  <w:gridSpan w:val="2"/>
                  <w:vAlign w:val="center"/>
                </w:tcPr>
                <w:p w14:paraId="2F6D9A59">
                  <w:pPr>
                    <w:jc w:val="center"/>
                    <w:rPr>
                      <w:rFonts w:hint="default"/>
                      <w:color w:val="auto"/>
                      <w:sz w:val="18"/>
                      <w:szCs w:val="18"/>
                      <w:lang w:val="en-US" w:eastAsia="zh-CN"/>
                    </w:rPr>
                  </w:pPr>
                  <w:r>
                    <w:rPr>
                      <w:rFonts w:hint="eastAsia"/>
                      <w:color w:val="auto"/>
                      <w:sz w:val="18"/>
                      <w:szCs w:val="18"/>
                      <w:lang w:val="en-US" w:eastAsia="zh-CN"/>
                    </w:rPr>
                    <w:t>消毒</w:t>
                  </w:r>
                </w:p>
              </w:tc>
              <w:tc>
                <w:tcPr>
                  <w:tcW w:w="3338" w:type="pct"/>
                  <w:vAlign w:val="center"/>
                </w:tcPr>
                <w:p w14:paraId="1B95CD19">
                  <w:pPr>
                    <w:keepNext w:val="0"/>
                    <w:keepLines w:val="0"/>
                    <w:widowControl/>
                    <w:suppressLineNumbers w:val="0"/>
                    <w:jc w:val="left"/>
                    <w:rPr>
                      <w:rFonts w:hint="eastAsia"/>
                      <w:color w:val="auto"/>
                      <w:sz w:val="18"/>
                      <w:szCs w:val="18"/>
                      <w:lang w:val="en-US" w:eastAsia="zh-CN"/>
                    </w:rPr>
                  </w:pPr>
                  <w:r>
                    <w:rPr>
                      <w:rFonts w:hint="eastAsia" w:ascii="宋体" w:hAnsi="宋体" w:eastAsia="宋体" w:cs="宋体"/>
                      <w:color w:val="000000"/>
                      <w:kern w:val="0"/>
                      <w:sz w:val="18"/>
                      <w:szCs w:val="18"/>
                      <w:lang w:val="en-US" w:eastAsia="zh-CN" w:bidi="ar"/>
                    </w:rPr>
                    <w:t>病房及科室采取紫外线消毒和空气喷雾消毒；医疗器械采用高压蒸汽灭菌器；污水处理站废水采取二氧化氯消毒，污泥采取石灰消毒。</w:t>
                  </w:r>
                </w:p>
              </w:tc>
              <w:tc>
                <w:tcPr>
                  <w:tcW w:w="419" w:type="pct"/>
                  <w:tcBorders>
                    <w:bottom w:val="single" w:color="auto" w:sz="4" w:space="0"/>
                  </w:tcBorders>
                  <w:vAlign w:val="center"/>
                </w:tcPr>
                <w:p w14:paraId="48DF65A7">
                  <w:pPr>
                    <w:jc w:val="center"/>
                    <w:rPr>
                      <w:rFonts w:hint="default"/>
                      <w:color w:val="auto"/>
                      <w:sz w:val="18"/>
                      <w:szCs w:val="18"/>
                      <w:lang w:val="en-US" w:eastAsia="zh-CN"/>
                    </w:rPr>
                  </w:pPr>
                  <w:r>
                    <w:rPr>
                      <w:rFonts w:hint="eastAsia"/>
                      <w:color w:val="auto"/>
                      <w:sz w:val="18"/>
                      <w:szCs w:val="18"/>
                      <w:lang w:val="en-US" w:eastAsia="zh-CN"/>
                    </w:rPr>
                    <w:t>新建</w:t>
                  </w:r>
                </w:p>
              </w:tc>
            </w:tr>
            <w:tr w14:paraId="50B22BA5">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341" w:type="pct"/>
                  <w:vMerge w:val="continue"/>
                  <w:vAlign w:val="center"/>
                </w:tcPr>
                <w:p w14:paraId="0E65D2EB">
                  <w:pPr>
                    <w:jc w:val="center"/>
                    <w:rPr>
                      <w:color w:val="auto"/>
                      <w:sz w:val="18"/>
                      <w:szCs w:val="18"/>
                    </w:rPr>
                  </w:pPr>
                </w:p>
              </w:tc>
              <w:tc>
                <w:tcPr>
                  <w:tcW w:w="901" w:type="pct"/>
                  <w:gridSpan w:val="2"/>
                  <w:vAlign w:val="center"/>
                </w:tcPr>
                <w:p w14:paraId="3038BEDA">
                  <w:pPr>
                    <w:jc w:val="center"/>
                    <w:rPr>
                      <w:rFonts w:hint="eastAsia" w:eastAsia="宋体"/>
                      <w:color w:val="auto"/>
                      <w:sz w:val="18"/>
                      <w:szCs w:val="18"/>
                      <w:lang w:val="en-US" w:eastAsia="zh-CN"/>
                    </w:rPr>
                  </w:pPr>
                  <w:r>
                    <w:rPr>
                      <w:rFonts w:hint="eastAsia"/>
                      <w:color w:val="auto"/>
                      <w:sz w:val="18"/>
                      <w:szCs w:val="18"/>
                      <w:lang w:val="en-US" w:eastAsia="zh-CN"/>
                    </w:rPr>
                    <w:t>化粪池</w:t>
                  </w:r>
                </w:p>
              </w:tc>
              <w:tc>
                <w:tcPr>
                  <w:tcW w:w="3338" w:type="pct"/>
                  <w:vAlign w:val="center"/>
                </w:tcPr>
                <w:p w14:paraId="03FE05EF">
                  <w:pPr>
                    <w:rPr>
                      <w:rFonts w:hint="default" w:eastAsia="宋体"/>
                      <w:color w:val="auto"/>
                      <w:sz w:val="18"/>
                      <w:szCs w:val="18"/>
                      <w:lang w:val="en-US" w:eastAsia="zh-CN"/>
                    </w:rPr>
                  </w:pPr>
                  <w:r>
                    <w:rPr>
                      <w:rFonts w:hint="eastAsia"/>
                      <w:color w:val="auto"/>
                      <w:sz w:val="18"/>
                      <w:szCs w:val="18"/>
                      <w:lang w:val="en-US" w:eastAsia="zh-CN"/>
                    </w:rPr>
                    <w:t>院区西南角处地下已建设有2座容积约100m</w:t>
                  </w:r>
                  <w:r>
                    <w:rPr>
                      <w:rFonts w:hint="eastAsia"/>
                      <w:color w:val="auto"/>
                      <w:sz w:val="18"/>
                      <w:szCs w:val="18"/>
                      <w:vertAlign w:val="superscript"/>
                      <w:lang w:val="en-US" w:eastAsia="zh-CN"/>
                    </w:rPr>
                    <w:t>3</w:t>
                  </w:r>
                  <w:r>
                    <w:rPr>
                      <w:rFonts w:hint="eastAsia"/>
                      <w:color w:val="auto"/>
                      <w:sz w:val="18"/>
                      <w:szCs w:val="18"/>
                      <w:lang w:val="en-US" w:eastAsia="zh-CN"/>
                    </w:rPr>
                    <w:t>化粪池。</w:t>
                  </w:r>
                </w:p>
              </w:tc>
              <w:tc>
                <w:tcPr>
                  <w:tcW w:w="419" w:type="pct"/>
                  <w:tcBorders>
                    <w:top w:val="single" w:color="auto" w:sz="4" w:space="0"/>
                  </w:tcBorders>
                  <w:vAlign w:val="center"/>
                </w:tcPr>
                <w:p w14:paraId="6F491D84">
                  <w:pPr>
                    <w:jc w:val="center"/>
                    <w:rPr>
                      <w:rFonts w:hint="eastAsia" w:eastAsia="宋体"/>
                      <w:color w:val="auto"/>
                      <w:sz w:val="18"/>
                      <w:szCs w:val="18"/>
                      <w:lang w:val="en-US" w:eastAsia="zh-CN"/>
                    </w:rPr>
                  </w:pPr>
                  <w:r>
                    <w:rPr>
                      <w:rFonts w:hint="eastAsia"/>
                      <w:color w:val="auto"/>
                      <w:sz w:val="18"/>
                      <w:szCs w:val="18"/>
                      <w:lang w:val="en-US" w:eastAsia="zh-CN"/>
                    </w:rPr>
                    <w:t>新建</w:t>
                  </w:r>
                </w:p>
              </w:tc>
            </w:tr>
            <w:tr w14:paraId="5E6B123B">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341" w:type="pct"/>
                  <w:vMerge w:val="restart"/>
                  <w:vAlign w:val="center"/>
                </w:tcPr>
                <w:p w14:paraId="77DF2A8E">
                  <w:pPr>
                    <w:jc w:val="center"/>
                    <w:rPr>
                      <w:color w:val="auto"/>
                      <w:sz w:val="18"/>
                      <w:szCs w:val="18"/>
                    </w:rPr>
                  </w:pPr>
                  <w:r>
                    <w:rPr>
                      <w:color w:val="auto"/>
                      <w:sz w:val="18"/>
                      <w:szCs w:val="18"/>
                    </w:rPr>
                    <w:t>公用工程</w:t>
                  </w:r>
                </w:p>
              </w:tc>
              <w:tc>
                <w:tcPr>
                  <w:tcW w:w="901" w:type="pct"/>
                  <w:gridSpan w:val="2"/>
                  <w:vAlign w:val="center"/>
                </w:tcPr>
                <w:p w14:paraId="4665B316">
                  <w:pPr>
                    <w:jc w:val="center"/>
                    <w:rPr>
                      <w:color w:val="auto"/>
                      <w:sz w:val="18"/>
                      <w:szCs w:val="18"/>
                    </w:rPr>
                  </w:pPr>
                  <w:r>
                    <w:rPr>
                      <w:color w:val="auto"/>
                      <w:sz w:val="18"/>
                      <w:szCs w:val="18"/>
                    </w:rPr>
                    <w:t>供水</w:t>
                  </w:r>
                </w:p>
              </w:tc>
              <w:tc>
                <w:tcPr>
                  <w:tcW w:w="3338" w:type="pct"/>
                  <w:vAlign w:val="center"/>
                </w:tcPr>
                <w:p w14:paraId="2CE32FD2">
                  <w:pPr>
                    <w:rPr>
                      <w:color w:val="auto"/>
                      <w:sz w:val="18"/>
                      <w:szCs w:val="18"/>
                    </w:rPr>
                  </w:pPr>
                  <w:r>
                    <w:rPr>
                      <w:rFonts w:hint="eastAsia"/>
                      <w:color w:val="auto"/>
                      <w:sz w:val="18"/>
                      <w:szCs w:val="18"/>
                    </w:rPr>
                    <w:t>水源</w:t>
                  </w:r>
                  <w:r>
                    <w:rPr>
                      <w:color w:val="auto"/>
                      <w:sz w:val="18"/>
                      <w:szCs w:val="18"/>
                    </w:rPr>
                    <w:t>由</w:t>
                  </w:r>
                  <w:r>
                    <w:rPr>
                      <w:rFonts w:hint="eastAsia"/>
                      <w:color w:val="auto"/>
                      <w:sz w:val="18"/>
                      <w:szCs w:val="18"/>
                      <w:lang w:val="en-US" w:eastAsia="zh-CN"/>
                    </w:rPr>
                    <w:t>园区供水管网提供</w:t>
                  </w:r>
                  <w:r>
                    <w:rPr>
                      <w:color w:val="auto"/>
                      <w:sz w:val="18"/>
                      <w:szCs w:val="18"/>
                    </w:rPr>
                    <w:t>。</w:t>
                  </w:r>
                </w:p>
              </w:tc>
              <w:tc>
                <w:tcPr>
                  <w:tcW w:w="419" w:type="pct"/>
                  <w:tcBorders>
                    <w:bottom w:val="single" w:color="auto" w:sz="4" w:space="0"/>
                  </w:tcBorders>
                  <w:vAlign w:val="center"/>
                </w:tcPr>
                <w:p w14:paraId="61C7AA14">
                  <w:pPr>
                    <w:jc w:val="center"/>
                    <w:rPr>
                      <w:color w:val="auto"/>
                      <w:sz w:val="18"/>
                      <w:szCs w:val="18"/>
                    </w:rPr>
                  </w:pPr>
                  <w:r>
                    <w:rPr>
                      <w:rFonts w:hint="eastAsia"/>
                      <w:color w:val="auto"/>
                      <w:sz w:val="18"/>
                      <w:szCs w:val="18"/>
                      <w:lang w:val="en-US" w:eastAsia="zh-CN"/>
                    </w:rPr>
                    <w:t>-</w:t>
                  </w:r>
                </w:p>
              </w:tc>
            </w:tr>
            <w:tr w14:paraId="77D57D05">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341" w:type="pct"/>
                  <w:vMerge w:val="continue"/>
                  <w:vAlign w:val="center"/>
                </w:tcPr>
                <w:p w14:paraId="07AEB70D">
                  <w:pPr>
                    <w:jc w:val="center"/>
                    <w:rPr>
                      <w:color w:val="auto"/>
                      <w:sz w:val="18"/>
                      <w:szCs w:val="18"/>
                    </w:rPr>
                  </w:pPr>
                </w:p>
              </w:tc>
              <w:tc>
                <w:tcPr>
                  <w:tcW w:w="901" w:type="pct"/>
                  <w:gridSpan w:val="2"/>
                  <w:vAlign w:val="center"/>
                </w:tcPr>
                <w:p w14:paraId="41DF9CA8">
                  <w:pPr>
                    <w:jc w:val="center"/>
                    <w:rPr>
                      <w:rFonts w:hint="eastAsia" w:eastAsia="宋体"/>
                      <w:color w:val="auto"/>
                      <w:sz w:val="18"/>
                      <w:szCs w:val="18"/>
                      <w:lang w:val="en-US" w:eastAsia="zh-CN"/>
                    </w:rPr>
                  </w:pPr>
                  <w:r>
                    <w:rPr>
                      <w:rFonts w:hint="eastAsia"/>
                      <w:color w:val="auto"/>
                      <w:sz w:val="18"/>
                      <w:szCs w:val="18"/>
                      <w:lang w:val="en-US" w:eastAsia="zh-CN"/>
                    </w:rPr>
                    <w:t>供热</w:t>
                  </w:r>
                </w:p>
              </w:tc>
              <w:tc>
                <w:tcPr>
                  <w:tcW w:w="3338" w:type="pct"/>
                  <w:vAlign w:val="center"/>
                </w:tcPr>
                <w:p w14:paraId="49A00D35">
                  <w:pPr>
                    <w:rPr>
                      <w:rFonts w:hint="default" w:eastAsia="宋体"/>
                      <w:color w:val="auto"/>
                      <w:sz w:val="18"/>
                      <w:szCs w:val="18"/>
                      <w:lang w:val="en-US" w:eastAsia="zh-CN"/>
                    </w:rPr>
                  </w:pPr>
                  <w:r>
                    <w:rPr>
                      <w:rFonts w:hint="eastAsia"/>
                      <w:color w:val="auto"/>
                      <w:sz w:val="18"/>
                      <w:szCs w:val="18"/>
                      <w:lang w:val="en-US" w:eastAsia="zh-CN"/>
                    </w:rPr>
                    <w:t>采用园区集中供热。</w:t>
                  </w:r>
                </w:p>
              </w:tc>
              <w:tc>
                <w:tcPr>
                  <w:tcW w:w="419" w:type="pct"/>
                  <w:tcBorders>
                    <w:bottom w:val="single" w:color="auto" w:sz="4" w:space="0"/>
                  </w:tcBorders>
                  <w:vAlign w:val="center"/>
                </w:tcPr>
                <w:p w14:paraId="1FB8E2C4">
                  <w:pPr>
                    <w:jc w:val="center"/>
                    <w:rPr>
                      <w:rFonts w:hint="eastAsia"/>
                      <w:color w:val="auto"/>
                      <w:sz w:val="18"/>
                      <w:szCs w:val="18"/>
                    </w:rPr>
                  </w:pPr>
                  <w:r>
                    <w:rPr>
                      <w:rFonts w:hint="eastAsia"/>
                      <w:color w:val="auto"/>
                      <w:sz w:val="18"/>
                      <w:szCs w:val="18"/>
                      <w:lang w:val="en-US" w:eastAsia="zh-CN"/>
                    </w:rPr>
                    <w:t>-</w:t>
                  </w:r>
                </w:p>
              </w:tc>
            </w:tr>
            <w:tr w14:paraId="2E78BA60">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341" w:type="pct"/>
                  <w:vMerge w:val="continue"/>
                  <w:vAlign w:val="center"/>
                </w:tcPr>
                <w:p w14:paraId="0D3D1A3D">
                  <w:pPr>
                    <w:jc w:val="center"/>
                    <w:rPr>
                      <w:color w:val="auto"/>
                      <w:sz w:val="18"/>
                      <w:szCs w:val="18"/>
                    </w:rPr>
                  </w:pPr>
                </w:p>
              </w:tc>
              <w:tc>
                <w:tcPr>
                  <w:tcW w:w="901" w:type="pct"/>
                  <w:gridSpan w:val="2"/>
                  <w:vAlign w:val="center"/>
                </w:tcPr>
                <w:p w14:paraId="0589335C">
                  <w:pPr>
                    <w:jc w:val="center"/>
                    <w:rPr>
                      <w:rFonts w:hint="default"/>
                      <w:color w:val="auto"/>
                      <w:sz w:val="18"/>
                      <w:szCs w:val="18"/>
                      <w:lang w:val="en-US" w:eastAsia="zh-CN"/>
                    </w:rPr>
                  </w:pPr>
                  <w:r>
                    <w:rPr>
                      <w:rFonts w:hint="eastAsia"/>
                      <w:color w:val="auto"/>
                      <w:sz w:val="18"/>
                      <w:szCs w:val="18"/>
                      <w:lang w:val="en-US" w:eastAsia="zh-CN"/>
                    </w:rPr>
                    <w:t>制冷</w:t>
                  </w:r>
                </w:p>
              </w:tc>
              <w:tc>
                <w:tcPr>
                  <w:tcW w:w="3338" w:type="pct"/>
                  <w:vAlign w:val="center"/>
                </w:tcPr>
                <w:p w14:paraId="271B99CF">
                  <w:pPr>
                    <w:rPr>
                      <w:rFonts w:hint="default" w:eastAsia="宋体"/>
                      <w:color w:val="auto"/>
                      <w:sz w:val="18"/>
                      <w:szCs w:val="18"/>
                      <w:lang w:val="en-US" w:eastAsia="zh-CN"/>
                    </w:rPr>
                  </w:pPr>
                  <w:r>
                    <w:rPr>
                      <w:rFonts w:hint="eastAsia"/>
                      <w:color w:val="auto"/>
                      <w:sz w:val="18"/>
                      <w:szCs w:val="18"/>
                      <w:lang w:val="en-US" w:eastAsia="zh-CN"/>
                    </w:rPr>
                    <w:t>利用空调制冷，配套有7000kW空调机组。</w:t>
                  </w:r>
                </w:p>
              </w:tc>
              <w:tc>
                <w:tcPr>
                  <w:tcW w:w="419" w:type="pct"/>
                  <w:tcBorders>
                    <w:bottom w:val="single" w:color="auto" w:sz="4" w:space="0"/>
                  </w:tcBorders>
                  <w:vAlign w:val="center"/>
                </w:tcPr>
                <w:p w14:paraId="7F8F2F76">
                  <w:pPr>
                    <w:jc w:val="center"/>
                    <w:rPr>
                      <w:rFonts w:hint="eastAsia"/>
                      <w:color w:val="auto"/>
                      <w:sz w:val="18"/>
                      <w:szCs w:val="18"/>
                    </w:rPr>
                  </w:pPr>
                  <w:r>
                    <w:rPr>
                      <w:rFonts w:hint="eastAsia"/>
                      <w:color w:val="auto"/>
                      <w:sz w:val="18"/>
                      <w:szCs w:val="18"/>
                      <w:lang w:val="en-US" w:eastAsia="zh-CN"/>
                    </w:rPr>
                    <w:t>新建</w:t>
                  </w:r>
                </w:p>
              </w:tc>
            </w:tr>
            <w:tr w14:paraId="6185C08F">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341" w:type="pct"/>
                  <w:vMerge w:val="continue"/>
                  <w:vAlign w:val="center"/>
                </w:tcPr>
                <w:p w14:paraId="790FF5D7">
                  <w:pPr>
                    <w:jc w:val="center"/>
                    <w:rPr>
                      <w:color w:val="auto"/>
                      <w:sz w:val="18"/>
                      <w:szCs w:val="18"/>
                    </w:rPr>
                  </w:pPr>
                </w:p>
              </w:tc>
              <w:tc>
                <w:tcPr>
                  <w:tcW w:w="901" w:type="pct"/>
                  <w:gridSpan w:val="2"/>
                  <w:vAlign w:val="center"/>
                </w:tcPr>
                <w:p w14:paraId="1554B041">
                  <w:pPr>
                    <w:jc w:val="center"/>
                    <w:rPr>
                      <w:rFonts w:hint="default"/>
                      <w:color w:val="auto"/>
                      <w:sz w:val="18"/>
                      <w:szCs w:val="18"/>
                      <w:lang w:val="en-US" w:eastAsia="zh-CN"/>
                    </w:rPr>
                  </w:pPr>
                  <w:r>
                    <w:rPr>
                      <w:rFonts w:hint="eastAsia"/>
                      <w:color w:val="auto"/>
                      <w:sz w:val="18"/>
                      <w:szCs w:val="18"/>
                      <w:lang w:val="en-US" w:eastAsia="zh-CN"/>
                    </w:rPr>
                    <w:t>食堂</w:t>
                  </w:r>
                </w:p>
              </w:tc>
              <w:tc>
                <w:tcPr>
                  <w:tcW w:w="3338" w:type="pct"/>
                  <w:vAlign w:val="center"/>
                </w:tcPr>
                <w:p w14:paraId="1D5DA09E">
                  <w:pPr>
                    <w:rPr>
                      <w:rFonts w:hint="default" w:eastAsia="宋体"/>
                      <w:color w:val="auto"/>
                      <w:sz w:val="18"/>
                      <w:szCs w:val="18"/>
                      <w:lang w:val="en-US" w:eastAsia="zh-CN"/>
                    </w:rPr>
                  </w:pPr>
                  <w:r>
                    <w:rPr>
                      <w:rFonts w:hint="eastAsia"/>
                      <w:color w:val="auto"/>
                      <w:sz w:val="18"/>
                      <w:szCs w:val="18"/>
                      <w:lang w:val="en-US" w:eastAsia="zh-CN"/>
                    </w:rPr>
                    <w:t>共设置有3座食堂，分别设在2#护理楼2层（1#食堂设置2个灶头）、1层（2#食堂设置2个灶头）、地下室（3#食堂设置4个灶头）。</w:t>
                  </w:r>
                </w:p>
              </w:tc>
              <w:tc>
                <w:tcPr>
                  <w:tcW w:w="419" w:type="pct"/>
                  <w:tcBorders>
                    <w:bottom w:val="single" w:color="auto" w:sz="4" w:space="0"/>
                  </w:tcBorders>
                  <w:vAlign w:val="center"/>
                </w:tcPr>
                <w:p w14:paraId="109A06C3">
                  <w:pPr>
                    <w:jc w:val="center"/>
                    <w:rPr>
                      <w:rFonts w:hint="eastAsia"/>
                      <w:color w:val="auto"/>
                      <w:sz w:val="18"/>
                      <w:szCs w:val="18"/>
                    </w:rPr>
                  </w:pPr>
                  <w:r>
                    <w:rPr>
                      <w:rFonts w:hint="eastAsia"/>
                      <w:color w:val="auto"/>
                      <w:sz w:val="18"/>
                      <w:szCs w:val="18"/>
                      <w:lang w:val="en-US" w:eastAsia="zh-CN"/>
                    </w:rPr>
                    <w:t>新建</w:t>
                  </w:r>
                </w:p>
              </w:tc>
            </w:tr>
            <w:tr w14:paraId="4FD04DFD">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341" w:type="pct"/>
                  <w:vMerge w:val="continue"/>
                  <w:vAlign w:val="center"/>
                </w:tcPr>
                <w:p w14:paraId="76D29025">
                  <w:pPr>
                    <w:jc w:val="center"/>
                    <w:rPr>
                      <w:color w:val="auto"/>
                      <w:sz w:val="18"/>
                      <w:szCs w:val="18"/>
                    </w:rPr>
                  </w:pPr>
                </w:p>
              </w:tc>
              <w:tc>
                <w:tcPr>
                  <w:tcW w:w="901" w:type="pct"/>
                  <w:gridSpan w:val="2"/>
                  <w:vAlign w:val="center"/>
                </w:tcPr>
                <w:p w14:paraId="7A1ED09A">
                  <w:pPr>
                    <w:jc w:val="center"/>
                    <w:rPr>
                      <w:color w:val="auto"/>
                      <w:sz w:val="18"/>
                      <w:szCs w:val="18"/>
                    </w:rPr>
                  </w:pPr>
                  <w:r>
                    <w:rPr>
                      <w:color w:val="auto"/>
                      <w:sz w:val="18"/>
                      <w:szCs w:val="18"/>
                    </w:rPr>
                    <w:t>供电</w:t>
                  </w:r>
                </w:p>
              </w:tc>
              <w:tc>
                <w:tcPr>
                  <w:tcW w:w="3338" w:type="pct"/>
                  <w:vAlign w:val="center"/>
                </w:tcPr>
                <w:p w14:paraId="2462CA2E">
                  <w:pPr>
                    <w:rPr>
                      <w:color w:val="auto"/>
                      <w:sz w:val="18"/>
                      <w:szCs w:val="18"/>
                    </w:rPr>
                  </w:pPr>
                  <w:r>
                    <w:rPr>
                      <w:color w:val="auto"/>
                      <w:sz w:val="18"/>
                      <w:szCs w:val="18"/>
                    </w:rPr>
                    <w:t>电源</w:t>
                  </w:r>
                  <w:r>
                    <w:rPr>
                      <w:rFonts w:hint="eastAsia"/>
                      <w:color w:val="auto"/>
                      <w:sz w:val="18"/>
                      <w:szCs w:val="18"/>
                    </w:rPr>
                    <w:t>引自</w:t>
                  </w:r>
                  <w:r>
                    <w:rPr>
                      <w:rFonts w:hint="eastAsia"/>
                      <w:color w:val="auto"/>
                      <w:sz w:val="18"/>
                      <w:szCs w:val="18"/>
                      <w:lang w:val="en-US" w:eastAsia="zh-CN"/>
                    </w:rPr>
                    <w:t>园区</w:t>
                  </w:r>
                  <w:r>
                    <w:rPr>
                      <w:rFonts w:hint="eastAsia"/>
                      <w:color w:val="auto"/>
                      <w:sz w:val="18"/>
                      <w:szCs w:val="18"/>
                    </w:rPr>
                    <w:t>供电系统</w:t>
                  </w:r>
                  <w:r>
                    <w:rPr>
                      <w:color w:val="auto"/>
                      <w:sz w:val="18"/>
                      <w:szCs w:val="18"/>
                    </w:rPr>
                    <w:t>，</w:t>
                  </w:r>
                  <w:r>
                    <w:rPr>
                      <w:rFonts w:hint="eastAsia"/>
                      <w:color w:val="auto"/>
                      <w:sz w:val="18"/>
                      <w:szCs w:val="18"/>
                      <w:lang w:val="en-US" w:eastAsia="zh-CN"/>
                    </w:rPr>
                    <w:t>住院楼地下</w:t>
                  </w:r>
                  <w:r>
                    <w:rPr>
                      <w:color w:val="auto"/>
                      <w:sz w:val="18"/>
                      <w:szCs w:val="18"/>
                    </w:rPr>
                    <w:t>设置</w:t>
                  </w:r>
                  <w:r>
                    <w:rPr>
                      <w:rFonts w:hint="eastAsia"/>
                      <w:color w:val="auto"/>
                      <w:sz w:val="18"/>
                      <w:szCs w:val="18"/>
                      <w:lang w:val="en-US" w:eastAsia="zh-CN"/>
                    </w:rPr>
                    <w:t>1</w:t>
                  </w:r>
                  <w:r>
                    <w:rPr>
                      <w:rFonts w:hint="eastAsia"/>
                      <w:color w:val="auto"/>
                      <w:sz w:val="18"/>
                      <w:szCs w:val="18"/>
                    </w:rPr>
                    <w:t>座</w:t>
                  </w:r>
                  <w:r>
                    <w:rPr>
                      <w:rFonts w:hint="eastAsia"/>
                      <w:color w:val="auto"/>
                      <w:sz w:val="18"/>
                      <w:szCs w:val="18"/>
                      <w:lang w:val="en-US" w:eastAsia="zh-CN"/>
                    </w:rPr>
                    <w:t>5</w:t>
                  </w:r>
                  <w:r>
                    <w:rPr>
                      <w:rFonts w:hint="eastAsia"/>
                      <w:color w:val="auto"/>
                      <w:sz w:val="18"/>
                      <w:szCs w:val="18"/>
                    </w:rPr>
                    <w:t>00kVA变</w:t>
                  </w:r>
                  <w:r>
                    <w:rPr>
                      <w:rFonts w:hint="eastAsia"/>
                      <w:color w:val="auto"/>
                      <w:sz w:val="18"/>
                      <w:szCs w:val="18"/>
                      <w:lang w:val="en-US" w:eastAsia="zh-CN"/>
                    </w:rPr>
                    <w:t>电所</w:t>
                  </w:r>
                  <w:r>
                    <w:rPr>
                      <w:color w:val="auto"/>
                      <w:sz w:val="18"/>
                      <w:szCs w:val="18"/>
                    </w:rPr>
                    <w:t>。</w:t>
                  </w:r>
                </w:p>
              </w:tc>
              <w:tc>
                <w:tcPr>
                  <w:tcW w:w="419" w:type="pct"/>
                  <w:tcBorders>
                    <w:top w:val="single" w:color="auto" w:sz="4" w:space="0"/>
                    <w:bottom w:val="single" w:color="auto" w:sz="4" w:space="0"/>
                  </w:tcBorders>
                  <w:vAlign w:val="center"/>
                </w:tcPr>
                <w:p w14:paraId="6E37B2B0">
                  <w:pPr>
                    <w:jc w:val="center"/>
                    <w:rPr>
                      <w:color w:val="auto"/>
                      <w:sz w:val="18"/>
                      <w:szCs w:val="18"/>
                    </w:rPr>
                  </w:pPr>
                  <w:r>
                    <w:rPr>
                      <w:color w:val="auto"/>
                      <w:sz w:val="18"/>
                      <w:szCs w:val="18"/>
                    </w:rPr>
                    <w:t>新建</w:t>
                  </w:r>
                </w:p>
              </w:tc>
            </w:tr>
            <w:tr w14:paraId="3AFD5FCB">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18" w:hRule="atLeast"/>
                <w:jc w:val="center"/>
              </w:trPr>
              <w:tc>
                <w:tcPr>
                  <w:tcW w:w="341" w:type="pct"/>
                  <w:vMerge w:val="restart"/>
                  <w:vAlign w:val="center"/>
                </w:tcPr>
                <w:p w14:paraId="1881F9B7">
                  <w:pPr>
                    <w:jc w:val="center"/>
                    <w:rPr>
                      <w:color w:val="auto"/>
                      <w:sz w:val="18"/>
                      <w:szCs w:val="18"/>
                    </w:rPr>
                  </w:pPr>
                  <w:r>
                    <w:rPr>
                      <w:color w:val="auto"/>
                      <w:sz w:val="18"/>
                      <w:szCs w:val="18"/>
                    </w:rPr>
                    <w:t>环保工程</w:t>
                  </w:r>
                </w:p>
              </w:tc>
              <w:tc>
                <w:tcPr>
                  <w:tcW w:w="901" w:type="pct"/>
                  <w:gridSpan w:val="2"/>
                  <w:vMerge w:val="restart"/>
                  <w:vAlign w:val="center"/>
                </w:tcPr>
                <w:p w14:paraId="0EACB2C0">
                  <w:pPr>
                    <w:jc w:val="center"/>
                    <w:rPr>
                      <w:rFonts w:hint="eastAsia"/>
                      <w:color w:val="auto"/>
                      <w:sz w:val="18"/>
                      <w:szCs w:val="18"/>
                      <w:lang w:val="en-US" w:eastAsia="zh-CN"/>
                    </w:rPr>
                  </w:pPr>
                  <w:r>
                    <w:rPr>
                      <w:color w:val="auto"/>
                      <w:sz w:val="18"/>
                      <w:szCs w:val="18"/>
                    </w:rPr>
                    <w:t>废气</w:t>
                  </w:r>
                </w:p>
              </w:tc>
              <w:tc>
                <w:tcPr>
                  <w:tcW w:w="3338" w:type="pct"/>
                  <w:tcBorders>
                    <w:bottom w:val="single" w:color="auto" w:sz="4" w:space="0"/>
                  </w:tcBorders>
                  <w:vAlign w:val="center"/>
                </w:tcPr>
                <w:p w14:paraId="47A7F048">
                  <w:pPr>
                    <w:keepNext w:val="0"/>
                    <w:keepLines w:val="0"/>
                    <w:widowControl/>
                    <w:suppressLineNumbers w:val="0"/>
                    <w:jc w:val="left"/>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污水处理站各池体</w:t>
                  </w:r>
                  <w:r>
                    <w:rPr>
                      <w:rFonts w:hint="eastAsia" w:ascii="宋体" w:hAnsi="宋体" w:eastAsia="宋体" w:cs="宋体"/>
                      <w:color w:val="000000"/>
                      <w:kern w:val="0"/>
                      <w:sz w:val="18"/>
                      <w:szCs w:val="18"/>
                      <w:lang w:val="en-US" w:eastAsia="zh-CN" w:bidi="ar"/>
                    </w:rPr>
                    <w:t>采取封闭式结构；定期喷洒除臭剂、加强四周绿化，减少恶臭产生。</w:t>
                  </w:r>
                </w:p>
              </w:tc>
              <w:tc>
                <w:tcPr>
                  <w:tcW w:w="419" w:type="pct"/>
                  <w:tcBorders>
                    <w:bottom w:val="single" w:color="auto" w:sz="4" w:space="0"/>
                  </w:tcBorders>
                  <w:vAlign w:val="center"/>
                </w:tcPr>
                <w:p w14:paraId="4DBA4A87">
                  <w:pPr>
                    <w:jc w:val="center"/>
                    <w:rPr>
                      <w:color w:val="auto"/>
                      <w:sz w:val="18"/>
                      <w:szCs w:val="18"/>
                    </w:rPr>
                  </w:pPr>
                  <w:r>
                    <w:rPr>
                      <w:color w:val="auto"/>
                      <w:sz w:val="18"/>
                      <w:szCs w:val="18"/>
                    </w:rPr>
                    <w:t>新建</w:t>
                  </w:r>
                </w:p>
              </w:tc>
            </w:tr>
            <w:tr w14:paraId="31033B3B">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168" w:hRule="atLeast"/>
                <w:jc w:val="center"/>
              </w:trPr>
              <w:tc>
                <w:tcPr>
                  <w:tcW w:w="341" w:type="pct"/>
                  <w:vMerge w:val="continue"/>
                  <w:vAlign w:val="center"/>
                </w:tcPr>
                <w:p w14:paraId="5ADF3DD8">
                  <w:pPr>
                    <w:jc w:val="center"/>
                    <w:rPr>
                      <w:color w:val="auto"/>
                      <w:sz w:val="18"/>
                      <w:szCs w:val="18"/>
                    </w:rPr>
                  </w:pPr>
                </w:p>
              </w:tc>
              <w:tc>
                <w:tcPr>
                  <w:tcW w:w="901" w:type="pct"/>
                  <w:gridSpan w:val="2"/>
                  <w:vMerge w:val="continue"/>
                  <w:vAlign w:val="center"/>
                </w:tcPr>
                <w:p w14:paraId="54A0FF08">
                  <w:pPr>
                    <w:jc w:val="center"/>
                    <w:rPr>
                      <w:color w:val="auto"/>
                      <w:sz w:val="18"/>
                      <w:szCs w:val="18"/>
                    </w:rPr>
                  </w:pPr>
                </w:p>
              </w:tc>
              <w:tc>
                <w:tcPr>
                  <w:tcW w:w="3338" w:type="pct"/>
                  <w:tcBorders>
                    <w:top w:val="single" w:color="auto" w:sz="4" w:space="0"/>
                  </w:tcBorders>
                  <w:vAlign w:val="center"/>
                </w:tcPr>
                <w:p w14:paraId="302C1764">
                  <w:pPr>
                    <w:keepNext w:val="0"/>
                    <w:keepLines w:val="0"/>
                    <w:widowControl/>
                    <w:suppressLineNumbers w:val="0"/>
                    <w:jc w:val="left"/>
                    <w:rPr>
                      <w:rFonts w:hint="eastAsia" w:cs="Times New Roman"/>
                      <w:color w:val="auto"/>
                      <w:kern w:val="2"/>
                      <w:sz w:val="18"/>
                      <w:szCs w:val="18"/>
                      <w:lang w:val="en-US" w:eastAsia="zh-CN" w:bidi="ar-SA"/>
                    </w:rPr>
                  </w:pPr>
                  <w:r>
                    <w:rPr>
                      <w:rFonts w:hint="default" w:ascii="Times New Roman" w:hAnsi="Times New Roman" w:eastAsia="宋体" w:cs="Times New Roman"/>
                      <w:color w:val="000000"/>
                      <w:kern w:val="0"/>
                      <w:sz w:val="18"/>
                      <w:szCs w:val="18"/>
                      <w:lang w:val="en-US" w:eastAsia="zh-CN" w:bidi="ar"/>
                    </w:rPr>
                    <w:t>3座食堂安装油烟净化装置，</w:t>
                  </w:r>
                  <w:r>
                    <w:rPr>
                      <w:rFonts w:hint="default" w:ascii="Times New Roman" w:hAnsi="Times New Roman" w:cs="Times New Roman"/>
                      <w:color w:val="000000"/>
                      <w:kern w:val="0"/>
                      <w:sz w:val="18"/>
                      <w:szCs w:val="18"/>
                      <w:lang w:val="en-US" w:eastAsia="zh-CN" w:bidi="ar"/>
                    </w:rPr>
                    <w:t>3#食堂（地下室）油烟净化器</w:t>
                  </w:r>
                  <w:r>
                    <w:rPr>
                      <w:rFonts w:hint="default" w:ascii="Times New Roman" w:hAnsi="Times New Roman" w:eastAsia="宋体" w:cs="Times New Roman"/>
                      <w:color w:val="000000"/>
                      <w:kern w:val="0"/>
                      <w:sz w:val="18"/>
                      <w:szCs w:val="18"/>
                      <w:lang w:val="en-US" w:eastAsia="zh-CN" w:bidi="ar"/>
                    </w:rPr>
                    <w:t>净化率不低于 75%，</w:t>
                  </w:r>
                  <w:r>
                    <w:rPr>
                      <w:rFonts w:hint="default" w:ascii="Times New Roman" w:hAnsi="Times New Roman" w:cs="Times New Roman"/>
                      <w:color w:val="000000"/>
                      <w:kern w:val="0"/>
                      <w:sz w:val="18"/>
                      <w:szCs w:val="18"/>
                      <w:lang w:val="en-US" w:eastAsia="zh-CN" w:bidi="ar"/>
                    </w:rPr>
                    <w:t>其余2座食堂油烟净化器净化效率不低于60%，地下室油烟净化器</w:t>
                  </w:r>
                  <w:r>
                    <w:rPr>
                      <w:rFonts w:hint="default" w:ascii="Times New Roman" w:hAnsi="Times New Roman" w:eastAsia="宋体" w:cs="Times New Roman"/>
                      <w:color w:val="000000"/>
                      <w:kern w:val="0"/>
                      <w:sz w:val="18"/>
                      <w:szCs w:val="18"/>
                      <w:lang w:val="en-US" w:eastAsia="zh-CN" w:bidi="ar"/>
                    </w:rPr>
                    <w:t>净化率不低于 75%，食堂油烟经净化处理后引至楼顶排放。</w:t>
                  </w:r>
                </w:p>
              </w:tc>
              <w:tc>
                <w:tcPr>
                  <w:tcW w:w="419" w:type="pct"/>
                  <w:tcBorders>
                    <w:top w:val="single" w:color="auto" w:sz="4" w:space="0"/>
                  </w:tcBorders>
                  <w:vAlign w:val="center"/>
                </w:tcPr>
                <w:p w14:paraId="61411B10">
                  <w:pPr>
                    <w:jc w:val="center"/>
                    <w:rPr>
                      <w:color w:val="auto"/>
                      <w:sz w:val="18"/>
                      <w:szCs w:val="18"/>
                    </w:rPr>
                  </w:pPr>
                  <w:r>
                    <w:rPr>
                      <w:color w:val="auto"/>
                      <w:sz w:val="18"/>
                      <w:szCs w:val="18"/>
                    </w:rPr>
                    <w:t>新建</w:t>
                  </w:r>
                </w:p>
              </w:tc>
            </w:tr>
            <w:tr w14:paraId="6B6F8C25">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710" w:hRule="atLeast"/>
                <w:jc w:val="center"/>
              </w:trPr>
              <w:tc>
                <w:tcPr>
                  <w:tcW w:w="341" w:type="pct"/>
                  <w:vMerge w:val="continue"/>
                  <w:vAlign w:val="center"/>
                </w:tcPr>
                <w:p w14:paraId="237AD619">
                  <w:pPr>
                    <w:rPr>
                      <w:color w:val="auto"/>
                      <w:sz w:val="18"/>
                      <w:szCs w:val="18"/>
                    </w:rPr>
                  </w:pPr>
                </w:p>
              </w:tc>
              <w:tc>
                <w:tcPr>
                  <w:tcW w:w="901" w:type="pct"/>
                  <w:gridSpan w:val="2"/>
                  <w:vAlign w:val="center"/>
                </w:tcPr>
                <w:p w14:paraId="53DA9517">
                  <w:pPr>
                    <w:jc w:val="center"/>
                    <w:rPr>
                      <w:rFonts w:hint="eastAsia" w:eastAsia="宋体"/>
                      <w:color w:val="auto"/>
                      <w:sz w:val="18"/>
                      <w:szCs w:val="18"/>
                      <w:lang w:val="en-US" w:eastAsia="zh-CN"/>
                    </w:rPr>
                  </w:pPr>
                  <w:r>
                    <w:rPr>
                      <w:rFonts w:hint="eastAsia"/>
                      <w:color w:val="auto"/>
                      <w:sz w:val="18"/>
                      <w:szCs w:val="18"/>
                      <w:lang w:val="en-US" w:eastAsia="zh-CN"/>
                    </w:rPr>
                    <w:t>废水</w:t>
                  </w:r>
                </w:p>
              </w:tc>
              <w:tc>
                <w:tcPr>
                  <w:tcW w:w="3338" w:type="pct"/>
                  <w:vAlign w:val="center"/>
                </w:tcPr>
                <w:p w14:paraId="6D1B6F6E">
                  <w:pPr>
                    <w:keepNext w:val="0"/>
                    <w:keepLines w:val="0"/>
                    <w:widowControl/>
                    <w:suppressLineNumbers w:val="0"/>
                    <w:jc w:val="left"/>
                    <w:rPr>
                      <w:rFonts w:hint="eastAsia" w:eastAsia="宋体"/>
                      <w:color w:val="auto"/>
                      <w:sz w:val="18"/>
                      <w:szCs w:val="18"/>
                      <w:lang w:eastAsia="zh-CN"/>
                    </w:rPr>
                  </w:pPr>
                  <w:r>
                    <w:rPr>
                      <w:rFonts w:hint="eastAsia" w:ascii="宋体" w:hAnsi="宋体" w:eastAsia="宋体" w:cs="宋体"/>
                      <w:color w:val="000000"/>
                      <w:kern w:val="0"/>
                      <w:sz w:val="18"/>
                      <w:szCs w:val="18"/>
                      <w:lang w:val="en-US" w:eastAsia="zh-CN" w:bidi="ar"/>
                    </w:rPr>
                    <w:t>食堂废水经隔油处理；检验科产生的特殊医疗废水采取相应的预处理措施后，与其他废水一起排入污水处理站处理，处理后的废水水质达到《医疗机构水污染物排放标准》</w:t>
                  </w:r>
                  <w:r>
                    <w:rPr>
                      <w:rFonts w:hint="eastAsia" w:ascii="Times New Roman" w:hAnsi="Times New Roman" w:eastAsia="宋体" w:cs="Times New Roman"/>
                      <w:color w:val="000000"/>
                      <w:kern w:val="0"/>
                      <w:sz w:val="18"/>
                      <w:szCs w:val="18"/>
                      <w:lang w:val="en-US" w:eastAsia="zh-CN" w:bidi="ar"/>
                    </w:rPr>
                    <w:t>（</w:t>
                  </w:r>
                  <w:r>
                    <w:rPr>
                      <w:rFonts w:hint="default" w:ascii="Times New Roman" w:hAnsi="Times New Roman" w:eastAsia="宋体" w:cs="Times New Roman"/>
                      <w:color w:val="000000"/>
                      <w:kern w:val="0"/>
                      <w:sz w:val="18"/>
                      <w:szCs w:val="18"/>
                      <w:lang w:val="en-US" w:eastAsia="zh-CN" w:bidi="ar"/>
                    </w:rPr>
                    <w:t>GB18466-2005</w:t>
                  </w:r>
                  <w:r>
                    <w:rPr>
                      <w:rFonts w:hint="eastAsia" w:ascii="Times New Roman" w:hAnsi="Times New Roman" w:eastAsia="宋体" w:cs="Times New Roman"/>
                      <w:color w:val="000000"/>
                      <w:kern w:val="0"/>
                      <w:sz w:val="18"/>
                      <w:szCs w:val="18"/>
                      <w:lang w:val="en-US" w:eastAsia="zh-CN" w:bidi="ar"/>
                    </w:rPr>
                    <w:t>）</w:t>
                  </w:r>
                  <w:r>
                    <w:rPr>
                      <w:rFonts w:hint="eastAsia" w:ascii="宋体" w:hAnsi="宋体" w:eastAsia="宋体" w:cs="宋体"/>
                      <w:color w:val="000000"/>
                      <w:kern w:val="0"/>
                      <w:sz w:val="18"/>
                      <w:szCs w:val="18"/>
                      <w:lang w:val="en-US" w:eastAsia="zh-CN" w:bidi="ar"/>
                    </w:rPr>
                    <w:t xml:space="preserve">表 </w:t>
                  </w:r>
                  <w:r>
                    <w:rPr>
                      <w:rFonts w:hint="default" w:ascii="Times New Roman" w:hAnsi="Times New Roman" w:eastAsia="宋体" w:cs="Times New Roman"/>
                      <w:color w:val="000000"/>
                      <w:kern w:val="0"/>
                      <w:sz w:val="18"/>
                      <w:szCs w:val="18"/>
                      <w:lang w:val="en-US" w:eastAsia="zh-CN" w:bidi="ar"/>
                    </w:rPr>
                    <w:t xml:space="preserve">2 </w:t>
                  </w:r>
                  <w:r>
                    <w:rPr>
                      <w:rFonts w:hint="eastAsia" w:ascii="宋体" w:hAnsi="宋体" w:eastAsia="宋体" w:cs="宋体"/>
                      <w:color w:val="000000"/>
                      <w:kern w:val="0"/>
                      <w:sz w:val="18"/>
                      <w:szCs w:val="18"/>
                      <w:lang w:val="en-US" w:eastAsia="zh-CN" w:bidi="ar"/>
                    </w:rPr>
                    <w:t>中预处理标准后排入园区污水管网，最终进入大同市开发区污水处理厂。</w:t>
                  </w:r>
                </w:p>
              </w:tc>
              <w:tc>
                <w:tcPr>
                  <w:tcW w:w="419" w:type="pct"/>
                  <w:vAlign w:val="center"/>
                </w:tcPr>
                <w:p w14:paraId="526A8C5C">
                  <w:pPr>
                    <w:jc w:val="center"/>
                    <w:rPr>
                      <w:color w:val="auto"/>
                      <w:sz w:val="18"/>
                      <w:szCs w:val="18"/>
                    </w:rPr>
                  </w:pPr>
                  <w:r>
                    <w:rPr>
                      <w:color w:val="auto"/>
                      <w:sz w:val="18"/>
                      <w:szCs w:val="18"/>
                    </w:rPr>
                    <w:t>新建</w:t>
                  </w:r>
                </w:p>
              </w:tc>
            </w:tr>
            <w:tr w14:paraId="459B07A4">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710" w:hRule="atLeast"/>
                <w:jc w:val="center"/>
              </w:trPr>
              <w:tc>
                <w:tcPr>
                  <w:tcW w:w="341" w:type="pct"/>
                  <w:vMerge w:val="continue"/>
                  <w:vAlign w:val="center"/>
                </w:tcPr>
                <w:p w14:paraId="3159051D">
                  <w:pPr>
                    <w:rPr>
                      <w:color w:val="auto"/>
                      <w:sz w:val="18"/>
                      <w:szCs w:val="18"/>
                    </w:rPr>
                  </w:pPr>
                </w:p>
              </w:tc>
              <w:tc>
                <w:tcPr>
                  <w:tcW w:w="901" w:type="pct"/>
                  <w:gridSpan w:val="2"/>
                  <w:vAlign w:val="center"/>
                </w:tcPr>
                <w:p w14:paraId="7C9190D4">
                  <w:pPr>
                    <w:jc w:val="center"/>
                    <w:rPr>
                      <w:rFonts w:hint="default"/>
                      <w:color w:val="auto"/>
                      <w:sz w:val="18"/>
                      <w:szCs w:val="18"/>
                      <w:lang w:val="en-US" w:eastAsia="zh-CN"/>
                    </w:rPr>
                  </w:pPr>
                  <w:r>
                    <w:rPr>
                      <w:rFonts w:hint="eastAsia"/>
                      <w:color w:val="auto"/>
                      <w:sz w:val="18"/>
                      <w:szCs w:val="18"/>
                      <w:lang w:val="en-US" w:eastAsia="zh-CN"/>
                    </w:rPr>
                    <w:t>噪声</w:t>
                  </w:r>
                </w:p>
              </w:tc>
              <w:tc>
                <w:tcPr>
                  <w:tcW w:w="3338" w:type="pct"/>
                  <w:vAlign w:val="center"/>
                </w:tcPr>
                <w:p w14:paraId="6D9B6AF9">
                  <w:pPr>
                    <w:rPr>
                      <w:rFonts w:hint="eastAsia" w:eastAsia="宋体"/>
                      <w:color w:val="auto"/>
                      <w:sz w:val="18"/>
                      <w:szCs w:val="18"/>
                      <w:lang w:val="en-US" w:eastAsia="zh-CN"/>
                    </w:rPr>
                  </w:pPr>
                  <w:r>
                    <w:rPr>
                      <w:color w:val="auto"/>
                      <w:sz w:val="18"/>
                      <w:szCs w:val="18"/>
                    </w:rPr>
                    <w:t>选用低噪声设备、室内安装、减振基础</w:t>
                  </w:r>
                  <w:r>
                    <w:rPr>
                      <w:rFonts w:hint="eastAsia"/>
                      <w:color w:val="auto"/>
                      <w:sz w:val="18"/>
                      <w:szCs w:val="18"/>
                    </w:rPr>
                    <w:t>，柔性连接，</w:t>
                  </w:r>
                  <w:r>
                    <w:rPr>
                      <w:color w:val="auto"/>
                      <w:sz w:val="18"/>
                      <w:szCs w:val="18"/>
                    </w:rPr>
                    <w:t>利用建筑物、绿化植被等对</w:t>
                  </w:r>
                  <w:r>
                    <w:rPr>
                      <w:rFonts w:hint="eastAsia"/>
                      <w:color w:val="auto"/>
                      <w:sz w:val="18"/>
                      <w:szCs w:val="18"/>
                      <w:lang w:val="en-US" w:eastAsia="zh-CN"/>
                    </w:rPr>
                    <w:t>措施降噪</w:t>
                  </w:r>
                  <w:r>
                    <w:rPr>
                      <w:rFonts w:hint="eastAsia"/>
                      <w:color w:val="auto"/>
                      <w:sz w:val="18"/>
                      <w:szCs w:val="18"/>
                    </w:rPr>
                    <w:t>。</w:t>
                  </w:r>
                </w:p>
              </w:tc>
              <w:tc>
                <w:tcPr>
                  <w:tcW w:w="419" w:type="pct"/>
                  <w:vAlign w:val="center"/>
                </w:tcPr>
                <w:p w14:paraId="1C5F2E55">
                  <w:pPr>
                    <w:jc w:val="center"/>
                    <w:rPr>
                      <w:color w:val="auto"/>
                      <w:sz w:val="18"/>
                      <w:szCs w:val="18"/>
                    </w:rPr>
                  </w:pPr>
                  <w:r>
                    <w:rPr>
                      <w:color w:val="auto"/>
                      <w:sz w:val="18"/>
                      <w:szCs w:val="18"/>
                    </w:rPr>
                    <w:t>新建</w:t>
                  </w:r>
                </w:p>
              </w:tc>
            </w:tr>
            <w:tr w14:paraId="056E79C1">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960" w:hRule="atLeast"/>
                <w:jc w:val="center"/>
              </w:trPr>
              <w:tc>
                <w:tcPr>
                  <w:tcW w:w="341" w:type="pct"/>
                  <w:vMerge w:val="continue"/>
                  <w:vAlign w:val="center"/>
                </w:tcPr>
                <w:p w14:paraId="4C39242C">
                  <w:pPr>
                    <w:rPr>
                      <w:color w:val="auto"/>
                      <w:sz w:val="18"/>
                      <w:szCs w:val="18"/>
                    </w:rPr>
                  </w:pPr>
                </w:p>
              </w:tc>
              <w:tc>
                <w:tcPr>
                  <w:tcW w:w="341" w:type="pct"/>
                  <w:vMerge w:val="restart"/>
                  <w:vAlign w:val="center"/>
                </w:tcPr>
                <w:p w14:paraId="3393EB88">
                  <w:pPr>
                    <w:rPr>
                      <w:rFonts w:hint="eastAsia" w:eastAsia="宋体"/>
                      <w:color w:val="auto"/>
                      <w:sz w:val="18"/>
                      <w:szCs w:val="18"/>
                      <w:lang w:val="en-US" w:eastAsia="zh-CN"/>
                    </w:rPr>
                  </w:pPr>
                  <w:r>
                    <w:rPr>
                      <w:color w:val="auto"/>
                      <w:sz w:val="18"/>
                      <w:szCs w:val="18"/>
                    </w:rPr>
                    <w:t>固</w:t>
                  </w:r>
                  <w:r>
                    <w:rPr>
                      <w:rFonts w:hint="eastAsia"/>
                      <w:color w:val="auto"/>
                      <w:sz w:val="18"/>
                      <w:szCs w:val="18"/>
                      <w:lang w:val="en-US" w:eastAsia="zh-CN"/>
                    </w:rPr>
                    <w:t>体</w:t>
                  </w:r>
                  <w:r>
                    <w:rPr>
                      <w:color w:val="auto"/>
                      <w:sz w:val="18"/>
                      <w:szCs w:val="18"/>
                    </w:rPr>
                    <w:t>废</w:t>
                  </w:r>
                  <w:r>
                    <w:rPr>
                      <w:rFonts w:hint="eastAsia"/>
                      <w:color w:val="auto"/>
                      <w:sz w:val="18"/>
                      <w:szCs w:val="18"/>
                      <w:lang w:val="en-US" w:eastAsia="zh-CN"/>
                    </w:rPr>
                    <w:t>物</w:t>
                  </w:r>
                </w:p>
              </w:tc>
              <w:tc>
                <w:tcPr>
                  <w:tcW w:w="559" w:type="pct"/>
                  <w:vAlign w:val="center"/>
                </w:tcPr>
                <w:p w14:paraId="55014A50">
                  <w:pPr>
                    <w:jc w:val="center"/>
                    <w:rPr>
                      <w:rFonts w:hint="eastAsia"/>
                      <w:color w:val="auto"/>
                      <w:sz w:val="18"/>
                      <w:szCs w:val="18"/>
                      <w:lang w:val="en-US" w:eastAsia="zh-CN"/>
                    </w:rPr>
                  </w:pPr>
                  <w:r>
                    <w:rPr>
                      <w:rFonts w:hint="eastAsia"/>
                      <w:color w:val="auto"/>
                      <w:sz w:val="18"/>
                      <w:szCs w:val="18"/>
                      <w:lang w:eastAsia="zh-CN"/>
                    </w:rPr>
                    <w:t>危</w:t>
                  </w:r>
                  <w:r>
                    <w:rPr>
                      <w:rFonts w:hint="eastAsia"/>
                      <w:color w:val="auto"/>
                      <w:sz w:val="18"/>
                      <w:szCs w:val="18"/>
                      <w:lang w:val="en-US" w:eastAsia="zh-CN"/>
                    </w:rPr>
                    <w:t>险</w:t>
                  </w:r>
                </w:p>
                <w:p w14:paraId="04196FE2">
                  <w:pPr>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废物</w:t>
                  </w:r>
                </w:p>
              </w:tc>
              <w:tc>
                <w:tcPr>
                  <w:tcW w:w="3338" w:type="pct"/>
                  <w:vAlign w:val="center"/>
                </w:tcPr>
                <w:p w14:paraId="7F1F74DE">
                  <w:pPr>
                    <w:rPr>
                      <w:rFonts w:hint="default" w:ascii="Times New Roman" w:hAnsi="Times New Roman" w:eastAsia="宋体" w:cs="Times New Roman"/>
                      <w:color w:val="auto"/>
                      <w:kern w:val="2"/>
                      <w:sz w:val="18"/>
                      <w:szCs w:val="18"/>
                      <w:lang w:val="en-US" w:eastAsia="zh-CN" w:bidi="ar-SA"/>
                    </w:rPr>
                  </w:pPr>
                  <w:r>
                    <w:rPr>
                      <w:rFonts w:hint="eastAsia"/>
                      <w:color w:val="auto"/>
                      <w:sz w:val="18"/>
                      <w:szCs w:val="18"/>
                    </w:rPr>
                    <w:t>在</w:t>
                  </w:r>
                  <w:r>
                    <w:rPr>
                      <w:rFonts w:hint="eastAsia"/>
                      <w:color w:val="auto"/>
                      <w:sz w:val="18"/>
                      <w:szCs w:val="18"/>
                      <w:lang w:val="en-US" w:eastAsia="zh-CN"/>
                    </w:rPr>
                    <w:t>综合医疗楼1层设置有</w:t>
                  </w:r>
                  <w:r>
                    <w:rPr>
                      <w:rFonts w:hint="eastAsia"/>
                      <w:color w:val="auto"/>
                      <w:sz w:val="18"/>
                      <w:szCs w:val="18"/>
                    </w:rPr>
                    <w:t>一座</w:t>
                  </w:r>
                  <w:r>
                    <w:rPr>
                      <w:rFonts w:hint="eastAsia"/>
                      <w:color w:val="auto"/>
                      <w:sz w:val="18"/>
                      <w:szCs w:val="18"/>
                      <w:lang w:val="en-US" w:eastAsia="zh-CN"/>
                    </w:rPr>
                    <w:t>医疗废物</w:t>
                  </w:r>
                  <w:r>
                    <w:rPr>
                      <w:rFonts w:hint="eastAsia"/>
                      <w:color w:val="auto"/>
                      <w:sz w:val="18"/>
                      <w:szCs w:val="18"/>
                      <w:lang w:eastAsia="zh-CN"/>
                    </w:rPr>
                    <w:t>贮存库</w:t>
                  </w:r>
                  <w:r>
                    <w:rPr>
                      <w:rFonts w:hint="eastAsia"/>
                      <w:color w:val="auto"/>
                      <w:sz w:val="18"/>
                      <w:szCs w:val="18"/>
                    </w:rPr>
                    <w:t>，占地面积</w:t>
                  </w:r>
                  <w:r>
                    <w:rPr>
                      <w:rFonts w:hint="eastAsia"/>
                      <w:color w:val="auto"/>
                      <w:sz w:val="18"/>
                      <w:szCs w:val="18"/>
                      <w:lang w:val="en-US" w:eastAsia="zh-CN"/>
                    </w:rPr>
                    <w:t>2</w:t>
                  </w:r>
                  <w:r>
                    <w:rPr>
                      <w:rFonts w:hint="eastAsia"/>
                      <w:color w:val="auto"/>
                      <w:sz w:val="18"/>
                      <w:szCs w:val="18"/>
                    </w:rPr>
                    <w:t>0m</w:t>
                  </w:r>
                  <w:r>
                    <w:rPr>
                      <w:rFonts w:hint="eastAsia"/>
                      <w:color w:val="auto"/>
                      <w:sz w:val="18"/>
                      <w:szCs w:val="18"/>
                      <w:vertAlign w:val="superscript"/>
                    </w:rPr>
                    <w:t>2</w:t>
                  </w:r>
                  <w:r>
                    <w:rPr>
                      <w:rFonts w:hint="eastAsia"/>
                      <w:color w:val="auto"/>
                      <w:sz w:val="18"/>
                      <w:szCs w:val="18"/>
                    </w:rPr>
                    <w:t>，用于收集暂存</w:t>
                  </w:r>
                  <w:r>
                    <w:rPr>
                      <w:rFonts w:hint="eastAsia"/>
                      <w:color w:val="auto"/>
                      <w:sz w:val="18"/>
                      <w:szCs w:val="18"/>
                      <w:lang w:val="en-US" w:eastAsia="zh-CN"/>
                    </w:rPr>
                    <w:t>医疗垃圾废物、污水处理站污泥</w:t>
                  </w:r>
                  <w:r>
                    <w:rPr>
                      <w:rFonts w:hint="eastAsia"/>
                      <w:color w:val="auto"/>
                      <w:sz w:val="18"/>
                      <w:szCs w:val="18"/>
                    </w:rPr>
                    <w:t>，并定期委托有资质单位清运处置。</w:t>
                  </w:r>
                </w:p>
              </w:tc>
              <w:tc>
                <w:tcPr>
                  <w:tcW w:w="419" w:type="pct"/>
                  <w:vAlign w:val="center"/>
                </w:tcPr>
                <w:p w14:paraId="76AB6A3C">
                  <w:pPr>
                    <w:jc w:val="center"/>
                    <w:rPr>
                      <w:rFonts w:hint="eastAsia" w:eastAsia="宋体"/>
                      <w:color w:val="auto"/>
                      <w:sz w:val="18"/>
                      <w:szCs w:val="18"/>
                      <w:lang w:val="en-US" w:eastAsia="zh-CN"/>
                    </w:rPr>
                  </w:pPr>
                  <w:r>
                    <w:rPr>
                      <w:color w:val="auto"/>
                      <w:sz w:val="18"/>
                      <w:szCs w:val="18"/>
                    </w:rPr>
                    <w:t>新建</w:t>
                  </w:r>
                </w:p>
              </w:tc>
            </w:tr>
            <w:tr w14:paraId="7991348F">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341" w:type="pct"/>
                  <w:vMerge w:val="continue"/>
                  <w:vAlign w:val="center"/>
                </w:tcPr>
                <w:p w14:paraId="06AD26BE">
                  <w:pPr>
                    <w:rPr>
                      <w:color w:val="auto"/>
                      <w:sz w:val="18"/>
                      <w:szCs w:val="18"/>
                    </w:rPr>
                  </w:pPr>
                </w:p>
              </w:tc>
              <w:tc>
                <w:tcPr>
                  <w:tcW w:w="341" w:type="pct"/>
                  <w:vMerge w:val="continue"/>
                  <w:vAlign w:val="center"/>
                </w:tcPr>
                <w:p w14:paraId="3E0AD9BC">
                  <w:pPr>
                    <w:rPr>
                      <w:color w:val="auto"/>
                      <w:sz w:val="18"/>
                      <w:szCs w:val="18"/>
                    </w:rPr>
                  </w:pPr>
                </w:p>
              </w:tc>
              <w:tc>
                <w:tcPr>
                  <w:tcW w:w="559" w:type="pct"/>
                  <w:vAlign w:val="center"/>
                </w:tcPr>
                <w:p w14:paraId="788B512A">
                  <w:pPr>
                    <w:jc w:val="center"/>
                    <w:rPr>
                      <w:color w:val="auto"/>
                      <w:sz w:val="18"/>
                      <w:szCs w:val="18"/>
                    </w:rPr>
                  </w:pPr>
                  <w:r>
                    <w:rPr>
                      <w:color w:val="auto"/>
                      <w:sz w:val="18"/>
                      <w:szCs w:val="18"/>
                    </w:rPr>
                    <w:t>生活</w:t>
                  </w:r>
                </w:p>
                <w:p w14:paraId="6854D36B">
                  <w:pPr>
                    <w:jc w:val="center"/>
                    <w:rPr>
                      <w:rFonts w:hint="default" w:ascii="Times New Roman" w:hAnsi="Times New Roman" w:eastAsia="宋体" w:cs="Times New Roman"/>
                      <w:color w:val="auto"/>
                      <w:kern w:val="2"/>
                      <w:sz w:val="18"/>
                      <w:szCs w:val="18"/>
                      <w:lang w:val="en-US" w:eastAsia="zh-CN" w:bidi="ar-SA"/>
                    </w:rPr>
                  </w:pPr>
                  <w:r>
                    <w:rPr>
                      <w:color w:val="auto"/>
                      <w:sz w:val="18"/>
                      <w:szCs w:val="18"/>
                    </w:rPr>
                    <w:t>垃圾</w:t>
                  </w:r>
                </w:p>
              </w:tc>
              <w:tc>
                <w:tcPr>
                  <w:tcW w:w="3338" w:type="pct"/>
                  <w:vAlign w:val="center"/>
                </w:tcPr>
                <w:p w14:paraId="4532785C">
                  <w:pPr>
                    <w:keepNext w:val="0"/>
                    <w:keepLines w:val="0"/>
                    <w:widowControl/>
                    <w:suppressLineNumbers w:val="0"/>
                    <w:jc w:val="left"/>
                    <w:rPr>
                      <w:rFonts w:hint="default" w:ascii="Times New Roman" w:hAnsi="Times New Roman" w:eastAsia="宋体" w:cs="Times New Roman"/>
                      <w:color w:val="auto"/>
                      <w:kern w:val="2"/>
                      <w:sz w:val="18"/>
                      <w:szCs w:val="18"/>
                      <w:lang w:val="en-US" w:eastAsia="zh-CN" w:bidi="ar-SA"/>
                    </w:rPr>
                  </w:pPr>
                  <w:r>
                    <w:rPr>
                      <w:rFonts w:hint="eastAsia" w:ascii="宋体" w:hAnsi="宋体" w:eastAsia="宋体" w:cs="宋体"/>
                      <w:color w:val="000000"/>
                      <w:kern w:val="0"/>
                      <w:sz w:val="18"/>
                      <w:szCs w:val="18"/>
                      <w:lang w:val="en-US" w:eastAsia="zh-CN" w:bidi="ar"/>
                    </w:rPr>
                    <w:t>各楼各层设置封闭式垃圾桶，收集后由环卫部门处置。</w:t>
                  </w:r>
                </w:p>
              </w:tc>
              <w:tc>
                <w:tcPr>
                  <w:tcW w:w="419" w:type="pct"/>
                  <w:vAlign w:val="center"/>
                </w:tcPr>
                <w:p w14:paraId="33301610">
                  <w:pPr>
                    <w:jc w:val="center"/>
                    <w:rPr>
                      <w:rFonts w:hint="default"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新建</w:t>
                  </w:r>
                </w:p>
              </w:tc>
            </w:tr>
          </w:tbl>
          <w:p w14:paraId="7E1D8B1E">
            <w:pPr>
              <w:spacing w:line="360" w:lineRule="auto"/>
              <w:ind w:firstLine="422" w:firstLineChars="200"/>
              <w:rPr>
                <w:rFonts w:hint="default" w:eastAsia="宋体"/>
                <w:b/>
                <w:bCs/>
                <w:color w:val="auto"/>
                <w:szCs w:val="21"/>
                <w:lang w:val="en-US" w:eastAsia="zh-CN"/>
              </w:rPr>
            </w:pPr>
            <w:r>
              <w:rPr>
                <w:rFonts w:hint="eastAsia"/>
                <w:b/>
                <w:bCs/>
                <w:color w:val="auto"/>
                <w:szCs w:val="21"/>
                <w:lang w:val="en-US" w:eastAsia="zh-CN"/>
              </w:rPr>
              <w:t>2.2医疗规模</w:t>
            </w:r>
          </w:p>
          <w:p w14:paraId="5CBE3E2A">
            <w:pPr>
              <w:spacing w:line="360" w:lineRule="auto"/>
              <w:ind w:firstLine="420" w:firstLineChars="200"/>
              <w:rPr>
                <w:rFonts w:hint="default"/>
                <w:bCs/>
                <w:color w:val="auto"/>
                <w:szCs w:val="21"/>
                <w:lang w:val="en-US" w:eastAsia="zh-CN"/>
              </w:rPr>
            </w:pPr>
            <w:r>
              <w:rPr>
                <w:rFonts w:hint="eastAsia"/>
                <w:bCs/>
                <w:color w:val="auto"/>
                <w:szCs w:val="21"/>
                <w:lang w:val="en-US" w:eastAsia="zh-CN"/>
              </w:rPr>
              <w:t>本工程为新建项目，建成后共设置472张床位。</w:t>
            </w:r>
          </w:p>
          <w:p w14:paraId="532DBEA6">
            <w:pPr>
              <w:spacing w:line="360" w:lineRule="auto"/>
              <w:ind w:firstLine="422" w:firstLineChars="200"/>
              <w:rPr>
                <w:rFonts w:hint="default"/>
                <w:b/>
                <w:bCs/>
                <w:color w:val="auto"/>
                <w:szCs w:val="21"/>
                <w:lang w:val="en-US" w:eastAsia="zh-CN"/>
              </w:rPr>
            </w:pPr>
            <w:r>
              <w:rPr>
                <w:rFonts w:hint="eastAsia"/>
                <w:b/>
                <w:bCs/>
                <w:color w:val="auto"/>
                <w:szCs w:val="21"/>
                <w:lang w:val="en-US" w:eastAsia="zh-CN"/>
              </w:rPr>
              <w:t>2.3主要材料、燃料</w:t>
            </w:r>
          </w:p>
          <w:p w14:paraId="0FA98AC1">
            <w:pPr>
              <w:pStyle w:val="77"/>
              <w:snapToGrid/>
              <w:spacing w:line="240" w:lineRule="exact"/>
              <w:ind w:firstLine="361"/>
              <w:jc w:val="center"/>
              <w:rPr>
                <w:rFonts w:ascii="Times New Roman" w:hAnsi="Times New Roman"/>
                <w:color w:val="auto"/>
                <w:sz w:val="18"/>
                <w:szCs w:val="18"/>
              </w:rPr>
            </w:pPr>
            <w:r>
              <w:rPr>
                <w:rFonts w:ascii="Times New Roman" w:hAnsi="Times New Roman"/>
                <w:color w:val="auto"/>
                <w:sz w:val="18"/>
                <w:szCs w:val="18"/>
              </w:rPr>
              <w:t>表2-</w:t>
            </w:r>
            <w:r>
              <w:rPr>
                <w:rFonts w:hint="eastAsia" w:ascii="Times New Roman" w:hAnsi="Times New Roman"/>
                <w:color w:val="auto"/>
                <w:sz w:val="18"/>
                <w:szCs w:val="18"/>
                <w:lang w:val="en-US" w:eastAsia="zh-CN"/>
              </w:rPr>
              <w:t>2</w:t>
            </w:r>
            <w:r>
              <w:rPr>
                <w:rFonts w:ascii="Times New Roman" w:hAnsi="Times New Roman"/>
                <w:color w:val="auto"/>
                <w:sz w:val="18"/>
                <w:szCs w:val="18"/>
              </w:rPr>
              <w:t xml:space="preserve">    主要原辅</w:t>
            </w:r>
            <w:r>
              <w:rPr>
                <w:rFonts w:hint="eastAsia" w:ascii="Times New Roman" w:hAnsi="Times New Roman"/>
                <w:color w:val="auto"/>
                <w:sz w:val="18"/>
                <w:szCs w:val="18"/>
                <w:lang w:val="en-US" w:eastAsia="zh-CN"/>
              </w:rPr>
              <w:t>材料统计</w:t>
            </w:r>
            <w:r>
              <w:rPr>
                <w:rFonts w:ascii="Times New Roman" w:hAnsi="Times New Roman"/>
                <w:color w:val="auto"/>
                <w:sz w:val="18"/>
                <w:szCs w:val="18"/>
              </w:rPr>
              <w:t>表</w:t>
            </w:r>
          </w:p>
          <w:tbl>
            <w:tblPr>
              <w:tblStyle w:val="47"/>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402"/>
              <w:gridCol w:w="1346"/>
              <w:gridCol w:w="1208"/>
              <w:gridCol w:w="1400"/>
              <w:gridCol w:w="1155"/>
              <w:gridCol w:w="1738"/>
            </w:tblGrid>
            <w:tr w14:paraId="587EF68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277" w:type="pct"/>
                  <w:tcBorders>
                    <w:tl2br w:val="nil"/>
                    <w:tr2bl w:val="nil"/>
                  </w:tcBorders>
                  <w:vAlign w:val="center"/>
                </w:tcPr>
                <w:p w14:paraId="40EFF246">
                  <w:pPr>
                    <w:jc w:val="center"/>
                    <w:rPr>
                      <w:color w:val="auto"/>
                      <w:sz w:val="18"/>
                      <w:szCs w:val="18"/>
                    </w:rPr>
                  </w:pPr>
                  <w:r>
                    <w:rPr>
                      <w:rFonts w:hint="eastAsia"/>
                      <w:color w:val="auto"/>
                      <w:sz w:val="18"/>
                      <w:szCs w:val="18"/>
                    </w:rPr>
                    <w:t>序号</w:t>
                  </w:r>
                </w:p>
              </w:tc>
              <w:tc>
                <w:tcPr>
                  <w:tcW w:w="928" w:type="pct"/>
                  <w:tcBorders>
                    <w:tl2br w:val="nil"/>
                    <w:tr2bl w:val="nil"/>
                  </w:tcBorders>
                  <w:vAlign w:val="center"/>
                </w:tcPr>
                <w:p w14:paraId="5A7F5AE0">
                  <w:pPr>
                    <w:jc w:val="center"/>
                    <w:rPr>
                      <w:color w:val="auto"/>
                      <w:sz w:val="18"/>
                      <w:szCs w:val="18"/>
                    </w:rPr>
                  </w:pPr>
                  <w:r>
                    <w:rPr>
                      <w:color w:val="auto"/>
                      <w:sz w:val="18"/>
                      <w:szCs w:val="18"/>
                    </w:rPr>
                    <w:t>名称</w:t>
                  </w:r>
                </w:p>
              </w:tc>
              <w:tc>
                <w:tcPr>
                  <w:tcW w:w="833" w:type="pct"/>
                  <w:tcBorders>
                    <w:tl2br w:val="nil"/>
                    <w:tr2bl w:val="nil"/>
                  </w:tcBorders>
                  <w:vAlign w:val="center"/>
                </w:tcPr>
                <w:p w14:paraId="0DC0C957">
                  <w:pPr>
                    <w:jc w:val="center"/>
                    <w:rPr>
                      <w:rFonts w:hint="default" w:eastAsia="宋体"/>
                      <w:color w:val="auto"/>
                      <w:sz w:val="18"/>
                      <w:szCs w:val="18"/>
                      <w:lang w:val="en-US" w:eastAsia="zh-CN"/>
                    </w:rPr>
                  </w:pPr>
                  <w:r>
                    <w:rPr>
                      <w:rFonts w:hint="eastAsia"/>
                      <w:color w:val="auto"/>
                      <w:sz w:val="18"/>
                      <w:szCs w:val="18"/>
                      <w:lang w:val="en-US" w:eastAsia="zh-CN"/>
                    </w:rPr>
                    <w:t>年使用量（t）</w:t>
                  </w:r>
                </w:p>
              </w:tc>
              <w:tc>
                <w:tcPr>
                  <w:tcW w:w="965" w:type="pct"/>
                  <w:tcBorders>
                    <w:tl2br w:val="nil"/>
                    <w:tr2bl w:val="nil"/>
                  </w:tcBorders>
                  <w:vAlign w:val="center"/>
                </w:tcPr>
                <w:p w14:paraId="13E4093A">
                  <w:pPr>
                    <w:jc w:val="center"/>
                    <w:rPr>
                      <w:color w:val="auto"/>
                      <w:sz w:val="18"/>
                      <w:szCs w:val="18"/>
                    </w:rPr>
                  </w:pPr>
                  <w:r>
                    <w:rPr>
                      <w:rFonts w:hint="eastAsia"/>
                      <w:color w:val="auto"/>
                      <w:sz w:val="18"/>
                      <w:szCs w:val="18"/>
                      <w:lang w:val="en-US" w:eastAsia="zh-CN"/>
                    </w:rPr>
                    <w:t>包装形式</w:t>
                  </w:r>
                </w:p>
              </w:tc>
              <w:tc>
                <w:tcPr>
                  <w:tcW w:w="796" w:type="pct"/>
                  <w:tcBorders>
                    <w:tl2br w:val="nil"/>
                    <w:tr2bl w:val="nil"/>
                  </w:tcBorders>
                  <w:vAlign w:val="center"/>
                </w:tcPr>
                <w:p w14:paraId="7E724177">
                  <w:pPr>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存储方式</w:t>
                  </w:r>
                </w:p>
              </w:tc>
              <w:tc>
                <w:tcPr>
                  <w:tcW w:w="1198" w:type="pct"/>
                  <w:tcBorders>
                    <w:tl2br w:val="nil"/>
                    <w:tr2bl w:val="nil"/>
                  </w:tcBorders>
                  <w:vAlign w:val="center"/>
                </w:tcPr>
                <w:p w14:paraId="2034BAF6">
                  <w:pPr>
                    <w:jc w:val="center"/>
                    <w:rPr>
                      <w:rFonts w:hint="default"/>
                      <w:color w:val="auto"/>
                      <w:sz w:val="18"/>
                      <w:szCs w:val="18"/>
                      <w:lang w:val="en-US" w:eastAsia="zh-CN"/>
                    </w:rPr>
                  </w:pPr>
                  <w:r>
                    <w:rPr>
                      <w:rFonts w:hint="eastAsia"/>
                      <w:color w:val="auto"/>
                      <w:sz w:val="18"/>
                      <w:szCs w:val="18"/>
                      <w:lang w:val="en-US" w:eastAsia="zh-CN"/>
                    </w:rPr>
                    <w:t>有毒有害成分及占比</w:t>
                  </w:r>
                </w:p>
              </w:tc>
            </w:tr>
            <w:tr w14:paraId="5D48A1F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576" w:hRule="atLeast"/>
                <w:jc w:val="center"/>
              </w:trPr>
              <w:tc>
                <w:tcPr>
                  <w:tcW w:w="277" w:type="pct"/>
                  <w:tcBorders>
                    <w:tl2br w:val="nil"/>
                    <w:tr2bl w:val="nil"/>
                  </w:tcBorders>
                  <w:vAlign w:val="center"/>
                </w:tcPr>
                <w:p w14:paraId="7595C635">
                  <w:pPr>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1</w:t>
                  </w:r>
                </w:p>
              </w:tc>
              <w:tc>
                <w:tcPr>
                  <w:tcW w:w="928" w:type="pct"/>
                  <w:tcBorders>
                    <w:tl2br w:val="nil"/>
                    <w:tr2bl w:val="nil"/>
                  </w:tcBorders>
                  <w:vAlign w:val="center"/>
                </w:tcPr>
                <w:p w14:paraId="06642996">
                  <w:pPr>
                    <w:jc w:val="center"/>
                    <w:rPr>
                      <w:rFonts w:hint="default" w:eastAsia="宋体"/>
                      <w:color w:val="auto"/>
                      <w:sz w:val="18"/>
                      <w:szCs w:val="18"/>
                      <w:lang w:val="en-US" w:eastAsia="zh-CN"/>
                    </w:rPr>
                  </w:pPr>
                  <w:r>
                    <w:rPr>
                      <w:rFonts w:hint="eastAsia"/>
                      <w:color w:val="auto"/>
                      <w:sz w:val="18"/>
                      <w:szCs w:val="18"/>
                      <w:lang w:val="en-US" w:eastAsia="zh-CN"/>
                    </w:rPr>
                    <w:t>手术刀片</w:t>
                  </w:r>
                </w:p>
              </w:tc>
              <w:tc>
                <w:tcPr>
                  <w:tcW w:w="833" w:type="pct"/>
                  <w:tcBorders>
                    <w:tl2br w:val="nil"/>
                    <w:tr2bl w:val="nil"/>
                  </w:tcBorders>
                  <w:vAlign w:val="center"/>
                </w:tcPr>
                <w:p w14:paraId="2803ED40">
                  <w:pPr>
                    <w:jc w:val="center"/>
                    <w:rPr>
                      <w:rFonts w:hint="default" w:eastAsia="宋体"/>
                      <w:color w:val="auto"/>
                      <w:sz w:val="18"/>
                      <w:szCs w:val="18"/>
                      <w:lang w:val="en-US" w:eastAsia="zh-CN"/>
                    </w:rPr>
                  </w:pPr>
                  <w:r>
                    <w:rPr>
                      <w:rFonts w:hint="eastAsia"/>
                      <w:color w:val="auto"/>
                      <w:sz w:val="18"/>
                      <w:szCs w:val="18"/>
                      <w:lang w:val="en-US" w:eastAsia="zh-CN"/>
                    </w:rPr>
                    <w:t>0.5</w:t>
                  </w:r>
                </w:p>
              </w:tc>
              <w:tc>
                <w:tcPr>
                  <w:tcW w:w="965" w:type="pct"/>
                  <w:vMerge w:val="restart"/>
                  <w:tcBorders>
                    <w:tl2br w:val="nil"/>
                    <w:tr2bl w:val="nil"/>
                  </w:tcBorders>
                  <w:vAlign w:val="center"/>
                </w:tcPr>
                <w:p w14:paraId="5A840415">
                  <w:pPr>
                    <w:jc w:val="center"/>
                    <w:rPr>
                      <w:rFonts w:hint="default" w:eastAsia="宋体"/>
                      <w:color w:val="auto"/>
                      <w:sz w:val="18"/>
                      <w:szCs w:val="18"/>
                      <w:lang w:val="en-US" w:eastAsia="zh-CN"/>
                    </w:rPr>
                  </w:pPr>
                  <w:r>
                    <w:rPr>
                      <w:rFonts w:hint="eastAsia" w:cs="Times New Roman"/>
                      <w:color w:val="auto"/>
                      <w:kern w:val="2"/>
                      <w:sz w:val="18"/>
                      <w:szCs w:val="18"/>
                      <w:lang w:val="en-US" w:eastAsia="zh-CN" w:bidi="ar-SA"/>
                    </w:rPr>
                    <w:t>袋装/专用箱包装</w:t>
                  </w:r>
                </w:p>
              </w:tc>
              <w:tc>
                <w:tcPr>
                  <w:tcW w:w="796" w:type="pct"/>
                  <w:vMerge w:val="restart"/>
                  <w:tcBorders>
                    <w:tl2br w:val="nil"/>
                    <w:tr2bl w:val="nil"/>
                  </w:tcBorders>
                  <w:vAlign w:val="center"/>
                </w:tcPr>
                <w:p w14:paraId="71AFAF72">
                  <w:pPr>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库房或配套间内储存</w:t>
                  </w:r>
                </w:p>
              </w:tc>
              <w:tc>
                <w:tcPr>
                  <w:tcW w:w="1198" w:type="pct"/>
                  <w:tcBorders>
                    <w:tl2br w:val="nil"/>
                    <w:tr2bl w:val="nil"/>
                  </w:tcBorders>
                  <w:vAlign w:val="center"/>
                </w:tcPr>
                <w:p w14:paraId="08EF9439">
                  <w:pPr>
                    <w:jc w:val="center"/>
                    <w:rPr>
                      <w:rFonts w:hint="default"/>
                      <w:color w:val="auto"/>
                      <w:sz w:val="18"/>
                      <w:szCs w:val="18"/>
                      <w:lang w:val="en-US" w:eastAsia="zh-CN"/>
                    </w:rPr>
                  </w:pPr>
                  <w:r>
                    <w:rPr>
                      <w:rFonts w:hint="eastAsia"/>
                      <w:color w:val="auto"/>
                      <w:sz w:val="18"/>
                      <w:szCs w:val="18"/>
                      <w:lang w:val="en-US" w:eastAsia="zh-CN"/>
                    </w:rPr>
                    <w:t>无毒</w:t>
                  </w:r>
                </w:p>
              </w:tc>
            </w:tr>
            <w:tr w14:paraId="3A41214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75" w:hRule="atLeast"/>
                <w:jc w:val="center"/>
              </w:trPr>
              <w:tc>
                <w:tcPr>
                  <w:tcW w:w="277" w:type="pct"/>
                  <w:tcBorders>
                    <w:tl2br w:val="nil"/>
                    <w:tr2bl w:val="nil"/>
                  </w:tcBorders>
                  <w:vAlign w:val="center"/>
                </w:tcPr>
                <w:p w14:paraId="4CA7E6E4">
                  <w:pPr>
                    <w:jc w:val="center"/>
                    <w:rPr>
                      <w:rFonts w:hint="eastAsia" w:eastAsia="宋体"/>
                      <w:color w:val="auto"/>
                      <w:sz w:val="18"/>
                      <w:szCs w:val="18"/>
                      <w:lang w:val="en-US" w:eastAsia="zh-CN"/>
                    </w:rPr>
                  </w:pPr>
                  <w:r>
                    <w:rPr>
                      <w:rFonts w:hint="eastAsia"/>
                      <w:color w:val="auto"/>
                      <w:sz w:val="18"/>
                      <w:szCs w:val="18"/>
                      <w:lang w:val="en-US" w:eastAsia="zh-CN"/>
                    </w:rPr>
                    <w:t>2</w:t>
                  </w:r>
                </w:p>
              </w:tc>
              <w:tc>
                <w:tcPr>
                  <w:tcW w:w="928" w:type="pct"/>
                  <w:tcBorders>
                    <w:tl2br w:val="nil"/>
                    <w:tr2bl w:val="nil"/>
                  </w:tcBorders>
                  <w:vAlign w:val="center"/>
                </w:tcPr>
                <w:p w14:paraId="45909701">
                  <w:pPr>
                    <w:jc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塑料手套</w:t>
                  </w:r>
                </w:p>
              </w:tc>
              <w:tc>
                <w:tcPr>
                  <w:tcW w:w="833" w:type="pct"/>
                  <w:tcBorders>
                    <w:tl2br w:val="nil"/>
                    <w:tr2bl w:val="nil"/>
                  </w:tcBorders>
                  <w:vAlign w:val="center"/>
                </w:tcPr>
                <w:p w14:paraId="42641C47">
                  <w:pPr>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1.0</w:t>
                  </w:r>
                </w:p>
              </w:tc>
              <w:tc>
                <w:tcPr>
                  <w:tcW w:w="965" w:type="pct"/>
                  <w:vMerge w:val="continue"/>
                  <w:tcBorders>
                    <w:tl2br w:val="nil"/>
                    <w:tr2bl w:val="nil"/>
                  </w:tcBorders>
                  <w:vAlign w:val="center"/>
                </w:tcPr>
                <w:p w14:paraId="74DEC002">
                  <w:pPr>
                    <w:jc w:val="center"/>
                    <w:rPr>
                      <w:rFonts w:hint="default" w:ascii="Times New Roman" w:hAnsi="Times New Roman" w:eastAsia="宋体" w:cs="Times New Roman"/>
                      <w:color w:val="auto"/>
                      <w:kern w:val="2"/>
                      <w:sz w:val="18"/>
                      <w:szCs w:val="18"/>
                      <w:lang w:val="en-US" w:eastAsia="zh-CN" w:bidi="ar-SA"/>
                    </w:rPr>
                  </w:pPr>
                </w:p>
              </w:tc>
              <w:tc>
                <w:tcPr>
                  <w:tcW w:w="796" w:type="pct"/>
                  <w:vMerge w:val="continue"/>
                  <w:tcBorders>
                    <w:tl2br w:val="nil"/>
                    <w:tr2bl w:val="nil"/>
                  </w:tcBorders>
                  <w:vAlign w:val="center"/>
                </w:tcPr>
                <w:p w14:paraId="1BA75652">
                  <w:pPr>
                    <w:jc w:val="center"/>
                    <w:rPr>
                      <w:rFonts w:hint="default" w:ascii="Times New Roman" w:hAnsi="Times New Roman" w:eastAsia="宋体" w:cs="Times New Roman"/>
                      <w:color w:val="auto"/>
                      <w:kern w:val="2"/>
                      <w:sz w:val="18"/>
                      <w:szCs w:val="18"/>
                      <w:lang w:val="en-US" w:eastAsia="zh-CN" w:bidi="ar-SA"/>
                    </w:rPr>
                  </w:pPr>
                </w:p>
              </w:tc>
              <w:tc>
                <w:tcPr>
                  <w:tcW w:w="1198" w:type="pct"/>
                  <w:tcBorders>
                    <w:tl2br w:val="nil"/>
                    <w:tr2bl w:val="nil"/>
                  </w:tcBorders>
                  <w:vAlign w:val="center"/>
                </w:tcPr>
                <w:p w14:paraId="24EBEF78">
                  <w:pPr>
                    <w:jc w:val="center"/>
                    <w:rPr>
                      <w:rFonts w:hint="default" w:cs="Times New Roman"/>
                      <w:color w:val="auto"/>
                      <w:kern w:val="2"/>
                      <w:sz w:val="18"/>
                      <w:szCs w:val="18"/>
                      <w:lang w:val="en-US" w:eastAsia="zh-CN" w:bidi="ar-SA"/>
                    </w:rPr>
                  </w:pPr>
                  <w:r>
                    <w:rPr>
                      <w:rFonts w:hint="eastAsia"/>
                      <w:color w:val="auto"/>
                      <w:sz w:val="18"/>
                      <w:szCs w:val="18"/>
                      <w:lang w:val="en-US" w:eastAsia="zh-CN"/>
                    </w:rPr>
                    <w:t>无毒</w:t>
                  </w:r>
                </w:p>
              </w:tc>
            </w:tr>
            <w:tr w14:paraId="6E9CA34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75" w:hRule="atLeast"/>
                <w:jc w:val="center"/>
              </w:trPr>
              <w:tc>
                <w:tcPr>
                  <w:tcW w:w="277" w:type="pct"/>
                  <w:tcBorders>
                    <w:tl2br w:val="nil"/>
                    <w:tr2bl w:val="nil"/>
                  </w:tcBorders>
                  <w:vAlign w:val="center"/>
                </w:tcPr>
                <w:p w14:paraId="19DB77DB">
                  <w:pPr>
                    <w:jc w:val="center"/>
                    <w:rPr>
                      <w:rFonts w:hint="eastAsia" w:eastAsia="宋体"/>
                      <w:color w:val="auto"/>
                      <w:sz w:val="18"/>
                      <w:szCs w:val="18"/>
                      <w:lang w:val="en-US" w:eastAsia="zh-CN"/>
                    </w:rPr>
                  </w:pPr>
                  <w:r>
                    <w:rPr>
                      <w:rFonts w:hint="eastAsia"/>
                      <w:color w:val="auto"/>
                      <w:sz w:val="18"/>
                      <w:szCs w:val="18"/>
                      <w:lang w:val="en-US" w:eastAsia="zh-CN"/>
                    </w:rPr>
                    <w:t>3</w:t>
                  </w:r>
                </w:p>
              </w:tc>
              <w:tc>
                <w:tcPr>
                  <w:tcW w:w="928" w:type="pct"/>
                  <w:tcBorders>
                    <w:tl2br w:val="nil"/>
                    <w:tr2bl w:val="nil"/>
                  </w:tcBorders>
                  <w:vAlign w:val="center"/>
                </w:tcPr>
                <w:p w14:paraId="6D83CBD8">
                  <w:pPr>
                    <w:jc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一次性注射器</w:t>
                  </w:r>
                </w:p>
              </w:tc>
              <w:tc>
                <w:tcPr>
                  <w:tcW w:w="833" w:type="pct"/>
                  <w:tcBorders>
                    <w:tl2br w:val="nil"/>
                    <w:tr2bl w:val="nil"/>
                  </w:tcBorders>
                  <w:vAlign w:val="center"/>
                </w:tcPr>
                <w:p w14:paraId="0C807104">
                  <w:pPr>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1.0</w:t>
                  </w:r>
                </w:p>
              </w:tc>
              <w:tc>
                <w:tcPr>
                  <w:tcW w:w="965" w:type="pct"/>
                  <w:vMerge w:val="continue"/>
                  <w:tcBorders>
                    <w:tl2br w:val="nil"/>
                    <w:tr2bl w:val="nil"/>
                  </w:tcBorders>
                  <w:vAlign w:val="center"/>
                </w:tcPr>
                <w:p w14:paraId="1A7C37BA">
                  <w:pPr>
                    <w:jc w:val="center"/>
                    <w:rPr>
                      <w:rFonts w:hint="default" w:ascii="Times New Roman" w:hAnsi="Times New Roman" w:eastAsia="宋体" w:cs="Times New Roman"/>
                      <w:color w:val="auto"/>
                      <w:kern w:val="2"/>
                      <w:sz w:val="18"/>
                      <w:szCs w:val="18"/>
                      <w:lang w:val="en-US" w:eastAsia="zh-CN" w:bidi="ar-SA"/>
                    </w:rPr>
                  </w:pPr>
                </w:p>
              </w:tc>
              <w:tc>
                <w:tcPr>
                  <w:tcW w:w="796" w:type="pct"/>
                  <w:vMerge w:val="continue"/>
                  <w:tcBorders>
                    <w:tl2br w:val="nil"/>
                    <w:tr2bl w:val="nil"/>
                  </w:tcBorders>
                  <w:vAlign w:val="center"/>
                </w:tcPr>
                <w:p w14:paraId="55F19965">
                  <w:pPr>
                    <w:jc w:val="center"/>
                    <w:rPr>
                      <w:rFonts w:hint="eastAsia" w:ascii="Times New Roman" w:hAnsi="Times New Roman" w:eastAsia="宋体" w:cs="Times New Roman"/>
                      <w:color w:val="auto"/>
                      <w:kern w:val="2"/>
                      <w:sz w:val="18"/>
                      <w:szCs w:val="18"/>
                      <w:lang w:val="en-US" w:eastAsia="zh-CN" w:bidi="ar-SA"/>
                    </w:rPr>
                  </w:pPr>
                </w:p>
              </w:tc>
              <w:tc>
                <w:tcPr>
                  <w:tcW w:w="1198" w:type="pct"/>
                  <w:tcBorders>
                    <w:tl2br w:val="nil"/>
                    <w:tr2bl w:val="nil"/>
                  </w:tcBorders>
                  <w:vAlign w:val="center"/>
                </w:tcPr>
                <w:p w14:paraId="2C4E46B5">
                  <w:pPr>
                    <w:jc w:val="center"/>
                    <w:rPr>
                      <w:rFonts w:hint="eastAsia" w:cs="Times New Roman"/>
                      <w:color w:val="auto"/>
                      <w:kern w:val="2"/>
                      <w:sz w:val="18"/>
                      <w:szCs w:val="18"/>
                      <w:lang w:val="en-US" w:eastAsia="zh-CN" w:bidi="ar-SA"/>
                    </w:rPr>
                  </w:pPr>
                  <w:r>
                    <w:rPr>
                      <w:rFonts w:hint="eastAsia"/>
                      <w:color w:val="auto"/>
                      <w:sz w:val="18"/>
                      <w:szCs w:val="18"/>
                      <w:lang w:val="en-US" w:eastAsia="zh-CN"/>
                    </w:rPr>
                    <w:t>无毒</w:t>
                  </w:r>
                </w:p>
              </w:tc>
            </w:tr>
            <w:tr w14:paraId="319ED00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277" w:type="pct"/>
                  <w:tcBorders>
                    <w:tl2br w:val="nil"/>
                    <w:tr2bl w:val="nil"/>
                  </w:tcBorders>
                  <w:vAlign w:val="center"/>
                </w:tcPr>
                <w:p w14:paraId="00F9AD90">
                  <w:pPr>
                    <w:jc w:val="center"/>
                    <w:rPr>
                      <w:rFonts w:hint="default" w:eastAsia="宋体"/>
                      <w:color w:val="auto"/>
                      <w:sz w:val="18"/>
                      <w:szCs w:val="18"/>
                      <w:lang w:val="en-US" w:eastAsia="zh-CN"/>
                    </w:rPr>
                  </w:pPr>
                  <w:r>
                    <w:rPr>
                      <w:rFonts w:hint="eastAsia"/>
                      <w:color w:val="auto"/>
                      <w:sz w:val="18"/>
                      <w:szCs w:val="18"/>
                      <w:lang w:val="en-US" w:eastAsia="zh-CN"/>
                    </w:rPr>
                    <w:t>4</w:t>
                  </w:r>
                </w:p>
              </w:tc>
              <w:tc>
                <w:tcPr>
                  <w:tcW w:w="928" w:type="pct"/>
                  <w:tcBorders>
                    <w:tl2br w:val="nil"/>
                    <w:tr2bl w:val="nil"/>
                  </w:tcBorders>
                  <w:vAlign w:val="center"/>
                </w:tcPr>
                <w:p w14:paraId="5678F372">
                  <w:pPr>
                    <w:jc w:val="center"/>
                    <w:rPr>
                      <w:rFonts w:hint="default" w:eastAsia="宋体"/>
                      <w:color w:val="auto"/>
                      <w:sz w:val="18"/>
                      <w:szCs w:val="18"/>
                      <w:lang w:val="en-US" w:eastAsia="zh-CN"/>
                    </w:rPr>
                  </w:pPr>
                  <w:r>
                    <w:rPr>
                      <w:rFonts w:hint="eastAsia"/>
                      <w:color w:val="auto"/>
                      <w:sz w:val="18"/>
                      <w:szCs w:val="18"/>
                      <w:lang w:val="en-US" w:eastAsia="zh-CN"/>
                    </w:rPr>
                    <w:t>输液器</w:t>
                  </w:r>
                </w:p>
              </w:tc>
              <w:tc>
                <w:tcPr>
                  <w:tcW w:w="833" w:type="pct"/>
                  <w:tcBorders>
                    <w:tl2br w:val="nil"/>
                    <w:tr2bl w:val="nil"/>
                  </w:tcBorders>
                  <w:vAlign w:val="center"/>
                </w:tcPr>
                <w:p w14:paraId="2CEE5390">
                  <w:pPr>
                    <w:jc w:val="center"/>
                    <w:rPr>
                      <w:rFonts w:hint="default" w:eastAsia="宋体"/>
                      <w:color w:val="auto"/>
                      <w:sz w:val="18"/>
                      <w:szCs w:val="18"/>
                      <w:lang w:val="en-US" w:eastAsia="zh-CN"/>
                    </w:rPr>
                  </w:pPr>
                  <w:r>
                    <w:rPr>
                      <w:rFonts w:hint="eastAsia"/>
                      <w:color w:val="auto"/>
                      <w:sz w:val="18"/>
                      <w:szCs w:val="18"/>
                      <w:lang w:val="en-US" w:eastAsia="zh-CN"/>
                    </w:rPr>
                    <w:t>1.0</w:t>
                  </w:r>
                </w:p>
              </w:tc>
              <w:tc>
                <w:tcPr>
                  <w:tcW w:w="965" w:type="pct"/>
                  <w:vMerge w:val="continue"/>
                  <w:tcBorders>
                    <w:tl2br w:val="nil"/>
                    <w:tr2bl w:val="nil"/>
                  </w:tcBorders>
                  <w:vAlign w:val="center"/>
                </w:tcPr>
                <w:p w14:paraId="66F7C1C5">
                  <w:pPr>
                    <w:jc w:val="center"/>
                    <w:rPr>
                      <w:rFonts w:hint="default"/>
                      <w:color w:val="auto"/>
                      <w:sz w:val="18"/>
                      <w:szCs w:val="18"/>
                      <w:lang w:val="en-US" w:eastAsia="zh-CN"/>
                    </w:rPr>
                  </w:pPr>
                </w:p>
              </w:tc>
              <w:tc>
                <w:tcPr>
                  <w:tcW w:w="796" w:type="pct"/>
                  <w:vMerge w:val="continue"/>
                  <w:tcBorders>
                    <w:tl2br w:val="nil"/>
                    <w:tr2bl w:val="nil"/>
                  </w:tcBorders>
                  <w:vAlign w:val="center"/>
                </w:tcPr>
                <w:p w14:paraId="4E50B763">
                  <w:pPr>
                    <w:jc w:val="center"/>
                    <w:rPr>
                      <w:rFonts w:hint="default" w:ascii="Times New Roman" w:hAnsi="Times New Roman" w:eastAsia="宋体" w:cs="Times New Roman"/>
                      <w:color w:val="auto"/>
                      <w:kern w:val="2"/>
                      <w:sz w:val="18"/>
                      <w:szCs w:val="18"/>
                      <w:lang w:val="en-US" w:eastAsia="zh-CN" w:bidi="ar-SA"/>
                    </w:rPr>
                  </w:pPr>
                </w:p>
              </w:tc>
              <w:tc>
                <w:tcPr>
                  <w:tcW w:w="1198" w:type="pct"/>
                  <w:tcBorders>
                    <w:tl2br w:val="nil"/>
                    <w:tr2bl w:val="nil"/>
                  </w:tcBorders>
                  <w:vAlign w:val="center"/>
                </w:tcPr>
                <w:p w14:paraId="1CFBF9A4">
                  <w:pPr>
                    <w:jc w:val="center"/>
                    <w:rPr>
                      <w:rFonts w:hint="default"/>
                      <w:color w:val="auto"/>
                      <w:sz w:val="18"/>
                      <w:szCs w:val="18"/>
                      <w:lang w:val="en-US" w:eastAsia="zh-CN"/>
                    </w:rPr>
                  </w:pPr>
                  <w:r>
                    <w:rPr>
                      <w:rFonts w:hint="eastAsia"/>
                      <w:color w:val="auto"/>
                      <w:sz w:val="18"/>
                      <w:szCs w:val="18"/>
                      <w:lang w:val="en-US" w:eastAsia="zh-CN"/>
                    </w:rPr>
                    <w:t>无毒</w:t>
                  </w:r>
                </w:p>
              </w:tc>
            </w:tr>
            <w:tr w14:paraId="65C9025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277" w:type="pct"/>
                  <w:tcBorders>
                    <w:tl2br w:val="nil"/>
                    <w:tr2bl w:val="nil"/>
                  </w:tcBorders>
                  <w:vAlign w:val="center"/>
                </w:tcPr>
                <w:p w14:paraId="11147328">
                  <w:pPr>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5</w:t>
                  </w:r>
                </w:p>
              </w:tc>
              <w:tc>
                <w:tcPr>
                  <w:tcW w:w="928" w:type="pct"/>
                  <w:tcBorders>
                    <w:tl2br w:val="nil"/>
                    <w:tr2bl w:val="nil"/>
                  </w:tcBorders>
                  <w:vAlign w:val="center"/>
                </w:tcPr>
                <w:p w14:paraId="6F1F7F1F">
                  <w:pPr>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输血器</w:t>
                  </w:r>
                </w:p>
              </w:tc>
              <w:tc>
                <w:tcPr>
                  <w:tcW w:w="833" w:type="pct"/>
                  <w:tcBorders>
                    <w:tl2br w:val="nil"/>
                    <w:tr2bl w:val="nil"/>
                  </w:tcBorders>
                  <w:vAlign w:val="center"/>
                </w:tcPr>
                <w:p w14:paraId="031EB0E0">
                  <w:pPr>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1.0</w:t>
                  </w:r>
                </w:p>
              </w:tc>
              <w:tc>
                <w:tcPr>
                  <w:tcW w:w="965" w:type="pct"/>
                  <w:vMerge w:val="continue"/>
                  <w:tcBorders>
                    <w:tl2br w:val="nil"/>
                    <w:tr2bl w:val="nil"/>
                  </w:tcBorders>
                  <w:vAlign w:val="center"/>
                </w:tcPr>
                <w:p w14:paraId="06FACE63">
                  <w:pPr>
                    <w:jc w:val="center"/>
                    <w:rPr>
                      <w:rFonts w:hint="eastAsia" w:ascii="Times New Roman" w:hAnsi="Times New Roman" w:eastAsia="宋体" w:cs="Times New Roman"/>
                      <w:color w:val="auto"/>
                      <w:kern w:val="2"/>
                      <w:sz w:val="18"/>
                      <w:szCs w:val="18"/>
                      <w:lang w:val="en-US" w:eastAsia="zh-CN" w:bidi="ar-SA"/>
                    </w:rPr>
                  </w:pPr>
                </w:p>
              </w:tc>
              <w:tc>
                <w:tcPr>
                  <w:tcW w:w="796" w:type="pct"/>
                  <w:vMerge w:val="continue"/>
                  <w:tcBorders>
                    <w:tl2br w:val="nil"/>
                    <w:tr2bl w:val="nil"/>
                  </w:tcBorders>
                  <w:vAlign w:val="center"/>
                </w:tcPr>
                <w:p w14:paraId="5375C7D0">
                  <w:pPr>
                    <w:jc w:val="center"/>
                    <w:rPr>
                      <w:rFonts w:hint="default" w:cs="Times New Roman"/>
                      <w:color w:val="auto"/>
                      <w:kern w:val="2"/>
                      <w:sz w:val="18"/>
                      <w:szCs w:val="18"/>
                      <w:lang w:val="en-US" w:eastAsia="zh-CN" w:bidi="ar-SA"/>
                    </w:rPr>
                  </w:pPr>
                </w:p>
              </w:tc>
              <w:tc>
                <w:tcPr>
                  <w:tcW w:w="1198" w:type="pct"/>
                  <w:tcBorders>
                    <w:tl2br w:val="nil"/>
                    <w:tr2bl w:val="nil"/>
                  </w:tcBorders>
                  <w:vAlign w:val="center"/>
                </w:tcPr>
                <w:p w14:paraId="7996D7EC">
                  <w:pPr>
                    <w:jc w:val="center"/>
                    <w:rPr>
                      <w:rFonts w:hint="default"/>
                      <w:color w:val="auto"/>
                      <w:sz w:val="18"/>
                      <w:szCs w:val="18"/>
                      <w:lang w:val="en-US" w:eastAsia="zh-CN"/>
                    </w:rPr>
                  </w:pPr>
                  <w:r>
                    <w:rPr>
                      <w:rFonts w:hint="eastAsia"/>
                      <w:color w:val="auto"/>
                      <w:sz w:val="18"/>
                      <w:szCs w:val="18"/>
                      <w:lang w:val="en-US" w:eastAsia="zh-CN"/>
                    </w:rPr>
                    <w:t>无毒</w:t>
                  </w:r>
                </w:p>
              </w:tc>
            </w:tr>
            <w:tr w14:paraId="3B3AD33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277" w:type="pct"/>
                  <w:tcBorders>
                    <w:tl2br w:val="nil"/>
                    <w:tr2bl w:val="nil"/>
                  </w:tcBorders>
                  <w:vAlign w:val="center"/>
                </w:tcPr>
                <w:p w14:paraId="6458AE7B">
                  <w:pPr>
                    <w:jc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6</w:t>
                  </w:r>
                </w:p>
              </w:tc>
              <w:tc>
                <w:tcPr>
                  <w:tcW w:w="928" w:type="pct"/>
                  <w:tcBorders>
                    <w:tl2br w:val="nil"/>
                    <w:tr2bl w:val="nil"/>
                  </w:tcBorders>
                  <w:vAlign w:val="center"/>
                </w:tcPr>
                <w:p w14:paraId="6E64D56D">
                  <w:pPr>
                    <w:jc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纱布</w:t>
                  </w:r>
                </w:p>
              </w:tc>
              <w:tc>
                <w:tcPr>
                  <w:tcW w:w="833" w:type="pct"/>
                  <w:tcBorders>
                    <w:tl2br w:val="nil"/>
                    <w:tr2bl w:val="nil"/>
                  </w:tcBorders>
                  <w:vAlign w:val="center"/>
                </w:tcPr>
                <w:p w14:paraId="7C221B65">
                  <w:pPr>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0.2</w:t>
                  </w:r>
                </w:p>
              </w:tc>
              <w:tc>
                <w:tcPr>
                  <w:tcW w:w="965" w:type="pct"/>
                  <w:vMerge w:val="continue"/>
                  <w:tcBorders>
                    <w:tl2br w:val="nil"/>
                    <w:tr2bl w:val="nil"/>
                  </w:tcBorders>
                  <w:vAlign w:val="center"/>
                </w:tcPr>
                <w:p w14:paraId="59D533CA">
                  <w:pPr>
                    <w:jc w:val="center"/>
                    <w:rPr>
                      <w:rFonts w:hint="eastAsia" w:ascii="Times New Roman" w:hAnsi="Times New Roman" w:eastAsia="宋体" w:cs="Times New Roman"/>
                      <w:color w:val="auto"/>
                      <w:kern w:val="2"/>
                      <w:sz w:val="18"/>
                      <w:szCs w:val="18"/>
                      <w:lang w:val="en-US" w:eastAsia="zh-CN" w:bidi="ar-SA"/>
                    </w:rPr>
                  </w:pPr>
                </w:p>
              </w:tc>
              <w:tc>
                <w:tcPr>
                  <w:tcW w:w="796" w:type="pct"/>
                  <w:vMerge w:val="continue"/>
                  <w:tcBorders>
                    <w:tl2br w:val="nil"/>
                    <w:tr2bl w:val="nil"/>
                  </w:tcBorders>
                  <w:vAlign w:val="center"/>
                </w:tcPr>
                <w:p w14:paraId="6CAFBC0B">
                  <w:pPr>
                    <w:jc w:val="center"/>
                    <w:rPr>
                      <w:rFonts w:hint="default" w:cs="Times New Roman"/>
                      <w:color w:val="auto"/>
                      <w:kern w:val="2"/>
                      <w:sz w:val="18"/>
                      <w:szCs w:val="18"/>
                      <w:lang w:val="en-US" w:eastAsia="zh-CN" w:bidi="ar-SA"/>
                    </w:rPr>
                  </w:pPr>
                </w:p>
              </w:tc>
              <w:tc>
                <w:tcPr>
                  <w:tcW w:w="1198" w:type="pct"/>
                  <w:tcBorders>
                    <w:tl2br w:val="nil"/>
                    <w:tr2bl w:val="nil"/>
                  </w:tcBorders>
                  <w:vAlign w:val="center"/>
                </w:tcPr>
                <w:p w14:paraId="4786CC11">
                  <w:pPr>
                    <w:jc w:val="center"/>
                    <w:rPr>
                      <w:rFonts w:hint="default"/>
                      <w:color w:val="auto"/>
                      <w:sz w:val="18"/>
                      <w:szCs w:val="18"/>
                      <w:lang w:val="en-US" w:eastAsia="zh-CN"/>
                    </w:rPr>
                  </w:pPr>
                  <w:r>
                    <w:rPr>
                      <w:rFonts w:hint="eastAsia"/>
                      <w:color w:val="auto"/>
                      <w:sz w:val="18"/>
                      <w:szCs w:val="18"/>
                      <w:lang w:val="en-US" w:eastAsia="zh-CN"/>
                    </w:rPr>
                    <w:t>无毒</w:t>
                  </w:r>
                </w:p>
              </w:tc>
            </w:tr>
            <w:tr w14:paraId="79D7773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277" w:type="pct"/>
                  <w:tcBorders>
                    <w:tl2br w:val="nil"/>
                    <w:tr2bl w:val="nil"/>
                  </w:tcBorders>
                  <w:vAlign w:val="center"/>
                </w:tcPr>
                <w:p w14:paraId="719952F6">
                  <w:pPr>
                    <w:jc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7</w:t>
                  </w:r>
                </w:p>
              </w:tc>
              <w:tc>
                <w:tcPr>
                  <w:tcW w:w="928" w:type="pct"/>
                  <w:tcBorders>
                    <w:tl2br w:val="nil"/>
                    <w:tr2bl w:val="nil"/>
                  </w:tcBorders>
                  <w:vAlign w:val="center"/>
                </w:tcPr>
                <w:p w14:paraId="02762B66">
                  <w:pPr>
                    <w:jc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除臭剂（植物）</w:t>
                  </w:r>
                </w:p>
              </w:tc>
              <w:tc>
                <w:tcPr>
                  <w:tcW w:w="833" w:type="pct"/>
                  <w:tcBorders>
                    <w:tl2br w:val="nil"/>
                    <w:tr2bl w:val="nil"/>
                  </w:tcBorders>
                  <w:vAlign w:val="center"/>
                </w:tcPr>
                <w:p w14:paraId="40400314">
                  <w:pPr>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0.5</w:t>
                  </w:r>
                </w:p>
              </w:tc>
              <w:tc>
                <w:tcPr>
                  <w:tcW w:w="965" w:type="pct"/>
                  <w:vMerge w:val="continue"/>
                  <w:tcBorders>
                    <w:tl2br w:val="nil"/>
                    <w:tr2bl w:val="nil"/>
                  </w:tcBorders>
                  <w:vAlign w:val="center"/>
                </w:tcPr>
                <w:p w14:paraId="38FBBDF5">
                  <w:pPr>
                    <w:jc w:val="center"/>
                    <w:rPr>
                      <w:rFonts w:hint="eastAsia" w:ascii="Times New Roman" w:hAnsi="Times New Roman" w:eastAsia="宋体" w:cs="Times New Roman"/>
                      <w:color w:val="auto"/>
                      <w:kern w:val="2"/>
                      <w:sz w:val="18"/>
                      <w:szCs w:val="18"/>
                      <w:lang w:val="en-US" w:eastAsia="zh-CN" w:bidi="ar-SA"/>
                    </w:rPr>
                  </w:pPr>
                </w:p>
              </w:tc>
              <w:tc>
                <w:tcPr>
                  <w:tcW w:w="796" w:type="pct"/>
                  <w:vMerge w:val="continue"/>
                  <w:tcBorders>
                    <w:tl2br w:val="nil"/>
                    <w:tr2bl w:val="nil"/>
                  </w:tcBorders>
                  <w:vAlign w:val="center"/>
                </w:tcPr>
                <w:p w14:paraId="0574DE07">
                  <w:pPr>
                    <w:jc w:val="center"/>
                    <w:rPr>
                      <w:rFonts w:hint="default" w:cs="Times New Roman"/>
                      <w:color w:val="auto"/>
                      <w:kern w:val="2"/>
                      <w:sz w:val="18"/>
                      <w:szCs w:val="18"/>
                      <w:lang w:val="en-US" w:eastAsia="zh-CN" w:bidi="ar-SA"/>
                    </w:rPr>
                  </w:pPr>
                </w:p>
              </w:tc>
              <w:tc>
                <w:tcPr>
                  <w:tcW w:w="1198" w:type="pct"/>
                  <w:tcBorders>
                    <w:tl2br w:val="nil"/>
                    <w:tr2bl w:val="nil"/>
                  </w:tcBorders>
                  <w:vAlign w:val="center"/>
                </w:tcPr>
                <w:p w14:paraId="21F9378F">
                  <w:pPr>
                    <w:jc w:val="center"/>
                    <w:rPr>
                      <w:rFonts w:hint="default"/>
                      <w:color w:val="auto"/>
                      <w:sz w:val="18"/>
                      <w:szCs w:val="18"/>
                      <w:lang w:val="en-US" w:eastAsia="zh-CN"/>
                    </w:rPr>
                  </w:pPr>
                  <w:r>
                    <w:rPr>
                      <w:rFonts w:hint="eastAsia"/>
                      <w:color w:val="auto"/>
                      <w:sz w:val="18"/>
                      <w:szCs w:val="18"/>
                      <w:lang w:val="en-US" w:eastAsia="zh-CN"/>
                    </w:rPr>
                    <w:t>无毒</w:t>
                  </w:r>
                </w:p>
              </w:tc>
            </w:tr>
            <w:tr w14:paraId="65CF1EF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277" w:type="pct"/>
                  <w:tcBorders>
                    <w:tl2br w:val="nil"/>
                    <w:tr2bl w:val="nil"/>
                  </w:tcBorders>
                  <w:vAlign w:val="center"/>
                </w:tcPr>
                <w:p w14:paraId="3AB205CD">
                  <w:pPr>
                    <w:jc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8</w:t>
                  </w:r>
                </w:p>
              </w:tc>
              <w:tc>
                <w:tcPr>
                  <w:tcW w:w="928" w:type="pct"/>
                  <w:tcBorders>
                    <w:tl2br w:val="nil"/>
                    <w:tr2bl w:val="nil"/>
                  </w:tcBorders>
                  <w:vAlign w:val="center"/>
                </w:tcPr>
                <w:p w14:paraId="1F679437">
                  <w:pPr>
                    <w:jc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液氧</w:t>
                  </w:r>
                </w:p>
              </w:tc>
              <w:tc>
                <w:tcPr>
                  <w:tcW w:w="833" w:type="pct"/>
                  <w:tcBorders>
                    <w:tl2br w:val="nil"/>
                    <w:tr2bl w:val="nil"/>
                  </w:tcBorders>
                  <w:vAlign w:val="center"/>
                </w:tcPr>
                <w:p w14:paraId="254AF8A9">
                  <w:pPr>
                    <w:jc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100</w:t>
                  </w:r>
                </w:p>
              </w:tc>
              <w:tc>
                <w:tcPr>
                  <w:tcW w:w="965" w:type="pct"/>
                  <w:tcBorders>
                    <w:tl2br w:val="nil"/>
                    <w:tr2bl w:val="nil"/>
                  </w:tcBorders>
                  <w:vAlign w:val="center"/>
                </w:tcPr>
                <w:p w14:paraId="652F8FA6">
                  <w:pPr>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罐车运输</w:t>
                  </w:r>
                </w:p>
              </w:tc>
              <w:tc>
                <w:tcPr>
                  <w:tcW w:w="796" w:type="pct"/>
                  <w:tcBorders>
                    <w:tl2br w:val="nil"/>
                    <w:tr2bl w:val="nil"/>
                  </w:tcBorders>
                  <w:vAlign w:val="center"/>
                </w:tcPr>
                <w:p w14:paraId="47557DD9">
                  <w:pPr>
                    <w:jc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液氧罐</w:t>
                  </w:r>
                </w:p>
              </w:tc>
              <w:tc>
                <w:tcPr>
                  <w:tcW w:w="1198" w:type="pct"/>
                  <w:tcBorders>
                    <w:tl2br w:val="nil"/>
                    <w:tr2bl w:val="nil"/>
                  </w:tcBorders>
                  <w:vAlign w:val="center"/>
                </w:tcPr>
                <w:p w14:paraId="169C056E">
                  <w:pPr>
                    <w:jc w:val="center"/>
                    <w:rPr>
                      <w:rFonts w:hint="default"/>
                      <w:color w:val="auto"/>
                      <w:sz w:val="18"/>
                      <w:szCs w:val="18"/>
                      <w:lang w:val="en-US" w:eastAsia="zh-CN"/>
                    </w:rPr>
                  </w:pPr>
                  <w:r>
                    <w:rPr>
                      <w:rFonts w:hint="eastAsia"/>
                      <w:color w:val="auto"/>
                      <w:sz w:val="18"/>
                      <w:szCs w:val="18"/>
                      <w:lang w:val="en-US" w:eastAsia="zh-CN"/>
                    </w:rPr>
                    <w:t>无毒</w:t>
                  </w:r>
                </w:p>
              </w:tc>
            </w:tr>
            <w:tr w14:paraId="657F210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277" w:type="pct"/>
                  <w:tcBorders>
                    <w:tl2br w:val="nil"/>
                    <w:tr2bl w:val="nil"/>
                  </w:tcBorders>
                  <w:vAlign w:val="center"/>
                </w:tcPr>
                <w:p w14:paraId="21531A10">
                  <w:pPr>
                    <w:jc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9</w:t>
                  </w:r>
                </w:p>
              </w:tc>
              <w:tc>
                <w:tcPr>
                  <w:tcW w:w="928" w:type="pct"/>
                  <w:tcBorders>
                    <w:tl2br w:val="nil"/>
                    <w:tr2bl w:val="nil"/>
                  </w:tcBorders>
                  <w:vAlign w:val="center"/>
                </w:tcPr>
                <w:p w14:paraId="4526CAA6">
                  <w:pPr>
                    <w:jc w:val="center"/>
                    <w:rPr>
                      <w:rFonts w:hint="default" w:cs="Times New Roman"/>
                      <w:color w:val="auto"/>
                      <w:kern w:val="2"/>
                      <w:sz w:val="18"/>
                      <w:szCs w:val="18"/>
                      <w:lang w:val="en-US" w:eastAsia="zh-CN" w:bidi="ar-SA"/>
                    </w:rPr>
                  </w:pPr>
                  <w:r>
                    <w:rPr>
                      <w:rFonts w:hint="eastAsia" w:ascii="宋体" w:hAnsi="宋体" w:eastAsia="宋体" w:cs="宋体"/>
                      <w:color w:val="000000"/>
                      <w:kern w:val="0"/>
                      <w:sz w:val="18"/>
                      <w:szCs w:val="18"/>
                      <w:lang w:val="en-US" w:eastAsia="zh-CN" w:bidi="ar"/>
                    </w:rPr>
                    <w:t>二氧化氯</w:t>
                  </w:r>
                </w:p>
              </w:tc>
              <w:tc>
                <w:tcPr>
                  <w:tcW w:w="833" w:type="pct"/>
                  <w:tcBorders>
                    <w:tl2br w:val="nil"/>
                    <w:tr2bl w:val="nil"/>
                  </w:tcBorders>
                  <w:vAlign w:val="center"/>
                </w:tcPr>
                <w:p w14:paraId="781903FC">
                  <w:pPr>
                    <w:jc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0.05</w:t>
                  </w:r>
                </w:p>
              </w:tc>
              <w:tc>
                <w:tcPr>
                  <w:tcW w:w="965" w:type="pct"/>
                  <w:vMerge w:val="restart"/>
                  <w:tcBorders>
                    <w:tl2br w:val="nil"/>
                    <w:tr2bl w:val="nil"/>
                  </w:tcBorders>
                  <w:vAlign w:val="center"/>
                </w:tcPr>
                <w:p w14:paraId="3EBE918A">
                  <w:pPr>
                    <w:jc w:val="center"/>
                    <w:rPr>
                      <w:rFonts w:hint="eastAsia"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袋装包装</w:t>
                  </w:r>
                </w:p>
              </w:tc>
              <w:tc>
                <w:tcPr>
                  <w:tcW w:w="796" w:type="pct"/>
                  <w:vMerge w:val="restart"/>
                  <w:tcBorders>
                    <w:tl2br w:val="nil"/>
                    <w:tr2bl w:val="nil"/>
                  </w:tcBorders>
                  <w:vAlign w:val="center"/>
                </w:tcPr>
                <w:p w14:paraId="08950273">
                  <w:pPr>
                    <w:jc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污水处理站配套间内储存</w:t>
                  </w:r>
                </w:p>
              </w:tc>
              <w:tc>
                <w:tcPr>
                  <w:tcW w:w="1198" w:type="pct"/>
                  <w:tcBorders>
                    <w:tl2br w:val="nil"/>
                    <w:tr2bl w:val="nil"/>
                  </w:tcBorders>
                  <w:vAlign w:val="center"/>
                </w:tcPr>
                <w:p w14:paraId="167A2B6F">
                  <w:pPr>
                    <w:jc w:val="center"/>
                    <w:rPr>
                      <w:rFonts w:hint="eastAsia"/>
                      <w:color w:val="auto"/>
                      <w:sz w:val="18"/>
                      <w:szCs w:val="18"/>
                      <w:lang w:val="en-US" w:eastAsia="zh-CN"/>
                    </w:rPr>
                  </w:pPr>
                  <w:r>
                    <w:rPr>
                      <w:rFonts w:hint="eastAsia"/>
                      <w:color w:val="auto"/>
                      <w:sz w:val="18"/>
                      <w:szCs w:val="18"/>
                      <w:lang w:val="en-US" w:eastAsia="zh-CN"/>
                    </w:rPr>
                    <w:t>无毒</w:t>
                  </w:r>
                </w:p>
              </w:tc>
            </w:tr>
            <w:tr w14:paraId="42189F8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277" w:type="pct"/>
                  <w:tcBorders>
                    <w:tl2br w:val="nil"/>
                    <w:tr2bl w:val="nil"/>
                  </w:tcBorders>
                  <w:vAlign w:val="center"/>
                </w:tcPr>
                <w:p w14:paraId="56AA17A2">
                  <w:pPr>
                    <w:jc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10</w:t>
                  </w:r>
                </w:p>
              </w:tc>
              <w:tc>
                <w:tcPr>
                  <w:tcW w:w="928" w:type="pct"/>
                  <w:tcBorders>
                    <w:tl2br w:val="nil"/>
                    <w:tr2bl w:val="nil"/>
                  </w:tcBorders>
                  <w:vAlign w:val="center"/>
                </w:tcPr>
                <w:p w14:paraId="70F961A9">
                  <w:pPr>
                    <w:jc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石灰</w:t>
                  </w:r>
                </w:p>
              </w:tc>
              <w:tc>
                <w:tcPr>
                  <w:tcW w:w="833" w:type="pct"/>
                  <w:tcBorders>
                    <w:tl2br w:val="nil"/>
                    <w:tr2bl w:val="nil"/>
                  </w:tcBorders>
                  <w:vAlign w:val="center"/>
                </w:tcPr>
                <w:p w14:paraId="34A468EF">
                  <w:pPr>
                    <w:jc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0.05</w:t>
                  </w:r>
                </w:p>
              </w:tc>
              <w:tc>
                <w:tcPr>
                  <w:tcW w:w="965" w:type="pct"/>
                  <w:vMerge w:val="continue"/>
                  <w:tcBorders>
                    <w:tl2br w:val="nil"/>
                    <w:tr2bl w:val="nil"/>
                  </w:tcBorders>
                  <w:vAlign w:val="center"/>
                </w:tcPr>
                <w:p w14:paraId="40258E0D">
                  <w:pPr>
                    <w:jc w:val="center"/>
                    <w:rPr>
                      <w:rFonts w:hint="eastAsia" w:ascii="Times New Roman" w:hAnsi="Times New Roman" w:eastAsia="宋体" w:cs="Times New Roman"/>
                      <w:color w:val="auto"/>
                      <w:kern w:val="2"/>
                      <w:sz w:val="18"/>
                      <w:szCs w:val="18"/>
                      <w:lang w:val="en-US" w:eastAsia="zh-CN" w:bidi="ar-SA"/>
                    </w:rPr>
                  </w:pPr>
                </w:p>
              </w:tc>
              <w:tc>
                <w:tcPr>
                  <w:tcW w:w="796" w:type="pct"/>
                  <w:vMerge w:val="continue"/>
                  <w:tcBorders>
                    <w:tl2br w:val="nil"/>
                    <w:tr2bl w:val="nil"/>
                  </w:tcBorders>
                  <w:vAlign w:val="center"/>
                </w:tcPr>
                <w:p w14:paraId="468684FF">
                  <w:pPr>
                    <w:jc w:val="center"/>
                    <w:rPr>
                      <w:rFonts w:hint="default" w:cs="Times New Roman"/>
                      <w:color w:val="auto"/>
                      <w:kern w:val="2"/>
                      <w:sz w:val="18"/>
                      <w:szCs w:val="18"/>
                      <w:lang w:val="en-US" w:eastAsia="zh-CN" w:bidi="ar-SA"/>
                    </w:rPr>
                  </w:pPr>
                </w:p>
              </w:tc>
              <w:tc>
                <w:tcPr>
                  <w:tcW w:w="1198" w:type="pct"/>
                  <w:tcBorders>
                    <w:tl2br w:val="nil"/>
                    <w:tr2bl w:val="nil"/>
                  </w:tcBorders>
                  <w:vAlign w:val="center"/>
                </w:tcPr>
                <w:p w14:paraId="4D513356">
                  <w:pPr>
                    <w:jc w:val="center"/>
                    <w:rPr>
                      <w:rFonts w:hint="default"/>
                      <w:color w:val="auto"/>
                      <w:sz w:val="18"/>
                      <w:szCs w:val="18"/>
                      <w:lang w:val="en-US" w:eastAsia="zh-CN"/>
                    </w:rPr>
                  </w:pPr>
                  <w:r>
                    <w:rPr>
                      <w:rFonts w:hint="eastAsia"/>
                      <w:color w:val="auto"/>
                      <w:sz w:val="18"/>
                      <w:szCs w:val="18"/>
                      <w:lang w:val="en-US" w:eastAsia="zh-CN"/>
                    </w:rPr>
                    <w:t>无毒</w:t>
                  </w:r>
                </w:p>
              </w:tc>
            </w:tr>
          </w:tbl>
          <w:p w14:paraId="36427CBA">
            <w:pPr>
              <w:spacing w:line="360" w:lineRule="auto"/>
              <w:ind w:firstLine="422" w:firstLineChars="200"/>
              <w:rPr>
                <w:rFonts w:hint="default"/>
                <w:b/>
                <w:bCs/>
                <w:color w:val="auto"/>
                <w:szCs w:val="21"/>
                <w:lang w:val="en-US" w:eastAsia="zh-CN"/>
              </w:rPr>
            </w:pPr>
            <w:r>
              <w:rPr>
                <w:rFonts w:hint="eastAsia"/>
                <w:b/>
                <w:bCs/>
                <w:color w:val="auto"/>
                <w:szCs w:val="21"/>
                <w:lang w:val="en-US" w:eastAsia="zh-CN"/>
              </w:rPr>
              <w:t>2.4主要设备仪器</w:t>
            </w:r>
          </w:p>
          <w:p w14:paraId="4FB32466">
            <w:pPr>
              <w:pStyle w:val="77"/>
              <w:snapToGrid/>
              <w:spacing w:line="240" w:lineRule="exact"/>
              <w:ind w:firstLine="361"/>
              <w:jc w:val="center"/>
              <w:rPr>
                <w:rFonts w:ascii="Times New Roman" w:hAnsi="Times New Roman"/>
                <w:color w:val="auto"/>
                <w:sz w:val="18"/>
                <w:szCs w:val="18"/>
              </w:rPr>
            </w:pPr>
            <w:r>
              <w:rPr>
                <w:rFonts w:ascii="Times New Roman" w:hAnsi="Times New Roman"/>
                <w:color w:val="auto"/>
                <w:sz w:val="18"/>
                <w:szCs w:val="18"/>
              </w:rPr>
              <w:t>表2-</w:t>
            </w:r>
            <w:r>
              <w:rPr>
                <w:rFonts w:hint="eastAsia" w:ascii="Times New Roman" w:hAnsi="Times New Roman"/>
                <w:color w:val="auto"/>
                <w:sz w:val="18"/>
                <w:szCs w:val="18"/>
                <w:lang w:val="en-US" w:eastAsia="zh-CN"/>
              </w:rPr>
              <w:t>3</w:t>
            </w:r>
            <w:r>
              <w:rPr>
                <w:rFonts w:ascii="Times New Roman" w:hAnsi="Times New Roman"/>
                <w:color w:val="auto"/>
                <w:sz w:val="18"/>
                <w:szCs w:val="18"/>
              </w:rPr>
              <w:t xml:space="preserve">    主要</w:t>
            </w:r>
            <w:r>
              <w:rPr>
                <w:rFonts w:hint="eastAsia" w:ascii="Times New Roman" w:hAnsi="Times New Roman"/>
                <w:color w:val="auto"/>
                <w:sz w:val="18"/>
                <w:szCs w:val="18"/>
                <w:lang w:val="en-US" w:eastAsia="zh-CN"/>
              </w:rPr>
              <w:t>设备仪器统计</w:t>
            </w:r>
            <w:r>
              <w:rPr>
                <w:rFonts w:ascii="Times New Roman" w:hAnsi="Times New Roman"/>
                <w:color w:val="auto"/>
                <w:sz w:val="18"/>
                <w:szCs w:val="18"/>
              </w:rPr>
              <w:t>表</w:t>
            </w:r>
          </w:p>
          <w:tbl>
            <w:tblPr>
              <w:tblStyle w:val="4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263"/>
              <w:gridCol w:w="1071"/>
              <w:gridCol w:w="1393"/>
              <w:gridCol w:w="909"/>
              <w:gridCol w:w="328"/>
              <w:gridCol w:w="1165"/>
              <w:gridCol w:w="1318"/>
              <w:gridCol w:w="806"/>
            </w:tblGrid>
            <w:tr w14:paraId="6BE6FBC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81" w:type="pct"/>
                  <w:tcBorders>
                    <w:tl2br w:val="nil"/>
                    <w:tr2bl w:val="nil"/>
                  </w:tcBorders>
                  <w:vAlign w:val="center"/>
                </w:tcPr>
                <w:p w14:paraId="71DC8FAF">
                  <w:pPr>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序号</w:t>
                  </w:r>
                </w:p>
              </w:tc>
              <w:tc>
                <w:tcPr>
                  <w:tcW w:w="738" w:type="pct"/>
                  <w:tcBorders>
                    <w:tl2br w:val="nil"/>
                    <w:tr2bl w:val="nil"/>
                  </w:tcBorders>
                  <w:vAlign w:val="center"/>
                </w:tcPr>
                <w:p w14:paraId="0FE94821">
                  <w:pPr>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名称</w:t>
                  </w:r>
                </w:p>
              </w:tc>
              <w:tc>
                <w:tcPr>
                  <w:tcW w:w="960" w:type="pct"/>
                  <w:tcBorders>
                    <w:tl2br w:val="nil"/>
                    <w:tr2bl w:val="nil"/>
                  </w:tcBorders>
                  <w:vAlign w:val="center"/>
                </w:tcPr>
                <w:p w14:paraId="05CC9103">
                  <w:pPr>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规格型号</w:t>
                  </w:r>
                </w:p>
              </w:tc>
              <w:tc>
                <w:tcPr>
                  <w:tcW w:w="626" w:type="pct"/>
                  <w:tcBorders>
                    <w:tl2br w:val="nil"/>
                    <w:tr2bl w:val="nil"/>
                  </w:tcBorders>
                  <w:vAlign w:val="center"/>
                </w:tcPr>
                <w:p w14:paraId="59511A62">
                  <w:pPr>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数量</w:t>
                  </w:r>
                </w:p>
                <w:p w14:paraId="153AF155">
                  <w:pPr>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（台/套）</w:t>
                  </w:r>
                </w:p>
              </w:tc>
              <w:tc>
                <w:tcPr>
                  <w:tcW w:w="226" w:type="pct"/>
                  <w:tcBorders>
                    <w:tl2br w:val="nil"/>
                    <w:tr2bl w:val="nil"/>
                  </w:tcBorders>
                  <w:vAlign w:val="center"/>
                </w:tcPr>
                <w:p w14:paraId="138C23DE">
                  <w:pPr>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rPr>
                    <w:t>序号</w:t>
                  </w:r>
                </w:p>
              </w:tc>
              <w:tc>
                <w:tcPr>
                  <w:tcW w:w="803" w:type="pct"/>
                  <w:tcBorders>
                    <w:tl2br w:val="nil"/>
                    <w:tr2bl w:val="nil"/>
                  </w:tcBorders>
                  <w:vAlign w:val="center"/>
                </w:tcPr>
                <w:p w14:paraId="7515BE54">
                  <w:pPr>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rPr>
                    <w:t>名称</w:t>
                  </w:r>
                </w:p>
              </w:tc>
              <w:tc>
                <w:tcPr>
                  <w:tcW w:w="908" w:type="pct"/>
                  <w:tcBorders>
                    <w:tl2br w:val="nil"/>
                    <w:tr2bl w:val="nil"/>
                  </w:tcBorders>
                  <w:vAlign w:val="center"/>
                </w:tcPr>
                <w:p w14:paraId="1B7795E4">
                  <w:pPr>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规格型号</w:t>
                  </w:r>
                </w:p>
              </w:tc>
              <w:tc>
                <w:tcPr>
                  <w:tcW w:w="555" w:type="pct"/>
                  <w:tcBorders>
                    <w:tl2br w:val="nil"/>
                    <w:tr2bl w:val="nil"/>
                  </w:tcBorders>
                  <w:vAlign w:val="center"/>
                </w:tcPr>
                <w:p w14:paraId="5AA53240">
                  <w:pPr>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数量</w:t>
                  </w:r>
                </w:p>
                <w:p w14:paraId="268DC786">
                  <w:pPr>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（台/套）</w:t>
                  </w:r>
                </w:p>
              </w:tc>
            </w:tr>
            <w:tr w14:paraId="50A996C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67" w:hRule="atLeast"/>
                <w:jc w:val="center"/>
              </w:trPr>
              <w:tc>
                <w:tcPr>
                  <w:tcW w:w="181" w:type="pct"/>
                  <w:tcBorders>
                    <w:tl2br w:val="nil"/>
                    <w:tr2bl w:val="nil"/>
                  </w:tcBorders>
                  <w:vAlign w:val="center"/>
                </w:tcPr>
                <w:p w14:paraId="57E41659">
                  <w:pPr>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sz w:val="18"/>
                      <w:szCs w:val="18"/>
                    </w:rPr>
                    <w:t>1</w:t>
                  </w:r>
                </w:p>
              </w:tc>
              <w:tc>
                <w:tcPr>
                  <w:tcW w:w="738" w:type="pct"/>
                  <w:tcBorders>
                    <w:tl2br w:val="nil"/>
                    <w:tr2bl w:val="nil"/>
                  </w:tcBorders>
                  <w:vAlign w:val="center"/>
                </w:tcPr>
                <w:p w14:paraId="6C565CF3">
                  <w:pPr>
                    <w:keepNext w:val="0"/>
                    <w:keepLines w:val="0"/>
                    <w:widowControl/>
                    <w:suppressLineNumbers w:val="0"/>
                    <w:jc w:val="center"/>
                    <w:textAlignment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i w:val="0"/>
                      <w:iCs w:val="0"/>
                      <w:color w:val="000000"/>
                      <w:kern w:val="0"/>
                      <w:sz w:val="18"/>
                      <w:szCs w:val="18"/>
                      <w:u w:val="none"/>
                      <w:lang w:val="en-US" w:eastAsia="zh-CN" w:bidi="ar"/>
                    </w:rPr>
                    <w:t>吊塔</w:t>
                  </w:r>
                </w:p>
              </w:tc>
              <w:tc>
                <w:tcPr>
                  <w:tcW w:w="960" w:type="pct"/>
                  <w:tcBorders>
                    <w:tl2br w:val="nil"/>
                    <w:tr2bl w:val="nil"/>
                  </w:tcBorders>
                  <w:vAlign w:val="center"/>
                </w:tcPr>
                <w:p w14:paraId="2B683352">
                  <w:pPr>
                    <w:jc w:val="center"/>
                    <w:rPr>
                      <w:rFonts w:hint="default" w:ascii="Times New Roman" w:hAnsi="Times New Roman" w:eastAsia="宋体" w:cs="Times New Roman"/>
                      <w:color w:val="auto"/>
                      <w:sz w:val="18"/>
                      <w:szCs w:val="18"/>
                      <w:lang w:val="en-US" w:eastAsia="zh-CN"/>
                    </w:rPr>
                  </w:pPr>
                </w:p>
              </w:tc>
              <w:tc>
                <w:tcPr>
                  <w:tcW w:w="626" w:type="pct"/>
                  <w:tcBorders>
                    <w:tl2br w:val="nil"/>
                    <w:tr2bl w:val="nil"/>
                  </w:tcBorders>
                  <w:vAlign w:val="center"/>
                </w:tcPr>
                <w:p w14:paraId="4CFB7713">
                  <w:pPr>
                    <w:keepNext w:val="0"/>
                    <w:keepLines w:val="0"/>
                    <w:widowControl/>
                    <w:suppressLineNumbers w:val="0"/>
                    <w:jc w:val="center"/>
                    <w:textAlignment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i w:val="0"/>
                      <w:iCs w:val="0"/>
                      <w:color w:val="000000"/>
                      <w:kern w:val="0"/>
                      <w:sz w:val="18"/>
                      <w:szCs w:val="18"/>
                      <w:u w:val="none"/>
                      <w:lang w:val="en-US" w:eastAsia="zh-CN" w:bidi="ar"/>
                    </w:rPr>
                    <w:t>2</w:t>
                  </w:r>
                </w:p>
              </w:tc>
              <w:tc>
                <w:tcPr>
                  <w:tcW w:w="226" w:type="pct"/>
                  <w:tcBorders>
                    <w:tl2br w:val="nil"/>
                    <w:tr2bl w:val="nil"/>
                  </w:tcBorders>
                  <w:vAlign w:val="center"/>
                </w:tcPr>
                <w:p w14:paraId="222C5868">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ascii="Times New Roman" w:hAnsi="Times New Roman" w:eastAsia="宋体" w:cs="Times New Roman"/>
                      <w:i w:val="0"/>
                      <w:iCs w:val="0"/>
                      <w:color w:val="000000"/>
                      <w:kern w:val="0"/>
                      <w:sz w:val="18"/>
                      <w:szCs w:val="18"/>
                      <w:u w:val="none"/>
                      <w:lang w:val="en-US" w:eastAsia="zh-CN" w:bidi="ar"/>
                    </w:rPr>
                    <w:t>31</w:t>
                  </w:r>
                </w:p>
              </w:tc>
              <w:tc>
                <w:tcPr>
                  <w:tcW w:w="803" w:type="pct"/>
                  <w:tcBorders>
                    <w:tl2br w:val="nil"/>
                    <w:tr2bl w:val="nil"/>
                  </w:tcBorders>
                  <w:vAlign w:val="center"/>
                </w:tcPr>
                <w:p w14:paraId="4048A440">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气管镜</w:t>
                  </w:r>
                </w:p>
              </w:tc>
              <w:tc>
                <w:tcPr>
                  <w:tcW w:w="908" w:type="pct"/>
                  <w:tcBorders>
                    <w:tl2br w:val="nil"/>
                    <w:tr2bl w:val="nil"/>
                  </w:tcBorders>
                  <w:vAlign w:val="center"/>
                </w:tcPr>
                <w:p w14:paraId="1CCEC536">
                  <w:pPr>
                    <w:jc w:val="center"/>
                    <w:rPr>
                      <w:rFonts w:hint="default" w:ascii="Times New Roman" w:hAnsi="Times New Roman" w:eastAsia="宋体" w:cs="Times New Roman"/>
                      <w:i w:val="0"/>
                      <w:iCs w:val="0"/>
                      <w:color w:val="000000"/>
                      <w:kern w:val="0"/>
                      <w:sz w:val="18"/>
                      <w:szCs w:val="18"/>
                      <w:u w:val="none"/>
                      <w:lang w:val="en-US" w:eastAsia="zh-CN" w:bidi="ar"/>
                    </w:rPr>
                  </w:pPr>
                </w:p>
              </w:tc>
              <w:tc>
                <w:tcPr>
                  <w:tcW w:w="555" w:type="pct"/>
                  <w:tcBorders>
                    <w:tl2br w:val="nil"/>
                    <w:tr2bl w:val="nil"/>
                  </w:tcBorders>
                  <w:vAlign w:val="center"/>
                </w:tcPr>
                <w:p w14:paraId="2FE44E83">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5C87405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98" w:hRule="atLeast"/>
                <w:jc w:val="center"/>
              </w:trPr>
              <w:tc>
                <w:tcPr>
                  <w:tcW w:w="181" w:type="pct"/>
                  <w:tcBorders>
                    <w:tl2br w:val="nil"/>
                    <w:tr2bl w:val="nil"/>
                  </w:tcBorders>
                  <w:vAlign w:val="center"/>
                </w:tcPr>
                <w:p w14:paraId="528AAF92">
                  <w:pPr>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2</w:t>
                  </w:r>
                </w:p>
              </w:tc>
              <w:tc>
                <w:tcPr>
                  <w:tcW w:w="738" w:type="pct"/>
                  <w:tcBorders>
                    <w:tl2br w:val="nil"/>
                    <w:tr2bl w:val="nil"/>
                  </w:tcBorders>
                  <w:vAlign w:val="center"/>
                </w:tcPr>
                <w:p w14:paraId="54314D57">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i w:val="0"/>
                      <w:iCs w:val="0"/>
                      <w:color w:val="000000"/>
                      <w:kern w:val="0"/>
                      <w:sz w:val="18"/>
                      <w:szCs w:val="18"/>
                      <w:u w:val="none"/>
                      <w:lang w:val="en-US" w:eastAsia="zh-CN" w:bidi="ar"/>
                    </w:rPr>
                    <w:t>抢救车</w:t>
                  </w:r>
                </w:p>
              </w:tc>
              <w:tc>
                <w:tcPr>
                  <w:tcW w:w="960" w:type="pct"/>
                  <w:tcBorders>
                    <w:tl2br w:val="nil"/>
                    <w:tr2bl w:val="nil"/>
                  </w:tcBorders>
                  <w:vAlign w:val="center"/>
                </w:tcPr>
                <w:p w14:paraId="1A8FBDE2">
                  <w:pPr>
                    <w:jc w:val="center"/>
                    <w:rPr>
                      <w:rFonts w:hint="default" w:ascii="Times New Roman" w:hAnsi="Times New Roman" w:eastAsia="宋体" w:cs="Times New Roman"/>
                      <w:color w:val="auto"/>
                      <w:kern w:val="2"/>
                      <w:sz w:val="18"/>
                      <w:szCs w:val="18"/>
                      <w:lang w:val="en-US" w:eastAsia="zh-CN" w:bidi="ar-SA"/>
                    </w:rPr>
                  </w:pPr>
                </w:p>
              </w:tc>
              <w:tc>
                <w:tcPr>
                  <w:tcW w:w="626" w:type="pct"/>
                  <w:tcBorders>
                    <w:tl2br w:val="nil"/>
                    <w:tr2bl w:val="nil"/>
                  </w:tcBorders>
                  <w:vAlign w:val="center"/>
                </w:tcPr>
                <w:p w14:paraId="11D1A697">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i w:val="0"/>
                      <w:iCs w:val="0"/>
                      <w:color w:val="000000"/>
                      <w:kern w:val="0"/>
                      <w:sz w:val="18"/>
                      <w:szCs w:val="18"/>
                      <w:u w:val="none"/>
                      <w:lang w:val="en-US" w:eastAsia="zh-CN" w:bidi="ar"/>
                    </w:rPr>
                    <w:t>2</w:t>
                  </w:r>
                </w:p>
              </w:tc>
              <w:tc>
                <w:tcPr>
                  <w:tcW w:w="226" w:type="pct"/>
                  <w:tcBorders>
                    <w:tl2br w:val="nil"/>
                    <w:tr2bl w:val="nil"/>
                  </w:tcBorders>
                  <w:vAlign w:val="center"/>
                </w:tcPr>
                <w:p w14:paraId="1FD6EDB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ascii="Times New Roman" w:hAnsi="Times New Roman" w:eastAsia="宋体" w:cs="Times New Roman"/>
                      <w:i w:val="0"/>
                      <w:iCs w:val="0"/>
                      <w:color w:val="000000"/>
                      <w:kern w:val="0"/>
                      <w:sz w:val="18"/>
                      <w:szCs w:val="18"/>
                      <w:u w:val="none"/>
                      <w:lang w:val="en-US" w:eastAsia="zh-CN" w:bidi="ar"/>
                    </w:rPr>
                    <w:t>32</w:t>
                  </w:r>
                </w:p>
              </w:tc>
              <w:tc>
                <w:tcPr>
                  <w:tcW w:w="803" w:type="pct"/>
                  <w:tcBorders>
                    <w:tl2br w:val="nil"/>
                    <w:tr2bl w:val="nil"/>
                  </w:tcBorders>
                  <w:vAlign w:val="center"/>
                </w:tcPr>
                <w:p w14:paraId="4F01FE4C">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肠镜</w:t>
                  </w:r>
                </w:p>
              </w:tc>
              <w:tc>
                <w:tcPr>
                  <w:tcW w:w="908" w:type="pct"/>
                  <w:tcBorders>
                    <w:tl2br w:val="nil"/>
                    <w:tr2bl w:val="nil"/>
                  </w:tcBorders>
                  <w:vAlign w:val="center"/>
                </w:tcPr>
                <w:p w14:paraId="11291EC1">
                  <w:pPr>
                    <w:jc w:val="center"/>
                    <w:rPr>
                      <w:rFonts w:hint="default" w:ascii="Times New Roman" w:hAnsi="Times New Roman" w:eastAsia="宋体" w:cs="Times New Roman"/>
                      <w:i w:val="0"/>
                      <w:iCs w:val="0"/>
                      <w:color w:val="000000"/>
                      <w:kern w:val="0"/>
                      <w:sz w:val="18"/>
                      <w:szCs w:val="18"/>
                      <w:u w:val="none"/>
                      <w:lang w:val="en-US" w:eastAsia="zh-CN" w:bidi="ar"/>
                    </w:rPr>
                  </w:pPr>
                </w:p>
              </w:tc>
              <w:tc>
                <w:tcPr>
                  <w:tcW w:w="555" w:type="pct"/>
                  <w:tcBorders>
                    <w:tl2br w:val="nil"/>
                    <w:tr2bl w:val="nil"/>
                  </w:tcBorders>
                  <w:vAlign w:val="center"/>
                </w:tcPr>
                <w:p w14:paraId="3A97D534">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0D8004F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75" w:hRule="atLeast"/>
                <w:jc w:val="center"/>
              </w:trPr>
              <w:tc>
                <w:tcPr>
                  <w:tcW w:w="181" w:type="pct"/>
                  <w:tcBorders>
                    <w:tl2br w:val="nil"/>
                    <w:tr2bl w:val="nil"/>
                  </w:tcBorders>
                  <w:vAlign w:val="center"/>
                </w:tcPr>
                <w:p w14:paraId="524C7083">
                  <w:pPr>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3</w:t>
                  </w:r>
                </w:p>
              </w:tc>
              <w:tc>
                <w:tcPr>
                  <w:tcW w:w="738" w:type="pct"/>
                  <w:tcBorders>
                    <w:tl2br w:val="nil"/>
                    <w:tr2bl w:val="nil"/>
                  </w:tcBorders>
                  <w:vAlign w:val="center"/>
                </w:tcPr>
                <w:p w14:paraId="362E6CA4">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i w:val="0"/>
                      <w:iCs w:val="0"/>
                      <w:color w:val="000000"/>
                      <w:kern w:val="0"/>
                      <w:sz w:val="18"/>
                      <w:szCs w:val="18"/>
                      <w:u w:val="none"/>
                      <w:lang w:val="en-US" w:eastAsia="zh-CN" w:bidi="ar"/>
                    </w:rPr>
                    <w:t>DR</w:t>
                  </w:r>
                </w:p>
              </w:tc>
              <w:tc>
                <w:tcPr>
                  <w:tcW w:w="960" w:type="pct"/>
                  <w:tcBorders>
                    <w:tl2br w:val="nil"/>
                    <w:tr2bl w:val="nil"/>
                  </w:tcBorders>
                  <w:vAlign w:val="center"/>
                </w:tcPr>
                <w:p w14:paraId="3E963FB7">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i w:val="0"/>
                      <w:iCs w:val="0"/>
                      <w:color w:val="000000"/>
                      <w:kern w:val="0"/>
                      <w:sz w:val="18"/>
                      <w:szCs w:val="18"/>
                      <w:u w:val="none"/>
                      <w:lang w:val="en-US" w:eastAsia="zh-CN" w:bidi="ar"/>
                    </w:rPr>
                    <w:t>上海西门子医疗器械有限公司/Multix-select/数字化医用X线摄影系统</w:t>
                  </w:r>
                </w:p>
              </w:tc>
              <w:tc>
                <w:tcPr>
                  <w:tcW w:w="626" w:type="pct"/>
                  <w:tcBorders>
                    <w:tl2br w:val="nil"/>
                    <w:tr2bl w:val="nil"/>
                  </w:tcBorders>
                  <w:vAlign w:val="center"/>
                </w:tcPr>
                <w:p w14:paraId="003A338D">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kern w:val="2"/>
                      <w:sz w:val="18"/>
                      <w:szCs w:val="18"/>
                      <w:lang w:val="en-US" w:eastAsia="zh-CN" w:bidi="ar-SA"/>
                    </w:rPr>
                    <w:t>1</w:t>
                  </w:r>
                </w:p>
              </w:tc>
              <w:tc>
                <w:tcPr>
                  <w:tcW w:w="226" w:type="pct"/>
                  <w:tcBorders>
                    <w:tl2br w:val="nil"/>
                    <w:tr2bl w:val="nil"/>
                  </w:tcBorders>
                  <w:vAlign w:val="center"/>
                </w:tcPr>
                <w:p w14:paraId="17AC5DFE">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ascii="Times New Roman" w:hAnsi="Times New Roman" w:eastAsia="宋体" w:cs="Times New Roman"/>
                      <w:i w:val="0"/>
                      <w:iCs w:val="0"/>
                      <w:color w:val="000000"/>
                      <w:kern w:val="0"/>
                      <w:sz w:val="18"/>
                      <w:szCs w:val="18"/>
                      <w:u w:val="none"/>
                      <w:lang w:val="en-US" w:eastAsia="zh-CN" w:bidi="ar"/>
                    </w:rPr>
                    <w:t>33</w:t>
                  </w:r>
                </w:p>
              </w:tc>
              <w:tc>
                <w:tcPr>
                  <w:tcW w:w="803" w:type="pct"/>
                  <w:tcBorders>
                    <w:tl2br w:val="nil"/>
                    <w:tr2bl w:val="nil"/>
                  </w:tcBorders>
                  <w:vAlign w:val="center"/>
                </w:tcPr>
                <w:p w14:paraId="35AC7C5B">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DR</w:t>
                  </w:r>
                </w:p>
              </w:tc>
              <w:tc>
                <w:tcPr>
                  <w:tcW w:w="908" w:type="pct"/>
                  <w:tcBorders>
                    <w:tl2br w:val="nil"/>
                    <w:tr2bl w:val="nil"/>
                  </w:tcBorders>
                  <w:vAlign w:val="center"/>
                </w:tcPr>
                <w:p w14:paraId="305EA647">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上海西门子医疗器械有限公司/Multix-select/数字化医用X线摄影系统</w:t>
                  </w:r>
                </w:p>
              </w:tc>
              <w:tc>
                <w:tcPr>
                  <w:tcW w:w="555" w:type="pct"/>
                  <w:tcBorders>
                    <w:tl2br w:val="nil"/>
                    <w:tr2bl w:val="nil"/>
                  </w:tcBorders>
                  <w:vAlign w:val="center"/>
                </w:tcPr>
                <w:p w14:paraId="7736420B">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5C572A4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81" w:type="pct"/>
                  <w:tcBorders>
                    <w:tl2br w:val="nil"/>
                    <w:tr2bl w:val="nil"/>
                  </w:tcBorders>
                  <w:vAlign w:val="center"/>
                </w:tcPr>
                <w:p w14:paraId="5FC1844F">
                  <w:pPr>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4</w:t>
                  </w:r>
                </w:p>
              </w:tc>
              <w:tc>
                <w:tcPr>
                  <w:tcW w:w="738" w:type="pct"/>
                  <w:tcBorders>
                    <w:tl2br w:val="nil"/>
                    <w:tr2bl w:val="nil"/>
                  </w:tcBorders>
                  <w:vAlign w:val="center"/>
                </w:tcPr>
                <w:p w14:paraId="647F5453">
                  <w:pPr>
                    <w:keepNext w:val="0"/>
                    <w:keepLines w:val="0"/>
                    <w:widowControl/>
                    <w:suppressLineNumbers w:val="0"/>
                    <w:jc w:val="center"/>
                    <w:textAlignment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i w:val="0"/>
                      <w:iCs w:val="0"/>
                      <w:color w:val="000000"/>
                      <w:kern w:val="0"/>
                      <w:sz w:val="18"/>
                      <w:szCs w:val="18"/>
                      <w:u w:val="none"/>
                      <w:lang w:val="en-US" w:eastAsia="zh-CN" w:bidi="ar"/>
                    </w:rPr>
                    <w:t>脑电</w:t>
                  </w:r>
                </w:p>
              </w:tc>
              <w:tc>
                <w:tcPr>
                  <w:tcW w:w="960" w:type="pct"/>
                  <w:tcBorders>
                    <w:tl2br w:val="nil"/>
                    <w:tr2bl w:val="nil"/>
                  </w:tcBorders>
                  <w:vAlign w:val="center"/>
                </w:tcPr>
                <w:p w14:paraId="474CD8AB">
                  <w:pPr>
                    <w:jc w:val="center"/>
                    <w:rPr>
                      <w:rFonts w:hint="default" w:ascii="Times New Roman" w:hAnsi="Times New Roman" w:eastAsia="宋体" w:cs="Times New Roman"/>
                      <w:color w:val="auto"/>
                      <w:sz w:val="18"/>
                      <w:szCs w:val="18"/>
                      <w:lang w:val="en-US" w:eastAsia="zh-CN"/>
                    </w:rPr>
                  </w:pPr>
                </w:p>
              </w:tc>
              <w:tc>
                <w:tcPr>
                  <w:tcW w:w="626" w:type="pct"/>
                  <w:tcBorders>
                    <w:tl2br w:val="nil"/>
                    <w:tr2bl w:val="nil"/>
                  </w:tcBorders>
                  <w:vAlign w:val="center"/>
                </w:tcPr>
                <w:p w14:paraId="0C8C63A3">
                  <w:pPr>
                    <w:keepNext w:val="0"/>
                    <w:keepLines w:val="0"/>
                    <w:widowControl/>
                    <w:suppressLineNumbers w:val="0"/>
                    <w:jc w:val="center"/>
                    <w:textAlignment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i w:val="0"/>
                      <w:iCs w:val="0"/>
                      <w:color w:val="000000"/>
                      <w:kern w:val="0"/>
                      <w:sz w:val="18"/>
                      <w:szCs w:val="18"/>
                      <w:u w:val="none"/>
                      <w:lang w:val="en-US" w:eastAsia="zh-CN" w:bidi="ar"/>
                    </w:rPr>
                    <w:t>2</w:t>
                  </w:r>
                </w:p>
              </w:tc>
              <w:tc>
                <w:tcPr>
                  <w:tcW w:w="226" w:type="pct"/>
                  <w:tcBorders>
                    <w:tl2br w:val="nil"/>
                    <w:tr2bl w:val="nil"/>
                  </w:tcBorders>
                  <w:vAlign w:val="center"/>
                </w:tcPr>
                <w:p w14:paraId="66FA196A">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ascii="Times New Roman" w:hAnsi="Times New Roman" w:eastAsia="宋体" w:cs="Times New Roman"/>
                      <w:i w:val="0"/>
                      <w:iCs w:val="0"/>
                      <w:color w:val="000000"/>
                      <w:kern w:val="0"/>
                      <w:sz w:val="18"/>
                      <w:szCs w:val="18"/>
                      <w:u w:val="none"/>
                      <w:lang w:val="en-US" w:eastAsia="zh-CN" w:bidi="ar"/>
                    </w:rPr>
                    <w:t>34</w:t>
                  </w:r>
                </w:p>
              </w:tc>
              <w:tc>
                <w:tcPr>
                  <w:tcW w:w="803" w:type="pct"/>
                  <w:tcBorders>
                    <w:tl2br w:val="nil"/>
                    <w:tr2bl w:val="nil"/>
                  </w:tcBorders>
                  <w:vAlign w:val="center"/>
                </w:tcPr>
                <w:p w14:paraId="7A3A5AE4">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心电</w:t>
                  </w:r>
                </w:p>
              </w:tc>
              <w:tc>
                <w:tcPr>
                  <w:tcW w:w="908" w:type="pct"/>
                  <w:tcBorders>
                    <w:tl2br w:val="nil"/>
                    <w:tr2bl w:val="nil"/>
                  </w:tcBorders>
                  <w:vAlign w:val="center"/>
                </w:tcPr>
                <w:p w14:paraId="2F90F658">
                  <w:pPr>
                    <w:jc w:val="center"/>
                    <w:rPr>
                      <w:rFonts w:hint="default" w:ascii="Times New Roman" w:hAnsi="Times New Roman" w:eastAsia="宋体" w:cs="Times New Roman"/>
                      <w:i w:val="0"/>
                      <w:iCs w:val="0"/>
                      <w:color w:val="000000"/>
                      <w:kern w:val="0"/>
                      <w:sz w:val="18"/>
                      <w:szCs w:val="18"/>
                      <w:u w:val="none"/>
                      <w:lang w:val="en-US" w:eastAsia="zh-CN" w:bidi="ar"/>
                    </w:rPr>
                  </w:pPr>
                </w:p>
              </w:tc>
              <w:tc>
                <w:tcPr>
                  <w:tcW w:w="555" w:type="pct"/>
                  <w:tcBorders>
                    <w:tl2br w:val="nil"/>
                    <w:tr2bl w:val="nil"/>
                  </w:tcBorders>
                  <w:vAlign w:val="center"/>
                </w:tcPr>
                <w:p w14:paraId="06D4422D">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2</w:t>
                  </w:r>
                </w:p>
              </w:tc>
            </w:tr>
            <w:tr w14:paraId="02F4BDE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81" w:type="pct"/>
                  <w:tcBorders>
                    <w:tl2br w:val="nil"/>
                    <w:tr2bl w:val="nil"/>
                  </w:tcBorders>
                  <w:vAlign w:val="center"/>
                </w:tcPr>
                <w:p w14:paraId="6BF0E9F6">
                  <w:pPr>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kern w:val="2"/>
                      <w:sz w:val="18"/>
                      <w:szCs w:val="18"/>
                      <w:lang w:val="en-US" w:eastAsia="zh-CN" w:bidi="ar-SA"/>
                    </w:rPr>
                    <w:t>5</w:t>
                  </w:r>
                </w:p>
              </w:tc>
              <w:tc>
                <w:tcPr>
                  <w:tcW w:w="738" w:type="pct"/>
                  <w:tcBorders>
                    <w:tl2br w:val="nil"/>
                    <w:tr2bl w:val="nil"/>
                  </w:tcBorders>
                  <w:vAlign w:val="center"/>
                </w:tcPr>
                <w:p w14:paraId="1BC8FBC2">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i w:val="0"/>
                      <w:iCs w:val="0"/>
                      <w:color w:val="000000"/>
                      <w:kern w:val="0"/>
                      <w:sz w:val="18"/>
                      <w:szCs w:val="18"/>
                      <w:u w:val="none"/>
                      <w:lang w:val="en-US" w:eastAsia="zh-CN" w:bidi="ar"/>
                    </w:rPr>
                    <w:t>除颤仪</w:t>
                  </w:r>
                </w:p>
              </w:tc>
              <w:tc>
                <w:tcPr>
                  <w:tcW w:w="960" w:type="pct"/>
                  <w:tcBorders>
                    <w:tl2br w:val="nil"/>
                    <w:tr2bl w:val="nil"/>
                  </w:tcBorders>
                  <w:vAlign w:val="center"/>
                </w:tcPr>
                <w:p w14:paraId="45966D60">
                  <w:pPr>
                    <w:jc w:val="center"/>
                    <w:rPr>
                      <w:rFonts w:hint="default" w:ascii="Times New Roman" w:hAnsi="Times New Roman" w:eastAsia="宋体" w:cs="Times New Roman"/>
                      <w:color w:val="auto"/>
                      <w:kern w:val="2"/>
                      <w:sz w:val="18"/>
                      <w:szCs w:val="18"/>
                      <w:lang w:val="en-US" w:eastAsia="zh-CN" w:bidi="ar-SA"/>
                    </w:rPr>
                  </w:pPr>
                </w:p>
              </w:tc>
              <w:tc>
                <w:tcPr>
                  <w:tcW w:w="626" w:type="pct"/>
                  <w:tcBorders>
                    <w:tl2br w:val="nil"/>
                    <w:tr2bl w:val="nil"/>
                  </w:tcBorders>
                  <w:vAlign w:val="center"/>
                </w:tcPr>
                <w:p w14:paraId="35F72536">
                  <w:pPr>
                    <w:keepNext w:val="0"/>
                    <w:keepLines w:val="0"/>
                    <w:widowControl/>
                    <w:suppressLineNumbers w:val="0"/>
                    <w:jc w:val="center"/>
                    <w:textAlignment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i w:val="0"/>
                      <w:iCs w:val="0"/>
                      <w:color w:val="000000"/>
                      <w:kern w:val="0"/>
                      <w:sz w:val="18"/>
                      <w:szCs w:val="18"/>
                      <w:u w:val="none"/>
                      <w:lang w:val="en-US" w:eastAsia="zh-CN" w:bidi="ar"/>
                    </w:rPr>
                    <w:t>1</w:t>
                  </w:r>
                </w:p>
              </w:tc>
              <w:tc>
                <w:tcPr>
                  <w:tcW w:w="226" w:type="pct"/>
                  <w:tcBorders>
                    <w:tl2br w:val="nil"/>
                    <w:tr2bl w:val="nil"/>
                  </w:tcBorders>
                  <w:vAlign w:val="center"/>
                </w:tcPr>
                <w:p w14:paraId="0684B986">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ascii="Times New Roman" w:hAnsi="Times New Roman" w:eastAsia="宋体" w:cs="Times New Roman"/>
                      <w:i w:val="0"/>
                      <w:iCs w:val="0"/>
                      <w:color w:val="000000"/>
                      <w:kern w:val="0"/>
                      <w:sz w:val="18"/>
                      <w:szCs w:val="18"/>
                      <w:u w:val="none"/>
                      <w:lang w:val="en-US" w:eastAsia="zh-CN" w:bidi="ar"/>
                    </w:rPr>
                    <w:t>35</w:t>
                  </w:r>
                </w:p>
              </w:tc>
              <w:tc>
                <w:tcPr>
                  <w:tcW w:w="803" w:type="pct"/>
                  <w:tcBorders>
                    <w:tl2br w:val="nil"/>
                    <w:tr2bl w:val="nil"/>
                  </w:tcBorders>
                  <w:vAlign w:val="center"/>
                </w:tcPr>
                <w:p w14:paraId="6E2988BB">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骨密度测量仪</w:t>
                  </w:r>
                </w:p>
              </w:tc>
              <w:tc>
                <w:tcPr>
                  <w:tcW w:w="908" w:type="pct"/>
                  <w:tcBorders>
                    <w:tl2br w:val="nil"/>
                    <w:tr2bl w:val="nil"/>
                  </w:tcBorders>
                  <w:vAlign w:val="center"/>
                </w:tcPr>
                <w:p w14:paraId="4CF9F27B">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美国NORLAND.北京威尔格公司/XR-600</w:t>
                  </w:r>
                </w:p>
              </w:tc>
              <w:tc>
                <w:tcPr>
                  <w:tcW w:w="555" w:type="pct"/>
                  <w:tcBorders>
                    <w:tl2br w:val="nil"/>
                    <w:tr2bl w:val="nil"/>
                  </w:tcBorders>
                  <w:vAlign w:val="center"/>
                </w:tcPr>
                <w:p w14:paraId="65F9E845">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2BD0D57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81" w:type="pct"/>
                  <w:tcBorders>
                    <w:tl2br w:val="nil"/>
                    <w:tr2bl w:val="nil"/>
                  </w:tcBorders>
                  <w:vAlign w:val="center"/>
                </w:tcPr>
                <w:p w14:paraId="4D358D56">
                  <w:pPr>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kern w:val="2"/>
                      <w:sz w:val="18"/>
                      <w:szCs w:val="18"/>
                      <w:lang w:val="en-US" w:eastAsia="zh-CN" w:bidi="ar-SA"/>
                    </w:rPr>
                    <w:t>6</w:t>
                  </w:r>
                </w:p>
              </w:tc>
              <w:tc>
                <w:tcPr>
                  <w:tcW w:w="738" w:type="pct"/>
                  <w:tcBorders>
                    <w:tl2br w:val="nil"/>
                    <w:tr2bl w:val="nil"/>
                  </w:tcBorders>
                  <w:vAlign w:val="center"/>
                </w:tcPr>
                <w:p w14:paraId="0C2F890C">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i w:val="0"/>
                      <w:iCs w:val="0"/>
                      <w:color w:val="000000"/>
                      <w:kern w:val="0"/>
                      <w:sz w:val="18"/>
                      <w:szCs w:val="18"/>
                      <w:u w:val="none"/>
                      <w:lang w:val="en-US" w:eastAsia="zh-CN" w:bidi="ar"/>
                    </w:rPr>
                    <w:t>B超</w:t>
                  </w:r>
                </w:p>
              </w:tc>
              <w:tc>
                <w:tcPr>
                  <w:tcW w:w="960" w:type="pct"/>
                  <w:tcBorders>
                    <w:tl2br w:val="nil"/>
                    <w:tr2bl w:val="nil"/>
                  </w:tcBorders>
                  <w:vAlign w:val="center"/>
                </w:tcPr>
                <w:p w14:paraId="0D2DC5F4">
                  <w:pPr>
                    <w:jc w:val="center"/>
                    <w:rPr>
                      <w:rFonts w:hint="default" w:ascii="Times New Roman" w:hAnsi="Times New Roman" w:eastAsia="宋体" w:cs="Times New Roman"/>
                      <w:color w:val="auto"/>
                      <w:kern w:val="2"/>
                      <w:sz w:val="18"/>
                      <w:szCs w:val="18"/>
                      <w:lang w:val="en-US" w:eastAsia="zh-CN" w:bidi="ar-SA"/>
                    </w:rPr>
                  </w:pPr>
                </w:p>
              </w:tc>
              <w:tc>
                <w:tcPr>
                  <w:tcW w:w="626" w:type="pct"/>
                  <w:tcBorders>
                    <w:tl2br w:val="nil"/>
                    <w:tr2bl w:val="nil"/>
                  </w:tcBorders>
                  <w:vAlign w:val="center"/>
                </w:tcPr>
                <w:p w14:paraId="05896C7B">
                  <w:pPr>
                    <w:keepNext w:val="0"/>
                    <w:keepLines w:val="0"/>
                    <w:widowControl/>
                    <w:suppressLineNumbers w:val="0"/>
                    <w:jc w:val="center"/>
                    <w:textAlignment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i w:val="0"/>
                      <w:iCs w:val="0"/>
                      <w:color w:val="000000"/>
                      <w:kern w:val="0"/>
                      <w:sz w:val="18"/>
                      <w:szCs w:val="18"/>
                      <w:u w:val="none"/>
                      <w:lang w:val="en-US" w:eastAsia="zh-CN" w:bidi="ar"/>
                    </w:rPr>
                    <w:t>1</w:t>
                  </w:r>
                </w:p>
              </w:tc>
              <w:tc>
                <w:tcPr>
                  <w:tcW w:w="226" w:type="pct"/>
                  <w:tcBorders>
                    <w:tl2br w:val="nil"/>
                    <w:tr2bl w:val="nil"/>
                  </w:tcBorders>
                  <w:vAlign w:val="center"/>
                </w:tcPr>
                <w:p w14:paraId="722E901F">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ascii="Times New Roman" w:hAnsi="Times New Roman" w:eastAsia="宋体" w:cs="Times New Roman"/>
                      <w:i w:val="0"/>
                      <w:iCs w:val="0"/>
                      <w:color w:val="000000"/>
                      <w:kern w:val="0"/>
                      <w:sz w:val="18"/>
                      <w:szCs w:val="18"/>
                      <w:u w:val="none"/>
                      <w:lang w:val="en-US" w:eastAsia="zh-CN" w:bidi="ar"/>
                    </w:rPr>
                    <w:t>36</w:t>
                  </w:r>
                </w:p>
              </w:tc>
              <w:tc>
                <w:tcPr>
                  <w:tcW w:w="803" w:type="pct"/>
                  <w:tcBorders>
                    <w:tl2br w:val="nil"/>
                    <w:tr2bl w:val="nil"/>
                  </w:tcBorders>
                  <w:vAlign w:val="center"/>
                </w:tcPr>
                <w:p w14:paraId="1DF18580">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耳鼻喉设备</w:t>
                  </w:r>
                </w:p>
              </w:tc>
              <w:tc>
                <w:tcPr>
                  <w:tcW w:w="908" w:type="pct"/>
                  <w:tcBorders>
                    <w:tl2br w:val="nil"/>
                    <w:tr2bl w:val="nil"/>
                  </w:tcBorders>
                  <w:vAlign w:val="center"/>
                </w:tcPr>
                <w:p w14:paraId="5F50F13D">
                  <w:pPr>
                    <w:jc w:val="center"/>
                    <w:rPr>
                      <w:rFonts w:hint="default" w:ascii="Times New Roman" w:hAnsi="Times New Roman" w:eastAsia="宋体" w:cs="Times New Roman"/>
                      <w:i w:val="0"/>
                      <w:iCs w:val="0"/>
                      <w:color w:val="000000"/>
                      <w:kern w:val="0"/>
                      <w:sz w:val="18"/>
                      <w:szCs w:val="18"/>
                      <w:u w:val="none"/>
                      <w:lang w:val="en-US" w:eastAsia="zh-CN" w:bidi="ar"/>
                    </w:rPr>
                  </w:pPr>
                </w:p>
              </w:tc>
              <w:tc>
                <w:tcPr>
                  <w:tcW w:w="555" w:type="pct"/>
                  <w:tcBorders>
                    <w:tl2br w:val="nil"/>
                    <w:tr2bl w:val="nil"/>
                  </w:tcBorders>
                  <w:vAlign w:val="center"/>
                </w:tcPr>
                <w:p w14:paraId="7C8A719B">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23C4878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81" w:type="pct"/>
                  <w:tcBorders>
                    <w:tl2br w:val="nil"/>
                    <w:tr2bl w:val="nil"/>
                  </w:tcBorders>
                  <w:vAlign w:val="center"/>
                </w:tcPr>
                <w:p w14:paraId="775DFEE2">
                  <w:pPr>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kern w:val="2"/>
                      <w:sz w:val="18"/>
                      <w:szCs w:val="18"/>
                      <w:lang w:val="en-US" w:eastAsia="zh-CN" w:bidi="ar-SA"/>
                    </w:rPr>
                    <w:t>7</w:t>
                  </w:r>
                </w:p>
              </w:tc>
              <w:tc>
                <w:tcPr>
                  <w:tcW w:w="738" w:type="pct"/>
                  <w:tcBorders>
                    <w:tl2br w:val="nil"/>
                    <w:tr2bl w:val="nil"/>
                  </w:tcBorders>
                  <w:vAlign w:val="center"/>
                </w:tcPr>
                <w:p w14:paraId="31097BAE">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i w:val="0"/>
                      <w:iCs w:val="0"/>
                      <w:color w:val="000000"/>
                      <w:kern w:val="0"/>
                      <w:sz w:val="18"/>
                      <w:szCs w:val="18"/>
                      <w:u w:val="none"/>
                      <w:lang w:val="en-US" w:eastAsia="zh-CN" w:bidi="ar"/>
                    </w:rPr>
                    <w:t>实验室设备</w:t>
                  </w:r>
                </w:p>
              </w:tc>
              <w:tc>
                <w:tcPr>
                  <w:tcW w:w="960" w:type="pct"/>
                  <w:tcBorders>
                    <w:tl2br w:val="nil"/>
                    <w:tr2bl w:val="nil"/>
                  </w:tcBorders>
                  <w:vAlign w:val="center"/>
                </w:tcPr>
                <w:p w14:paraId="41195B3C">
                  <w:pPr>
                    <w:jc w:val="center"/>
                    <w:rPr>
                      <w:rFonts w:hint="default" w:ascii="Times New Roman" w:hAnsi="Times New Roman" w:eastAsia="宋体" w:cs="Times New Roman"/>
                      <w:color w:val="auto"/>
                      <w:kern w:val="2"/>
                      <w:sz w:val="18"/>
                      <w:szCs w:val="18"/>
                      <w:lang w:val="en-US" w:eastAsia="zh-CN" w:bidi="ar-SA"/>
                    </w:rPr>
                  </w:pPr>
                </w:p>
              </w:tc>
              <w:tc>
                <w:tcPr>
                  <w:tcW w:w="626" w:type="pct"/>
                  <w:tcBorders>
                    <w:tl2br w:val="nil"/>
                    <w:tr2bl w:val="nil"/>
                  </w:tcBorders>
                  <w:vAlign w:val="center"/>
                </w:tcPr>
                <w:p w14:paraId="4C6B0FF7">
                  <w:pPr>
                    <w:keepNext w:val="0"/>
                    <w:keepLines w:val="0"/>
                    <w:widowControl/>
                    <w:suppressLineNumbers w:val="0"/>
                    <w:jc w:val="center"/>
                    <w:textAlignment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i w:val="0"/>
                      <w:iCs w:val="0"/>
                      <w:color w:val="000000"/>
                      <w:kern w:val="0"/>
                      <w:sz w:val="18"/>
                      <w:szCs w:val="18"/>
                      <w:u w:val="none"/>
                      <w:lang w:val="en-US" w:eastAsia="zh-CN" w:bidi="ar"/>
                    </w:rPr>
                    <w:t>1</w:t>
                  </w:r>
                </w:p>
              </w:tc>
              <w:tc>
                <w:tcPr>
                  <w:tcW w:w="226" w:type="pct"/>
                  <w:tcBorders>
                    <w:tl2br w:val="nil"/>
                    <w:tr2bl w:val="nil"/>
                  </w:tcBorders>
                  <w:vAlign w:val="center"/>
                </w:tcPr>
                <w:p w14:paraId="28B510D8">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ascii="Times New Roman" w:hAnsi="Times New Roman" w:eastAsia="宋体" w:cs="Times New Roman"/>
                      <w:i w:val="0"/>
                      <w:iCs w:val="0"/>
                      <w:color w:val="000000"/>
                      <w:kern w:val="0"/>
                      <w:sz w:val="18"/>
                      <w:szCs w:val="18"/>
                      <w:u w:val="none"/>
                      <w:lang w:val="en-US" w:eastAsia="zh-CN" w:bidi="ar"/>
                    </w:rPr>
                    <w:t>37</w:t>
                  </w:r>
                </w:p>
              </w:tc>
              <w:tc>
                <w:tcPr>
                  <w:tcW w:w="803" w:type="pct"/>
                  <w:tcBorders>
                    <w:tl2br w:val="nil"/>
                    <w:tr2bl w:val="nil"/>
                  </w:tcBorders>
                  <w:vAlign w:val="center"/>
                </w:tcPr>
                <w:p w14:paraId="4AD5CC6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肺功能设备</w:t>
                  </w:r>
                </w:p>
              </w:tc>
              <w:tc>
                <w:tcPr>
                  <w:tcW w:w="908" w:type="pct"/>
                  <w:tcBorders>
                    <w:tl2br w:val="nil"/>
                    <w:tr2bl w:val="nil"/>
                  </w:tcBorders>
                  <w:vAlign w:val="center"/>
                </w:tcPr>
                <w:p w14:paraId="0810BD94">
                  <w:pPr>
                    <w:jc w:val="center"/>
                    <w:rPr>
                      <w:rFonts w:hint="default" w:ascii="Times New Roman" w:hAnsi="Times New Roman" w:eastAsia="宋体" w:cs="Times New Roman"/>
                      <w:i w:val="0"/>
                      <w:iCs w:val="0"/>
                      <w:color w:val="000000"/>
                      <w:kern w:val="0"/>
                      <w:sz w:val="18"/>
                      <w:szCs w:val="18"/>
                      <w:u w:val="none"/>
                      <w:lang w:val="en-US" w:eastAsia="zh-CN" w:bidi="ar"/>
                    </w:rPr>
                  </w:pPr>
                </w:p>
              </w:tc>
              <w:tc>
                <w:tcPr>
                  <w:tcW w:w="555" w:type="pct"/>
                  <w:tcBorders>
                    <w:tl2br w:val="nil"/>
                    <w:tr2bl w:val="nil"/>
                  </w:tcBorders>
                  <w:vAlign w:val="center"/>
                </w:tcPr>
                <w:p w14:paraId="51072BC0">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1E3F9C9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81" w:type="pct"/>
                  <w:tcBorders>
                    <w:tl2br w:val="nil"/>
                    <w:tr2bl w:val="nil"/>
                  </w:tcBorders>
                  <w:vAlign w:val="center"/>
                </w:tcPr>
                <w:p w14:paraId="18FFA4DF">
                  <w:pPr>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kern w:val="2"/>
                      <w:sz w:val="18"/>
                      <w:szCs w:val="18"/>
                      <w:lang w:val="en-US" w:eastAsia="zh-CN" w:bidi="ar-SA"/>
                    </w:rPr>
                    <w:t>8</w:t>
                  </w:r>
                </w:p>
              </w:tc>
              <w:tc>
                <w:tcPr>
                  <w:tcW w:w="738" w:type="pct"/>
                  <w:tcBorders>
                    <w:tl2br w:val="nil"/>
                    <w:tr2bl w:val="nil"/>
                  </w:tcBorders>
                  <w:vAlign w:val="center"/>
                </w:tcPr>
                <w:p w14:paraId="6607BD0F">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i w:val="0"/>
                      <w:iCs w:val="0"/>
                      <w:color w:val="000000"/>
                      <w:kern w:val="0"/>
                      <w:sz w:val="18"/>
                      <w:szCs w:val="18"/>
                      <w:u w:val="none"/>
                      <w:lang w:val="en-US" w:eastAsia="zh-CN" w:bidi="ar"/>
                    </w:rPr>
                    <w:t>灭菌设备</w:t>
                  </w:r>
                </w:p>
              </w:tc>
              <w:tc>
                <w:tcPr>
                  <w:tcW w:w="960" w:type="pct"/>
                  <w:tcBorders>
                    <w:tl2br w:val="nil"/>
                    <w:tr2bl w:val="nil"/>
                  </w:tcBorders>
                  <w:vAlign w:val="center"/>
                </w:tcPr>
                <w:p w14:paraId="774C9DD1">
                  <w:pPr>
                    <w:jc w:val="center"/>
                    <w:rPr>
                      <w:rFonts w:hint="default" w:ascii="Times New Roman" w:hAnsi="Times New Roman" w:eastAsia="宋体" w:cs="Times New Roman"/>
                      <w:color w:val="auto"/>
                      <w:kern w:val="2"/>
                      <w:sz w:val="18"/>
                      <w:szCs w:val="18"/>
                      <w:lang w:val="en-US" w:eastAsia="zh-CN" w:bidi="ar-SA"/>
                    </w:rPr>
                  </w:pPr>
                </w:p>
              </w:tc>
              <w:tc>
                <w:tcPr>
                  <w:tcW w:w="626" w:type="pct"/>
                  <w:tcBorders>
                    <w:tl2br w:val="nil"/>
                    <w:tr2bl w:val="nil"/>
                  </w:tcBorders>
                  <w:vAlign w:val="center"/>
                </w:tcPr>
                <w:p w14:paraId="11E00824">
                  <w:pPr>
                    <w:keepNext w:val="0"/>
                    <w:keepLines w:val="0"/>
                    <w:widowControl/>
                    <w:suppressLineNumbers w:val="0"/>
                    <w:jc w:val="center"/>
                    <w:textAlignment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i w:val="0"/>
                      <w:iCs w:val="0"/>
                      <w:color w:val="000000"/>
                      <w:kern w:val="0"/>
                      <w:sz w:val="18"/>
                      <w:szCs w:val="18"/>
                      <w:u w:val="none"/>
                      <w:lang w:val="en-US" w:eastAsia="zh-CN" w:bidi="ar"/>
                    </w:rPr>
                    <w:t>1</w:t>
                  </w:r>
                </w:p>
              </w:tc>
              <w:tc>
                <w:tcPr>
                  <w:tcW w:w="226" w:type="pct"/>
                  <w:tcBorders>
                    <w:tl2br w:val="nil"/>
                    <w:tr2bl w:val="nil"/>
                  </w:tcBorders>
                  <w:vAlign w:val="center"/>
                </w:tcPr>
                <w:p w14:paraId="3B653CA4">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ascii="Times New Roman" w:hAnsi="Times New Roman" w:eastAsia="宋体" w:cs="Times New Roman"/>
                      <w:i w:val="0"/>
                      <w:iCs w:val="0"/>
                      <w:color w:val="000000"/>
                      <w:kern w:val="0"/>
                      <w:sz w:val="18"/>
                      <w:szCs w:val="18"/>
                      <w:u w:val="none"/>
                      <w:lang w:val="en-US" w:eastAsia="zh-CN" w:bidi="ar"/>
                    </w:rPr>
                    <w:t>38</w:t>
                  </w:r>
                </w:p>
              </w:tc>
              <w:tc>
                <w:tcPr>
                  <w:tcW w:w="803" w:type="pct"/>
                  <w:tcBorders>
                    <w:tl2br w:val="nil"/>
                    <w:tr2bl w:val="nil"/>
                  </w:tcBorders>
                  <w:vAlign w:val="center"/>
                </w:tcPr>
                <w:p w14:paraId="291F7F3E">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眼科设备</w:t>
                  </w:r>
                </w:p>
              </w:tc>
              <w:tc>
                <w:tcPr>
                  <w:tcW w:w="908" w:type="pct"/>
                  <w:tcBorders>
                    <w:tl2br w:val="nil"/>
                    <w:tr2bl w:val="nil"/>
                  </w:tcBorders>
                  <w:vAlign w:val="center"/>
                </w:tcPr>
                <w:p w14:paraId="5878CE72">
                  <w:pPr>
                    <w:jc w:val="center"/>
                    <w:rPr>
                      <w:rFonts w:hint="default" w:ascii="Times New Roman" w:hAnsi="Times New Roman" w:eastAsia="宋体" w:cs="Times New Roman"/>
                      <w:i w:val="0"/>
                      <w:iCs w:val="0"/>
                      <w:color w:val="000000"/>
                      <w:kern w:val="0"/>
                      <w:sz w:val="18"/>
                      <w:szCs w:val="18"/>
                      <w:u w:val="none"/>
                      <w:lang w:val="en-US" w:eastAsia="zh-CN" w:bidi="ar"/>
                    </w:rPr>
                  </w:pPr>
                </w:p>
              </w:tc>
              <w:tc>
                <w:tcPr>
                  <w:tcW w:w="555" w:type="pct"/>
                  <w:tcBorders>
                    <w:tl2br w:val="nil"/>
                    <w:tr2bl w:val="nil"/>
                  </w:tcBorders>
                  <w:vAlign w:val="center"/>
                </w:tcPr>
                <w:p w14:paraId="1B1660CB">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57940E2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81" w:type="pct"/>
                  <w:tcBorders>
                    <w:tl2br w:val="nil"/>
                    <w:tr2bl w:val="nil"/>
                  </w:tcBorders>
                  <w:vAlign w:val="center"/>
                </w:tcPr>
                <w:p w14:paraId="2245B6EC">
                  <w:pPr>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kern w:val="2"/>
                      <w:sz w:val="18"/>
                      <w:szCs w:val="18"/>
                      <w:lang w:val="en-US" w:eastAsia="zh-CN" w:bidi="ar-SA"/>
                    </w:rPr>
                    <w:t>9</w:t>
                  </w:r>
                </w:p>
              </w:tc>
              <w:tc>
                <w:tcPr>
                  <w:tcW w:w="738" w:type="pct"/>
                  <w:tcBorders>
                    <w:tl2br w:val="nil"/>
                    <w:tr2bl w:val="nil"/>
                  </w:tcBorders>
                  <w:vAlign w:val="center"/>
                </w:tcPr>
                <w:p w14:paraId="1F89DB1D">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i w:val="0"/>
                      <w:iCs w:val="0"/>
                      <w:color w:val="000000"/>
                      <w:kern w:val="0"/>
                      <w:sz w:val="18"/>
                      <w:szCs w:val="18"/>
                      <w:u w:val="none"/>
                      <w:lang w:val="en-US" w:eastAsia="zh-CN" w:bidi="ar"/>
                    </w:rPr>
                    <w:t>配液设备</w:t>
                  </w:r>
                </w:p>
              </w:tc>
              <w:tc>
                <w:tcPr>
                  <w:tcW w:w="960" w:type="pct"/>
                  <w:tcBorders>
                    <w:tl2br w:val="nil"/>
                    <w:tr2bl w:val="nil"/>
                  </w:tcBorders>
                  <w:vAlign w:val="center"/>
                </w:tcPr>
                <w:p w14:paraId="242EB312">
                  <w:pPr>
                    <w:jc w:val="center"/>
                    <w:rPr>
                      <w:rFonts w:hint="default" w:ascii="Times New Roman" w:hAnsi="Times New Roman" w:eastAsia="宋体" w:cs="Times New Roman"/>
                      <w:color w:val="auto"/>
                      <w:kern w:val="2"/>
                      <w:sz w:val="18"/>
                      <w:szCs w:val="18"/>
                      <w:lang w:val="en-US" w:eastAsia="zh-CN" w:bidi="ar-SA"/>
                    </w:rPr>
                  </w:pPr>
                </w:p>
              </w:tc>
              <w:tc>
                <w:tcPr>
                  <w:tcW w:w="626" w:type="pct"/>
                  <w:tcBorders>
                    <w:tl2br w:val="nil"/>
                    <w:tr2bl w:val="nil"/>
                  </w:tcBorders>
                  <w:vAlign w:val="center"/>
                </w:tcPr>
                <w:p w14:paraId="25EE38B5">
                  <w:pPr>
                    <w:keepNext w:val="0"/>
                    <w:keepLines w:val="0"/>
                    <w:widowControl/>
                    <w:suppressLineNumbers w:val="0"/>
                    <w:jc w:val="center"/>
                    <w:textAlignment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i w:val="0"/>
                      <w:iCs w:val="0"/>
                      <w:color w:val="000000"/>
                      <w:kern w:val="0"/>
                      <w:sz w:val="18"/>
                      <w:szCs w:val="18"/>
                      <w:u w:val="none"/>
                      <w:lang w:val="en-US" w:eastAsia="zh-CN" w:bidi="ar"/>
                    </w:rPr>
                    <w:t>1</w:t>
                  </w:r>
                </w:p>
              </w:tc>
              <w:tc>
                <w:tcPr>
                  <w:tcW w:w="226" w:type="pct"/>
                  <w:tcBorders>
                    <w:tl2br w:val="nil"/>
                    <w:tr2bl w:val="nil"/>
                  </w:tcBorders>
                  <w:vAlign w:val="center"/>
                </w:tcPr>
                <w:p w14:paraId="5221B47E">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ascii="Times New Roman" w:hAnsi="Times New Roman" w:eastAsia="宋体" w:cs="Times New Roman"/>
                      <w:i w:val="0"/>
                      <w:iCs w:val="0"/>
                      <w:color w:val="000000"/>
                      <w:kern w:val="0"/>
                      <w:sz w:val="18"/>
                      <w:szCs w:val="18"/>
                      <w:u w:val="none"/>
                      <w:lang w:val="en-US" w:eastAsia="zh-CN" w:bidi="ar"/>
                    </w:rPr>
                    <w:t>39</w:t>
                  </w:r>
                </w:p>
              </w:tc>
              <w:tc>
                <w:tcPr>
                  <w:tcW w:w="803" w:type="pct"/>
                  <w:tcBorders>
                    <w:tl2br w:val="nil"/>
                    <w:tr2bl w:val="nil"/>
                  </w:tcBorders>
                  <w:vAlign w:val="center"/>
                </w:tcPr>
                <w:p w14:paraId="42490707">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B超</w:t>
                  </w:r>
                </w:p>
              </w:tc>
              <w:tc>
                <w:tcPr>
                  <w:tcW w:w="908" w:type="pct"/>
                  <w:tcBorders>
                    <w:tl2br w:val="nil"/>
                    <w:tr2bl w:val="nil"/>
                  </w:tcBorders>
                  <w:vAlign w:val="center"/>
                </w:tcPr>
                <w:p w14:paraId="13D0B678">
                  <w:pPr>
                    <w:jc w:val="center"/>
                    <w:rPr>
                      <w:rFonts w:hint="default" w:ascii="Times New Roman" w:hAnsi="Times New Roman" w:eastAsia="宋体" w:cs="Times New Roman"/>
                      <w:i w:val="0"/>
                      <w:iCs w:val="0"/>
                      <w:color w:val="000000"/>
                      <w:kern w:val="0"/>
                      <w:sz w:val="18"/>
                      <w:szCs w:val="18"/>
                      <w:u w:val="none"/>
                      <w:lang w:val="en-US" w:eastAsia="zh-CN" w:bidi="ar"/>
                    </w:rPr>
                  </w:pPr>
                </w:p>
              </w:tc>
              <w:tc>
                <w:tcPr>
                  <w:tcW w:w="555" w:type="pct"/>
                  <w:tcBorders>
                    <w:tl2br w:val="nil"/>
                    <w:tr2bl w:val="nil"/>
                  </w:tcBorders>
                  <w:vAlign w:val="center"/>
                </w:tcPr>
                <w:p w14:paraId="132D95AA">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2</w:t>
                  </w:r>
                </w:p>
              </w:tc>
            </w:tr>
            <w:tr w14:paraId="71D05F6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81" w:type="pct"/>
                  <w:tcBorders>
                    <w:tl2br w:val="nil"/>
                    <w:tr2bl w:val="nil"/>
                  </w:tcBorders>
                  <w:vAlign w:val="center"/>
                </w:tcPr>
                <w:p w14:paraId="7B5FA865">
                  <w:pPr>
                    <w:jc w:val="center"/>
                    <w:rPr>
                      <w:rFonts w:hint="default"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kern w:val="2"/>
                      <w:sz w:val="18"/>
                      <w:szCs w:val="18"/>
                      <w:lang w:val="en-US" w:eastAsia="zh-CN" w:bidi="ar-SA"/>
                    </w:rPr>
                    <w:t>10</w:t>
                  </w:r>
                </w:p>
              </w:tc>
              <w:tc>
                <w:tcPr>
                  <w:tcW w:w="738" w:type="pct"/>
                  <w:tcBorders>
                    <w:tl2br w:val="nil"/>
                    <w:tr2bl w:val="nil"/>
                  </w:tcBorders>
                  <w:vAlign w:val="center"/>
                </w:tcPr>
                <w:p w14:paraId="6D9B9638">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i w:val="0"/>
                      <w:iCs w:val="0"/>
                      <w:color w:val="000000"/>
                      <w:kern w:val="0"/>
                      <w:sz w:val="18"/>
                      <w:szCs w:val="18"/>
                      <w:u w:val="none"/>
                      <w:lang w:val="en-US" w:eastAsia="zh-CN" w:bidi="ar"/>
                    </w:rPr>
                    <w:t>B超</w:t>
                  </w:r>
                </w:p>
              </w:tc>
              <w:tc>
                <w:tcPr>
                  <w:tcW w:w="960" w:type="pct"/>
                  <w:tcBorders>
                    <w:tl2br w:val="nil"/>
                    <w:tr2bl w:val="nil"/>
                  </w:tcBorders>
                  <w:vAlign w:val="center"/>
                </w:tcPr>
                <w:p w14:paraId="580BDCD3">
                  <w:pPr>
                    <w:jc w:val="center"/>
                    <w:rPr>
                      <w:rFonts w:hint="default" w:ascii="Times New Roman" w:hAnsi="Times New Roman" w:eastAsia="宋体" w:cs="Times New Roman"/>
                      <w:color w:val="auto"/>
                      <w:kern w:val="2"/>
                      <w:sz w:val="18"/>
                      <w:szCs w:val="18"/>
                      <w:lang w:val="en-US" w:eastAsia="zh-CN" w:bidi="ar-SA"/>
                    </w:rPr>
                  </w:pPr>
                </w:p>
              </w:tc>
              <w:tc>
                <w:tcPr>
                  <w:tcW w:w="626" w:type="pct"/>
                  <w:tcBorders>
                    <w:tl2br w:val="nil"/>
                    <w:tr2bl w:val="nil"/>
                  </w:tcBorders>
                  <w:vAlign w:val="center"/>
                </w:tcPr>
                <w:p w14:paraId="234D1BAF">
                  <w:pPr>
                    <w:keepNext w:val="0"/>
                    <w:keepLines w:val="0"/>
                    <w:widowControl/>
                    <w:suppressLineNumbers w:val="0"/>
                    <w:jc w:val="center"/>
                    <w:textAlignment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i w:val="0"/>
                      <w:iCs w:val="0"/>
                      <w:color w:val="000000"/>
                      <w:kern w:val="0"/>
                      <w:sz w:val="18"/>
                      <w:szCs w:val="18"/>
                      <w:u w:val="none"/>
                      <w:lang w:val="en-US" w:eastAsia="zh-CN" w:bidi="ar"/>
                    </w:rPr>
                    <w:t>1</w:t>
                  </w:r>
                </w:p>
              </w:tc>
              <w:tc>
                <w:tcPr>
                  <w:tcW w:w="226" w:type="pct"/>
                  <w:tcBorders>
                    <w:tl2br w:val="nil"/>
                    <w:tr2bl w:val="nil"/>
                  </w:tcBorders>
                  <w:vAlign w:val="center"/>
                </w:tcPr>
                <w:p w14:paraId="67B70132">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ascii="Times New Roman" w:hAnsi="Times New Roman" w:eastAsia="宋体" w:cs="Times New Roman"/>
                      <w:i w:val="0"/>
                      <w:iCs w:val="0"/>
                      <w:color w:val="000000"/>
                      <w:kern w:val="0"/>
                      <w:sz w:val="18"/>
                      <w:szCs w:val="18"/>
                      <w:u w:val="none"/>
                      <w:lang w:val="en-US" w:eastAsia="zh-CN" w:bidi="ar"/>
                    </w:rPr>
                    <w:t>40</w:t>
                  </w:r>
                </w:p>
              </w:tc>
              <w:tc>
                <w:tcPr>
                  <w:tcW w:w="803" w:type="pct"/>
                  <w:tcBorders>
                    <w:tl2br w:val="nil"/>
                    <w:tr2bl w:val="nil"/>
                  </w:tcBorders>
                  <w:vAlign w:val="center"/>
                </w:tcPr>
                <w:p w14:paraId="0B87E99F">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储镜</w:t>
                  </w:r>
                </w:p>
              </w:tc>
              <w:tc>
                <w:tcPr>
                  <w:tcW w:w="908" w:type="pct"/>
                  <w:tcBorders>
                    <w:tl2br w:val="nil"/>
                    <w:tr2bl w:val="nil"/>
                  </w:tcBorders>
                  <w:vAlign w:val="center"/>
                </w:tcPr>
                <w:p w14:paraId="4C5D6328">
                  <w:pPr>
                    <w:jc w:val="center"/>
                    <w:rPr>
                      <w:rFonts w:hint="default" w:ascii="Times New Roman" w:hAnsi="Times New Roman" w:eastAsia="宋体" w:cs="Times New Roman"/>
                      <w:i w:val="0"/>
                      <w:iCs w:val="0"/>
                      <w:color w:val="000000"/>
                      <w:kern w:val="0"/>
                      <w:sz w:val="18"/>
                      <w:szCs w:val="18"/>
                      <w:u w:val="none"/>
                      <w:lang w:val="en-US" w:eastAsia="zh-CN" w:bidi="ar"/>
                    </w:rPr>
                  </w:pPr>
                </w:p>
              </w:tc>
              <w:tc>
                <w:tcPr>
                  <w:tcW w:w="555" w:type="pct"/>
                  <w:tcBorders>
                    <w:tl2br w:val="nil"/>
                    <w:tr2bl w:val="nil"/>
                  </w:tcBorders>
                  <w:vAlign w:val="center"/>
                </w:tcPr>
                <w:p w14:paraId="47D47667">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21533CB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81" w:type="pct"/>
                  <w:tcBorders>
                    <w:tl2br w:val="nil"/>
                    <w:tr2bl w:val="nil"/>
                  </w:tcBorders>
                  <w:vAlign w:val="center"/>
                </w:tcPr>
                <w:p w14:paraId="67E3E4D1">
                  <w:pPr>
                    <w:jc w:val="center"/>
                    <w:rPr>
                      <w:rFonts w:hint="default"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kern w:val="2"/>
                      <w:sz w:val="18"/>
                      <w:szCs w:val="18"/>
                      <w:lang w:val="en-US" w:eastAsia="zh-CN" w:bidi="ar-SA"/>
                    </w:rPr>
                    <w:t>11</w:t>
                  </w:r>
                </w:p>
              </w:tc>
              <w:tc>
                <w:tcPr>
                  <w:tcW w:w="738" w:type="pct"/>
                  <w:tcBorders>
                    <w:tl2br w:val="nil"/>
                    <w:tr2bl w:val="nil"/>
                  </w:tcBorders>
                  <w:vAlign w:val="center"/>
                </w:tcPr>
                <w:p w14:paraId="4DC3A616">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i w:val="0"/>
                      <w:iCs w:val="0"/>
                      <w:color w:val="000000"/>
                      <w:kern w:val="0"/>
                      <w:sz w:val="18"/>
                      <w:szCs w:val="18"/>
                      <w:u w:val="none"/>
                      <w:lang w:val="en-US" w:eastAsia="zh-CN" w:bidi="ar"/>
                    </w:rPr>
                    <w:t>心电</w:t>
                  </w:r>
                </w:p>
              </w:tc>
              <w:tc>
                <w:tcPr>
                  <w:tcW w:w="960" w:type="pct"/>
                  <w:tcBorders>
                    <w:tl2br w:val="nil"/>
                    <w:tr2bl w:val="nil"/>
                  </w:tcBorders>
                  <w:vAlign w:val="center"/>
                </w:tcPr>
                <w:p w14:paraId="6F15671B">
                  <w:pPr>
                    <w:jc w:val="center"/>
                    <w:rPr>
                      <w:rFonts w:hint="default" w:ascii="Times New Roman" w:hAnsi="Times New Roman" w:eastAsia="宋体" w:cs="Times New Roman"/>
                      <w:color w:val="auto"/>
                      <w:kern w:val="2"/>
                      <w:sz w:val="18"/>
                      <w:szCs w:val="18"/>
                      <w:lang w:val="en-US" w:eastAsia="zh-CN" w:bidi="ar-SA"/>
                    </w:rPr>
                  </w:pPr>
                </w:p>
              </w:tc>
              <w:tc>
                <w:tcPr>
                  <w:tcW w:w="626" w:type="pct"/>
                  <w:tcBorders>
                    <w:tl2br w:val="nil"/>
                    <w:tr2bl w:val="nil"/>
                  </w:tcBorders>
                  <w:vAlign w:val="center"/>
                </w:tcPr>
                <w:p w14:paraId="65A0EB87">
                  <w:pPr>
                    <w:keepNext w:val="0"/>
                    <w:keepLines w:val="0"/>
                    <w:widowControl/>
                    <w:suppressLineNumbers w:val="0"/>
                    <w:jc w:val="center"/>
                    <w:textAlignment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i w:val="0"/>
                      <w:iCs w:val="0"/>
                      <w:color w:val="000000"/>
                      <w:kern w:val="0"/>
                      <w:sz w:val="18"/>
                      <w:szCs w:val="18"/>
                      <w:u w:val="none"/>
                      <w:lang w:val="en-US" w:eastAsia="zh-CN" w:bidi="ar"/>
                    </w:rPr>
                    <w:t>2</w:t>
                  </w:r>
                </w:p>
              </w:tc>
              <w:tc>
                <w:tcPr>
                  <w:tcW w:w="226" w:type="pct"/>
                  <w:tcBorders>
                    <w:tl2br w:val="nil"/>
                    <w:tr2bl w:val="nil"/>
                  </w:tcBorders>
                  <w:vAlign w:val="center"/>
                </w:tcPr>
                <w:p w14:paraId="20ACE7A3">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ascii="Times New Roman" w:hAnsi="Times New Roman" w:eastAsia="宋体" w:cs="Times New Roman"/>
                      <w:i w:val="0"/>
                      <w:iCs w:val="0"/>
                      <w:color w:val="000000"/>
                      <w:kern w:val="0"/>
                      <w:sz w:val="18"/>
                      <w:szCs w:val="18"/>
                      <w:u w:val="none"/>
                      <w:lang w:val="en-US" w:eastAsia="zh-CN" w:bidi="ar"/>
                    </w:rPr>
                    <w:t>41</w:t>
                  </w:r>
                </w:p>
              </w:tc>
              <w:tc>
                <w:tcPr>
                  <w:tcW w:w="803" w:type="pct"/>
                  <w:tcBorders>
                    <w:tl2br w:val="nil"/>
                    <w:tr2bl w:val="nil"/>
                  </w:tcBorders>
                  <w:vAlign w:val="center"/>
                </w:tcPr>
                <w:p w14:paraId="7B993ABD">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洗镜</w:t>
                  </w:r>
                </w:p>
              </w:tc>
              <w:tc>
                <w:tcPr>
                  <w:tcW w:w="908" w:type="pct"/>
                  <w:tcBorders>
                    <w:tl2br w:val="nil"/>
                    <w:tr2bl w:val="nil"/>
                  </w:tcBorders>
                  <w:vAlign w:val="center"/>
                </w:tcPr>
                <w:p w14:paraId="0700D2B1">
                  <w:pPr>
                    <w:jc w:val="center"/>
                    <w:rPr>
                      <w:rFonts w:hint="default" w:ascii="Times New Roman" w:hAnsi="Times New Roman" w:eastAsia="宋体" w:cs="Times New Roman"/>
                      <w:i w:val="0"/>
                      <w:iCs w:val="0"/>
                      <w:color w:val="000000"/>
                      <w:kern w:val="0"/>
                      <w:sz w:val="18"/>
                      <w:szCs w:val="18"/>
                      <w:u w:val="none"/>
                      <w:lang w:val="en-US" w:eastAsia="zh-CN" w:bidi="ar"/>
                    </w:rPr>
                  </w:pPr>
                </w:p>
              </w:tc>
              <w:tc>
                <w:tcPr>
                  <w:tcW w:w="555" w:type="pct"/>
                  <w:tcBorders>
                    <w:tl2br w:val="nil"/>
                    <w:tr2bl w:val="nil"/>
                  </w:tcBorders>
                  <w:vAlign w:val="center"/>
                </w:tcPr>
                <w:p w14:paraId="606E7A15">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7D6E8C8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81" w:type="pct"/>
                  <w:tcBorders>
                    <w:tl2br w:val="nil"/>
                    <w:tr2bl w:val="nil"/>
                  </w:tcBorders>
                  <w:vAlign w:val="center"/>
                </w:tcPr>
                <w:p w14:paraId="539992A9">
                  <w:pPr>
                    <w:jc w:val="center"/>
                    <w:rPr>
                      <w:rFonts w:hint="default"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kern w:val="2"/>
                      <w:sz w:val="18"/>
                      <w:szCs w:val="18"/>
                      <w:lang w:val="en-US" w:eastAsia="zh-CN" w:bidi="ar-SA"/>
                    </w:rPr>
                    <w:t>12</w:t>
                  </w:r>
                </w:p>
              </w:tc>
              <w:tc>
                <w:tcPr>
                  <w:tcW w:w="738" w:type="pct"/>
                  <w:tcBorders>
                    <w:tl2br w:val="nil"/>
                    <w:tr2bl w:val="nil"/>
                  </w:tcBorders>
                  <w:vAlign w:val="center"/>
                </w:tcPr>
                <w:p w14:paraId="19C00C48">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i w:val="0"/>
                      <w:iCs w:val="0"/>
                      <w:color w:val="000000"/>
                      <w:kern w:val="0"/>
                      <w:sz w:val="18"/>
                      <w:szCs w:val="18"/>
                      <w:u w:val="none"/>
                      <w:lang w:val="en-US" w:eastAsia="zh-CN" w:bidi="ar"/>
                    </w:rPr>
                    <w:t>肌电</w:t>
                  </w:r>
                </w:p>
              </w:tc>
              <w:tc>
                <w:tcPr>
                  <w:tcW w:w="960" w:type="pct"/>
                  <w:tcBorders>
                    <w:tl2br w:val="nil"/>
                    <w:tr2bl w:val="nil"/>
                  </w:tcBorders>
                  <w:vAlign w:val="center"/>
                </w:tcPr>
                <w:p w14:paraId="1FCA2DD0">
                  <w:pPr>
                    <w:jc w:val="center"/>
                    <w:rPr>
                      <w:rFonts w:hint="default" w:ascii="Times New Roman" w:hAnsi="Times New Roman" w:eastAsia="宋体" w:cs="Times New Roman"/>
                      <w:color w:val="auto"/>
                      <w:kern w:val="2"/>
                      <w:sz w:val="18"/>
                      <w:szCs w:val="18"/>
                      <w:lang w:val="en-US" w:eastAsia="zh-CN" w:bidi="ar-SA"/>
                    </w:rPr>
                  </w:pPr>
                </w:p>
              </w:tc>
              <w:tc>
                <w:tcPr>
                  <w:tcW w:w="626" w:type="pct"/>
                  <w:tcBorders>
                    <w:tl2br w:val="nil"/>
                    <w:tr2bl w:val="nil"/>
                  </w:tcBorders>
                  <w:vAlign w:val="center"/>
                </w:tcPr>
                <w:p w14:paraId="16AC4610">
                  <w:pPr>
                    <w:keepNext w:val="0"/>
                    <w:keepLines w:val="0"/>
                    <w:widowControl/>
                    <w:suppressLineNumbers w:val="0"/>
                    <w:jc w:val="center"/>
                    <w:textAlignment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i w:val="0"/>
                      <w:iCs w:val="0"/>
                      <w:color w:val="000000"/>
                      <w:kern w:val="0"/>
                      <w:sz w:val="18"/>
                      <w:szCs w:val="18"/>
                      <w:u w:val="none"/>
                      <w:lang w:val="en-US" w:eastAsia="zh-CN" w:bidi="ar"/>
                    </w:rPr>
                    <w:t>2</w:t>
                  </w:r>
                </w:p>
              </w:tc>
              <w:tc>
                <w:tcPr>
                  <w:tcW w:w="226" w:type="pct"/>
                  <w:tcBorders>
                    <w:tl2br w:val="nil"/>
                    <w:tr2bl w:val="nil"/>
                  </w:tcBorders>
                  <w:vAlign w:val="center"/>
                </w:tcPr>
                <w:p w14:paraId="28DE7C6F">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ascii="Times New Roman" w:hAnsi="Times New Roman" w:eastAsia="宋体" w:cs="Times New Roman"/>
                      <w:i w:val="0"/>
                      <w:iCs w:val="0"/>
                      <w:color w:val="000000"/>
                      <w:kern w:val="0"/>
                      <w:sz w:val="18"/>
                      <w:szCs w:val="18"/>
                      <w:u w:val="none"/>
                      <w:lang w:val="en-US" w:eastAsia="zh-CN" w:bidi="ar"/>
                    </w:rPr>
                    <w:t>42</w:t>
                  </w:r>
                </w:p>
              </w:tc>
              <w:tc>
                <w:tcPr>
                  <w:tcW w:w="803" w:type="pct"/>
                  <w:tcBorders>
                    <w:tl2br w:val="nil"/>
                    <w:tr2bl w:val="nil"/>
                  </w:tcBorders>
                  <w:vAlign w:val="center"/>
                </w:tcPr>
                <w:p w14:paraId="24855572">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B超</w:t>
                  </w:r>
                </w:p>
              </w:tc>
              <w:tc>
                <w:tcPr>
                  <w:tcW w:w="908" w:type="pct"/>
                  <w:tcBorders>
                    <w:tl2br w:val="nil"/>
                    <w:tr2bl w:val="nil"/>
                  </w:tcBorders>
                  <w:vAlign w:val="center"/>
                </w:tcPr>
                <w:p w14:paraId="18D1CC61">
                  <w:pPr>
                    <w:jc w:val="center"/>
                    <w:rPr>
                      <w:rFonts w:hint="default" w:ascii="Times New Roman" w:hAnsi="Times New Roman" w:eastAsia="宋体" w:cs="Times New Roman"/>
                      <w:i w:val="0"/>
                      <w:iCs w:val="0"/>
                      <w:color w:val="000000"/>
                      <w:kern w:val="0"/>
                      <w:sz w:val="18"/>
                      <w:szCs w:val="18"/>
                      <w:u w:val="none"/>
                      <w:lang w:val="en-US" w:eastAsia="zh-CN" w:bidi="ar"/>
                    </w:rPr>
                  </w:pPr>
                </w:p>
              </w:tc>
              <w:tc>
                <w:tcPr>
                  <w:tcW w:w="555" w:type="pct"/>
                  <w:tcBorders>
                    <w:tl2br w:val="nil"/>
                    <w:tr2bl w:val="nil"/>
                  </w:tcBorders>
                  <w:vAlign w:val="center"/>
                </w:tcPr>
                <w:p w14:paraId="7A97A58B">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2</w:t>
                  </w:r>
                </w:p>
              </w:tc>
            </w:tr>
            <w:tr w14:paraId="282F7E3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81" w:type="pct"/>
                  <w:tcBorders>
                    <w:tl2br w:val="nil"/>
                    <w:tr2bl w:val="nil"/>
                  </w:tcBorders>
                  <w:vAlign w:val="center"/>
                </w:tcPr>
                <w:p w14:paraId="01107F75">
                  <w:pPr>
                    <w:jc w:val="center"/>
                    <w:rPr>
                      <w:rFonts w:hint="default"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kern w:val="2"/>
                      <w:sz w:val="18"/>
                      <w:szCs w:val="18"/>
                      <w:lang w:val="en-US" w:eastAsia="zh-CN" w:bidi="ar-SA"/>
                    </w:rPr>
                    <w:t>13</w:t>
                  </w:r>
                </w:p>
              </w:tc>
              <w:tc>
                <w:tcPr>
                  <w:tcW w:w="738" w:type="pct"/>
                  <w:tcBorders>
                    <w:tl2br w:val="nil"/>
                    <w:tr2bl w:val="nil"/>
                  </w:tcBorders>
                  <w:vAlign w:val="center"/>
                </w:tcPr>
                <w:p w14:paraId="061AF1E3">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i w:val="0"/>
                      <w:iCs w:val="0"/>
                      <w:color w:val="000000"/>
                      <w:kern w:val="0"/>
                      <w:sz w:val="18"/>
                      <w:szCs w:val="18"/>
                      <w:u w:val="none"/>
                      <w:lang w:val="en-US" w:eastAsia="zh-CN" w:bidi="ar"/>
                    </w:rPr>
                    <w:t>脑电</w:t>
                  </w:r>
                </w:p>
              </w:tc>
              <w:tc>
                <w:tcPr>
                  <w:tcW w:w="960" w:type="pct"/>
                  <w:tcBorders>
                    <w:tl2br w:val="nil"/>
                    <w:tr2bl w:val="nil"/>
                  </w:tcBorders>
                  <w:vAlign w:val="center"/>
                </w:tcPr>
                <w:p w14:paraId="6F88E052">
                  <w:pPr>
                    <w:jc w:val="center"/>
                    <w:rPr>
                      <w:rFonts w:hint="default" w:ascii="Times New Roman" w:hAnsi="Times New Roman" w:eastAsia="宋体" w:cs="Times New Roman"/>
                      <w:color w:val="auto"/>
                      <w:kern w:val="2"/>
                      <w:sz w:val="18"/>
                      <w:szCs w:val="18"/>
                      <w:lang w:val="en-US" w:eastAsia="zh-CN" w:bidi="ar-SA"/>
                    </w:rPr>
                  </w:pPr>
                </w:p>
              </w:tc>
              <w:tc>
                <w:tcPr>
                  <w:tcW w:w="626" w:type="pct"/>
                  <w:tcBorders>
                    <w:tl2br w:val="nil"/>
                    <w:tr2bl w:val="nil"/>
                  </w:tcBorders>
                  <w:vAlign w:val="center"/>
                </w:tcPr>
                <w:p w14:paraId="084F0BC9">
                  <w:pPr>
                    <w:keepNext w:val="0"/>
                    <w:keepLines w:val="0"/>
                    <w:widowControl/>
                    <w:suppressLineNumbers w:val="0"/>
                    <w:jc w:val="center"/>
                    <w:textAlignment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i w:val="0"/>
                      <w:iCs w:val="0"/>
                      <w:color w:val="000000"/>
                      <w:kern w:val="0"/>
                      <w:sz w:val="18"/>
                      <w:szCs w:val="18"/>
                      <w:u w:val="none"/>
                      <w:lang w:val="en-US" w:eastAsia="zh-CN" w:bidi="ar"/>
                    </w:rPr>
                    <w:t>2</w:t>
                  </w:r>
                </w:p>
              </w:tc>
              <w:tc>
                <w:tcPr>
                  <w:tcW w:w="226" w:type="pct"/>
                  <w:tcBorders>
                    <w:tl2br w:val="nil"/>
                    <w:tr2bl w:val="nil"/>
                  </w:tcBorders>
                  <w:vAlign w:val="center"/>
                </w:tcPr>
                <w:p w14:paraId="6A4F1EB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ascii="Times New Roman" w:hAnsi="Times New Roman" w:eastAsia="宋体" w:cs="Times New Roman"/>
                      <w:i w:val="0"/>
                      <w:iCs w:val="0"/>
                      <w:color w:val="000000"/>
                      <w:kern w:val="0"/>
                      <w:sz w:val="18"/>
                      <w:szCs w:val="18"/>
                      <w:u w:val="none"/>
                      <w:lang w:val="en-US" w:eastAsia="zh-CN" w:bidi="ar"/>
                    </w:rPr>
                    <w:t>43</w:t>
                  </w:r>
                </w:p>
              </w:tc>
              <w:tc>
                <w:tcPr>
                  <w:tcW w:w="803" w:type="pct"/>
                  <w:tcBorders>
                    <w:tl2br w:val="nil"/>
                    <w:tr2bl w:val="nil"/>
                  </w:tcBorders>
                  <w:vAlign w:val="center"/>
                </w:tcPr>
                <w:p w14:paraId="4832082C">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宫腔镜</w:t>
                  </w:r>
                </w:p>
              </w:tc>
              <w:tc>
                <w:tcPr>
                  <w:tcW w:w="908" w:type="pct"/>
                  <w:tcBorders>
                    <w:tl2br w:val="nil"/>
                    <w:tr2bl w:val="nil"/>
                  </w:tcBorders>
                  <w:vAlign w:val="center"/>
                </w:tcPr>
                <w:p w14:paraId="00CAEAD4">
                  <w:pPr>
                    <w:jc w:val="center"/>
                    <w:rPr>
                      <w:rFonts w:hint="default" w:ascii="Times New Roman" w:hAnsi="Times New Roman" w:eastAsia="宋体" w:cs="Times New Roman"/>
                      <w:i w:val="0"/>
                      <w:iCs w:val="0"/>
                      <w:color w:val="000000"/>
                      <w:kern w:val="0"/>
                      <w:sz w:val="18"/>
                      <w:szCs w:val="18"/>
                      <w:u w:val="none"/>
                      <w:lang w:val="en-US" w:eastAsia="zh-CN" w:bidi="ar"/>
                    </w:rPr>
                  </w:pPr>
                </w:p>
              </w:tc>
              <w:tc>
                <w:tcPr>
                  <w:tcW w:w="555" w:type="pct"/>
                  <w:tcBorders>
                    <w:tl2br w:val="nil"/>
                    <w:tr2bl w:val="nil"/>
                  </w:tcBorders>
                  <w:vAlign w:val="center"/>
                </w:tcPr>
                <w:p w14:paraId="573256E8">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2</w:t>
                  </w:r>
                </w:p>
              </w:tc>
            </w:tr>
            <w:tr w14:paraId="10A2368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81" w:type="pct"/>
                  <w:tcBorders>
                    <w:tl2br w:val="nil"/>
                    <w:tr2bl w:val="nil"/>
                  </w:tcBorders>
                  <w:vAlign w:val="center"/>
                </w:tcPr>
                <w:p w14:paraId="32918B7B">
                  <w:pPr>
                    <w:jc w:val="center"/>
                    <w:rPr>
                      <w:rFonts w:hint="default"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kern w:val="2"/>
                      <w:sz w:val="18"/>
                      <w:szCs w:val="18"/>
                      <w:lang w:val="en-US" w:eastAsia="zh-CN" w:bidi="ar-SA"/>
                    </w:rPr>
                    <w:t>14</w:t>
                  </w:r>
                </w:p>
              </w:tc>
              <w:tc>
                <w:tcPr>
                  <w:tcW w:w="738" w:type="pct"/>
                  <w:tcBorders>
                    <w:tl2br w:val="nil"/>
                    <w:tr2bl w:val="nil"/>
                  </w:tcBorders>
                  <w:vAlign w:val="center"/>
                </w:tcPr>
                <w:p w14:paraId="6A97B3A2">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i w:val="0"/>
                      <w:iCs w:val="0"/>
                      <w:color w:val="000000"/>
                      <w:kern w:val="0"/>
                      <w:sz w:val="18"/>
                      <w:szCs w:val="18"/>
                      <w:u w:val="none"/>
                      <w:lang w:val="en-US" w:eastAsia="zh-CN" w:bidi="ar"/>
                    </w:rPr>
                    <w:t>血液透析机</w:t>
                  </w:r>
                </w:p>
              </w:tc>
              <w:tc>
                <w:tcPr>
                  <w:tcW w:w="960" w:type="pct"/>
                  <w:tcBorders>
                    <w:tl2br w:val="nil"/>
                    <w:tr2bl w:val="nil"/>
                  </w:tcBorders>
                  <w:vAlign w:val="center"/>
                </w:tcPr>
                <w:p w14:paraId="180283A3">
                  <w:pPr>
                    <w:jc w:val="center"/>
                    <w:rPr>
                      <w:rFonts w:hint="default" w:ascii="Times New Roman" w:hAnsi="Times New Roman" w:eastAsia="宋体" w:cs="Times New Roman"/>
                      <w:color w:val="auto"/>
                      <w:kern w:val="2"/>
                      <w:sz w:val="18"/>
                      <w:szCs w:val="18"/>
                      <w:lang w:val="en-US" w:eastAsia="zh-CN" w:bidi="ar-SA"/>
                    </w:rPr>
                  </w:pPr>
                </w:p>
              </w:tc>
              <w:tc>
                <w:tcPr>
                  <w:tcW w:w="626" w:type="pct"/>
                  <w:tcBorders>
                    <w:tl2br w:val="nil"/>
                    <w:tr2bl w:val="nil"/>
                  </w:tcBorders>
                  <w:vAlign w:val="center"/>
                </w:tcPr>
                <w:p w14:paraId="2ECB62F8">
                  <w:pPr>
                    <w:keepNext w:val="0"/>
                    <w:keepLines w:val="0"/>
                    <w:widowControl/>
                    <w:suppressLineNumbers w:val="0"/>
                    <w:jc w:val="center"/>
                    <w:textAlignment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i w:val="0"/>
                      <w:iCs w:val="0"/>
                      <w:color w:val="000000"/>
                      <w:kern w:val="0"/>
                      <w:sz w:val="18"/>
                      <w:szCs w:val="18"/>
                      <w:u w:val="none"/>
                      <w:lang w:val="en-US" w:eastAsia="zh-CN" w:bidi="ar"/>
                    </w:rPr>
                    <w:t>15</w:t>
                  </w:r>
                </w:p>
              </w:tc>
              <w:tc>
                <w:tcPr>
                  <w:tcW w:w="226" w:type="pct"/>
                  <w:tcBorders>
                    <w:tl2br w:val="nil"/>
                    <w:tr2bl w:val="nil"/>
                  </w:tcBorders>
                  <w:vAlign w:val="center"/>
                </w:tcPr>
                <w:p w14:paraId="5033AF6A">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ascii="Times New Roman" w:hAnsi="Times New Roman" w:eastAsia="宋体" w:cs="Times New Roman"/>
                      <w:i w:val="0"/>
                      <w:iCs w:val="0"/>
                      <w:color w:val="000000"/>
                      <w:kern w:val="0"/>
                      <w:sz w:val="18"/>
                      <w:szCs w:val="18"/>
                      <w:u w:val="none"/>
                      <w:lang w:val="en-US" w:eastAsia="zh-CN" w:bidi="ar"/>
                    </w:rPr>
                    <w:t>44</w:t>
                  </w:r>
                </w:p>
              </w:tc>
              <w:tc>
                <w:tcPr>
                  <w:tcW w:w="803" w:type="pct"/>
                  <w:tcBorders>
                    <w:tl2br w:val="nil"/>
                    <w:tr2bl w:val="nil"/>
                  </w:tcBorders>
                  <w:vAlign w:val="center"/>
                </w:tcPr>
                <w:p w14:paraId="5A34FD77">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TCD</w:t>
                  </w:r>
                </w:p>
              </w:tc>
              <w:tc>
                <w:tcPr>
                  <w:tcW w:w="908" w:type="pct"/>
                  <w:tcBorders>
                    <w:tl2br w:val="nil"/>
                    <w:tr2bl w:val="nil"/>
                  </w:tcBorders>
                  <w:vAlign w:val="center"/>
                </w:tcPr>
                <w:p w14:paraId="0B237B99">
                  <w:pPr>
                    <w:jc w:val="center"/>
                    <w:rPr>
                      <w:rFonts w:hint="default" w:ascii="Times New Roman" w:hAnsi="Times New Roman" w:eastAsia="宋体" w:cs="Times New Roman"/>
                      <w:i w:val="0"/>
                      <w:iCs w:val="0"/>
                      <w:color w:val="000000"/>
                      <w:kern w:val="0"/>
                      <w:sz w:val="18"/>
                      <w:szCs w:val="18"/>
                      <w:u w:val="none"/>
                      <w:lang w:val="en-US" w:eastAsia="zh-CN" w:bidi="ar"/>
                    </w:rPr>
                  </w:pPr>
                </w:p>
              </w:tc>
              <w:tc>
                <w:tcPr>
                  <w:tcW w:w="555" w:type="pct"/>
                  <w:tcBorders>
                    <w:tl2br w:val="nil"/>
                    <w:tr2bl w:val="nil"/>
                  </w:tcBorders>
                  <w:vAlign w:val="center"/>
                </w:tcPr>
                <w:p w14:paraId="38AB4898">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75C5A5C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81" w:type="pct"/>
                  <w:tcBorders>
                    <w:tl2br w:val="nil"/>
                    <w:tr2bl w:val="nil"/>
                  </w:tcBorders>
                  <w:vAlign w:val="center"/>
                </w:tcPr>
                <w:p w14:paraId="5EFBCE63">
                  <w:pPr>
                    <w:jc w:val="center"/>
                    <w:rPr>
                      <w:rFonts w:hint="default"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kern w:val="2"/>
                      <w:sz w:val="18"/>
                      <w:szCs w:val="18"/>
                      <w:lang w:val="en-US" w:eastAsia="zh-CN" w:bidi="ar-SA"/>
                    </w:rPr>
                    <w:t>15</w:t>
                  </w:r>
                </w:p>
              </w:tc>
              <w:tc>
                <w:tcPr>
                  <w:tcW w:w="738" w:type="pct"/>
                  <w:tcBorders>
                    <w:tl2br w:val="nil"/>
                    <w:tr2bl w:val="nil"/>
                  </w:tcBorders>
                  <w:vAlign w:val="center"/>
                </w:tcPr>
                <w:p w14:paraId="787D8153">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i w:val="0"/>
                      <w:iCs w:val="0"/>
                      <w:color w:val="000000"/>
                      <w:kern w:val="0"/>
                      <w:sz w:val="18"/>
                      <w:szCs w:val="18"/>
                      <w:u w:val="none"/>
                      <w:lang w:val="en-US" w:eastAsia="zh-CN" w:bidi="ar"/>
                    </w:rPr>
                    <w:t>纯水机</w:t>
                  </w:r>
                </w:p>
              </w:tc>
              <w:tc>
                <w:tcPr>
                  <w:tcW w:w="960" w:type="pct"/>
                  <w:tcBorders>
                    <w:tl2br w:val="nil"/>
                    <w:tr2bl w:val="nil"/>
                  </w:tcBorders>
                  <w:vAlign w:val="center"/>
                </w:tcPr>
                <w:p w14:paraId="4A5C3FD1">
                  <w:pPr>
                    <w:jc w:val="center"/>
                    <w:rPr>
                      <w:rFonts w:hint="default" w:ascii="Times New Roman" w:hAnsi="Times New Roman" w:eastAsia="宋体" w:cs="Times New Roman"/>
                      <w:color w:val="auto"/>
                      <w:kern w:val="2"/>
                      <w:sz w:val="18"/>
                      <w:szCs w:val="18"/>
                      <w:lang w:val="en-US" w:eastAsia="zh-CN" w:bidi="ar-SA"/>
                    </w:rPr>
                  </w:pPr>
                </w:p>
              </w:tc>
              <w:tc>
                <w:tcPr>
                  <w:tcW w:w="626" w:type="pct"/>
                  <w:tcBorders>
                    <w:tl2br w:val="nil"/>
                    <w:tr2bl w:val="nil"/>
                  </w:tcBorders>
                  <w:vAlign w:val="center"/>
                </w:tcPr>
                <w:p w14:paraId="71B2665E">
                  <w:pPr>
                    <w:keepNext w:val="0"/>
                    <w:keepLines w:val="0"/>
                    <w:widowControl/>
                    <w:suppressLineNumbers w:val="0"/>
                    <w:jc w:val="center"/>
                    <w:textAlignment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i w:val="0"/>
                      <w:iCs w:val="0"/>
                      <w:color w:val="000000"/>
                      <w:kern w:val="0"/>
                      <w:sz w:val="18"/>
                      <w:szCs w:val="18"/>
                      <w:u w:val="none"/>
                      <w:lang w:val="en-US" w:eastAsia="zh-CN" w:bidi="ar"/>
                    </w:rPr>
                    <w:t>1</w:t>
                  </w:r>
                </w:p>
              </w:tc>
              <w:tc>
                <w:tcPr>
                  <w:tcW w:w="226" w:type="pct"/>
                  <w:tcBorders>
                    <w:tl2br w:val="nil"/>
                    <w:tr2bl w:val="nil"/>
                  </w:tcBorders>
                  <w:vAlign w:val="center"/>
                </w:tcPr>
                <w:p w14:paraId="3E31A063">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ascii="Times New Roman" w:hAnsi="Times New Roman" w:eastAsia="宋体" w:cs="Times New Roman"/>
                      <w:i w:val="0"/>
                      <w:iCs w:val="0"/>
                      <w:color w:val="000000"/>
                      <w:kern w:val="0"/>
                      <w:sz w:val="18"/>
                      <w:szCs w:val="18"/>
                      <w:u w:val="none"/>
                      <w:lang w:val="en-US" w:eastAsia="zh-CN" w:bidi="ar"/>
                    </w:rPr>
                    <w:t>45</w:t>
                  </w:r>
                </w:p>
              </w:tc>
              <w:tc>
                <w:tcPr>
                  <w:tcW w:w="803" w:type="pct"/>
                  <w:tcBorders>
                    <w:tl2br w:val="nil"/>
                    <w:tr2bl w:val="nil"/>
                  </w:tcBorders>
                  <w:vAlign w:val="center"/>
                </w:tcPr>
                <w:p w14:paraId="033EE65D">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心电</w:t>
                  </w:r>
                </w:p>
              </w:tc>
              <w:tc>
                <w:tcPr>
                  <w:tcW w:w="908" w:type="pct"/>
                  <w:tcBorders>
                    <w:tl2br w:val="nil"/>
                    <w:tr2bl w:val="nil"/>
                  </w:tcBorders>
                  <w:vAlign w:val="center"/>
                </w:tcPr>
                <w:p w14:paraId="29CB901F">
                  <w:pPr>
                    <w:jc w:val="center"/>
                    <w:rPr>
                      <w:rFonts w:hint="default" w:ascii="Times New Roman" w:hAnsi="Times New Roman" w:eastAsia="宋体" w:cs="Times New Roman"/>
                      <w:i w:val="0"/>
                      <w:iCs w:val="0"/>
                      <w:color w:val="000000"/>
                      <w:kern w:val="0"/>
                      <w:sz w:val="18"/>
                      <w:szCs w:val="18"/>
                      <w:u w:val="none"/>
                      <w:lang w:val="en-US" w:eastAsia="zh-CN" w:bidi="ar"/>
                    </w:rPr>
                  </w:pPr>
                </w:p>
              </w:tc>
              <w:tc>
                <w:tcPr>
                  <w:tcW w:w="555" w:type="pct"/>
                  <w:tcBorders>
                    <w:tl2br w:val="nil"/>
                    <w:tr2bl w:val="nil"/>
                  </w:tcBorders>
                  <w:vAlign w:val="center"/>
                </w:tcPr>
                <w:p w14:paraId="324ED1C1">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2</w:t>
                  </w:r>
                </w:p>
              </w:tc>
            </w:tr>
            <w:tr w14:paraId="1AFB295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81" w:type="pct"/>
                  <w:tcBorders>
                    <w:tl2br w:val="nil"/>
                    <w:tr2bl w:val="nil"/>
                  </w:tcBorders>
                  <w:vAlign w:val="center"/>
                </w:tcPr>
                <w:p w14:paraId="186ED7D1">
                  <w:pPr>
                    <w:jc w:val="center"/>
                    <w:rPr>
                      <w:rFonts w:hint="default"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kern w:val="2"/>
                      <w:sz w:val="18"/>
                      <w:szCs w:val="18"/>
                      <w:lang w:val="en-US" w:eastAsia="zh-CN" w:bidi="ar-SA"/>
                    </w:rPr>
                    <w:t>16</w:t>
                  </w:r>
                </w:p>
              </w:tc>
              <w:tc>
                <w:tcPr>
                  <w:tcW w:w="738" w:type="pct"/>
                  <w:tcBorders>
                    <w:tl2br w:val="nil"/>
                    <w:tr2bl w:val="nil"/>
                  </w:tcBorders>
                  <w:vAlign w:val="center"/>
                </w:tcPr>
                <w:p w14:paraId="155A617E">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i w:val="0"/>
                      <w:iCs w:val="0"/>
                      <w:color w:val="000000"/>
                      <w:kern w:val="0"/>
                      <w:sz w:val="18"/>
                      <w:szCs w:val="18"/>
                      <w:u w:val="none"/>
                      <w:lang w:val="en-US" w:eastAsia="zh-CN" w:bidi="ar"/>
                    </w:rPr>
                    <w:t>空气净化消毒器</w:t>
                  </w:r>
                </w:p>
              </w:tc>
              <w:tc>
                <w:tcPr>
                  <w:tcW w:w="960" w:type="pct"/>
                  <w:tcBorders>
                    <w:tl2br w:val="nil"/>
                    <w:tr2bl w:val="nil"/>
                  </w:tcBorders>
                  <w:vAlign w:val="center"/>
                </w:tcPr>
                <w:p w14:paraId="13EFAF28">
                  <w:pPr>
                    <w:jc w:val="center"/>
                    <w:rPr>
                      <w:rFonts w:hint="default" w:ascii="Times New Roman" w:hAnsi="Times New Roman" w:eastAsia="宋体" w:cs="Times New Roman"/>
                      <w:color w:val="auto"/>
                      <w:kern w:val="2"/>
                      <w:sz w:val="18"/>
                      <w:szCs w:val="18"/>
                      <w:lang w:val="en-US" w:eastAsia="zh-CN" w:bidi="ar-SA"/>
                    </w:rPr>
                  </w:pPr>
                </w:p>
              </w:tc>
              <w:tc>
                <w:tcPr>
                  <w:tcW w:w="626" w:type="pct"/>
                  <w:tcBorders>
                    <w:tl2br w:val="nil"/>
                    <w:tr2bl w:val="nil"/>
                  </w:tcBorders>
                  <w:vAlign w:val="center"/>
                </w:tcPr>
                <w:p w14:paraId="6C2EC3B2">
                  <w:pPr>
                    <w:keepNext w:val="0"/>
                    <w:keepLines w:val="0"/>
                    <w:widowControl/>
                    <w:suppressLineNumbers w:val="0"/>
                    <w:jc w:val="center"/>
                    <w:textAlignment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i w:val="0"/>
                      <w:iCs w:val="0"/>
                      <w:color w:val="000000"/>
                      <w:kern w:val="0"/>
                      <w:sz w:val="18"/>
                      <w:szCs w:val="18"/>
                      <w:u w:val="none"/>
                      <w:lang w:val="en-US" w:eastAsia="zh-CN" w:bidi="ar"/>
                    </w:rPr>
                    <w:t>10</w:t>
                  </w:r>
                </w:p>
              </w:tc>
              <w:tc>
                <w:tcPr>
                  <w:tcW w:w="226" w:type="pct"/>
                  <w:tcBorders>
                    <w:tl2br w:val="nil"/>
                    <w:tr2bl w:val="nil"/>
                  </w:tcBorders>
                  <w:vAlign w:val="center"/>
                </w:tcPr>
                <w:p w14:paraId="0B0BDF75">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ascii="Times New Roman" w:hAnsi="Times New Roman" w:eastAsia="宋体" w:cs="Times New Roman"/>
                      <w:i w:val="0"/>
                      <w:iCs w:val="0"/>
                      <w:color w:val="000000"/>
                      <w:kern w:val="0"/>
                      <w:sz w:val="18"/>
                      <w:szCs w:val="18"/>
                      <w:u w:val="none"/>
                      <w:lang w:val="en-US" w:eastAsia="zh-CN" w:bidi="ar"/>
                    </w:rPr>
                    <w:t>46</w:t>
                  </w:r>
                </w:p>
              </w:tc>
              <w:tc>
                <w:tcPr>
                  <w:tcW w:w="803" w:type="pct"/>
                  <w:tcBorders>
                    <w:tl2br w:val="nil"/>
                    <w:tr2bl w:val="nil"/>
                  </w:tcBorders>
                  <w:vAlign w:val="center"/>
                </w:tcPr>
                <w:p w14:paraId="751EBF5F">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乳腺钼靶</w:t>
                  </w:r>
                </w:p>
              </w:tc>
              <w:tc>
                <w:tcPr>
                  <w:tcW w:w="908" w:type="pct"/>
                  <w:tcBorders>
                    <w:tl2br w:val="nil"/>
                    <w:tr2bl w:val="nil"/>
                  </w:tcBorders>
                  <w:vAlign w:val="center"/>
                </w:tcPr>
                <w:p w14:paraId="2CBFD955">
                  <w:pPr>
                    <w:jc w:val="center"/>
                    <w:rPr>
                      <w:rFonts w:hint="default" w:ascii="Times New Roman" w:hAnsi="Times New Roman" w:eastAsia="宋体" w:cs="Times New Roman"/>
                      <w:i w:val="0"/>
                      <w:iCs w:val="0"/>
                      <w:color w:val="000000"/>
                      <w:kern w:val="0"/>
                      <w:sz w:val="18"/>
                      <w:szCs w:val="18"/>
                      <w:u w:val="none"/>
                      <w:lang w:val="en-US" w:eastAsia="zh-CN" w:bidi="ar"/>
                    </w:rPr>
                  </w:pPr>
                </w:p>
              </w:tc>
              <w:tc>
                <w:tcPr>
                  <w:tcW w:w="555" w:type="pct"/>
                  <w:tcBorders>
                    <w:tl2br w:val="nil"/>
                    <w:tr2bl w:val="nil"/>
                  </w:tcBorders>
                  <w:vAlign w:val="center"/>
                </w:tcPr>
                <w:p w14:paraId="1EC2BCE7">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57C688C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81" w:type="pct"/>
                  <w:tcBorders>
                    <w:tl2br w:val="nil"/>
                    <w:tr2bl w:val="nil"/>
                  </w:tcBorders>
                  <w:vAlign w:val="center"/>
                </w:tcPr>
                <w:p w14:paraId="15CDB173">
                  <w:pPr>
                    <w:jc w:val="center"/>
                    <w:rPr>
                      <w:rFonts w:hint="default"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kern w:val="2"/>
                      <w:sz w:val="18"/>
                      <w:szCs w:val="18"/>
                      <w:lang w:val="en-US" w:eastAsia="zh-CN" w:bidi="ar-SA"/>
                    </w:rPr>
                    <w:t>17</w:t>
                  </w:r>
                </w:p>
              </w:tc>
              <w:tc>
                <w:tcPr>
                  <w:tcW w:w="738" w:type="pct"/>
                  <w:tcBorders>
                    <w:tl2br w:val="nil"/>
                    <w:tr2bl w:val="nil"/>
                  </w:tcBorders>
                  <w:vAlign w:val="center"/>
                </w:tcPr>
                <w:p w14:paraId="5A4E5B4F">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i w:val="0"/>
                      <w:iCs w:val="0"/>
                      <w:color w:val="000000"/>
                      <w:kern w:val="0"/>
                      <w:sz w:val="18"/>
                      <w:szCs w:val="18"/>
                      <w:u w:val="none"/>
                      <w:lang w:val="en-US" w:eastAsia="zh-CN" w:bidi="ar"/>
                    </w:rPr>
                    <w:t>洗镜</w:t>
                  </w:r>
                </w:p>
              </w:tc>
              <w:tc>
                <w:tcPr>
                  <w:tcW w:w="960" w:type="pct"/>
                  <w:tcBorders>
                    <w:tl2br w:val="nil"/>
                    <w:tr2bl w:val="nil"/>
                  </w:tcBorders>
                  <w:vAlign w:val="center"/>
                </w:tcPr>
                <w:p w14:paraId="48AF2310">
                  <w:pPr>
                    <w:jc w:val="center"/>
                    <w:rPr>
                      <w:rFonts w:hint="default" w:ascii="Times New Roman" w:hAnsi="Times New Roman" w:eastAsia="宋体" w:cs="Times New Roman"/>
                      <w:color w:val="auto"/>
                      <w:kern w:val="2"/>
                      <w:sz w:val="18"/>
                      <w:szCs w:val="18"/>
                      <w:lang w:val="en-US" w:eastAsia="zh-CN" w:bidi="ar-SA"/>
                    </w:rPr>
                  </w:pPr>
                </w:p>
              </w:tc>
              <w:tc>
                <w:tcPr>
                  <w:tcW w:w="626" w:type="pct"/>
                  <w:tcBorders>
                    <w:tl2br w:val="nil"/>
                    <w:tr2bl w:val="nil"/>
                  </w:tcBorders>
                  <w:vAlign w:val="center"/>
                </w:tcPr>
                <w:p w14:paraId="685513F8">
                  <w:pPr>
                    <w:keepNext w:val="0"/>
                    <w:keepLines w:val="0"/>
                    <w:widowControl/>
                    <w:suppressLineNumbers w:val="0"/>
                    <w:jc w:val="center"/>
                    <w:textAlignment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i w:val="0"/>
                      <w:iCs w:val="0"/>
                      <w:color w:val="000000"/>
                      <w:kern w:val="0"/>
                      <w:sz w:val="18"/>
                      <w:szCs w:val="18"/>
                      <w:u w:val="none"/>
                      <w:lang w:val="en-US" w:eastAsia="zh-CN" w:bidi="ar"/>
                    </w:rPr>
                    <w:t>1</w:t>
                  </w:r>
                </w:p>
              </w:tc>
              <w:tc>
                <w:tcPr>
                  <w:tcW w:w="226" w:type="pct"/>
                  <w:tcBorders>
                    <w:tl2br w:val="nil"/>
                    <w:tr2bl w:val="nil"/>
                  </w:tcBorders>
                  <w:vAlign w:val="center"/>
                </w:tcPr>
                <w:p w14:paraId="48ABCC74">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ascii="Times New Roman" w:hAnsi="Times New Roman" w:eastAsia="宋体" w:cs="Times New Roman"/>
                      <w:i w:val="0"/>
                      <w:iCs w:val="0"/>
                      <w:color w:val="000000"/>
                      <w:kern w:val="0"/>
                      <w:sz w:val="18"/>
                      <w:szCs w:val="18"/>
                      <w:u w:val="none"/>
                      <w:lang w:val="en-US" w:eastAsia="zh-CN" w:bidi="ar"/>
                    </w:rPr>
                    <w:t>47</w:t>
                  </w:r>
                </w:p>
              </w:tc>
              <w:tc>
                <w:tcPr>
                  <w:tcW w:w="803" w:type="pct"/>
                  <w:tcBorders>
                    <w:tl2br w:val="nil"/>
                    <w:tr2bl w:val="nil"/>
                  </w:tcBorders>
                  <w:shd w:val="clear" w:color="auto" w:fill="auto"/>
                  <w:vAlign w:val="center"/>
                </w:tcPr>
                <w:p w14:paraId="101AFDA7">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i w:val="0"/>
                      <w:iCs w:val="0"/>
                      <w:color w:val="000000"/>
                      <w:kern w:val="0"/>
                      <w:sz w:val="18"/>
                      <w:szCs w:val="18"/>
                      <w:u w:val="none"/>
                      <w:lang w:val="en-US" w:eastAsia="zh-CN" w:bidi="ar"/>
                    </w:rPr>
                    <w:t>心电</w:t>
                  </w:r>
                </w:p>
              </w:tc>
              <w:tc>
                <w:tcPr>
                  <w:tcW w:w="908" w:type="pct"/>
                  <w:tcBorders>
                    <w:tl2br w:val="nil"/>
                    <w:tr2bl w:val="nil"/>
                  </w:tcBorders>
                  <w:shd w:val="clear" w:color="auto" w:fill="auto"/>
                  <w:vAlign w:val="center"/>
                </w:tcPr>
                <w:p w14:paraId="2F46C4B1">
                  <w:pPr>
                    <w:jc w:val="center"/>
                    <w:rPr>
                      <w:rFonts w:hint="default" w:ascii="Times New Roman" w:hAnsi="Times New Roman" w:eastAsia="宋体" w:cs="Times New Roman"/>
                      <w:color w:val="auto"/>
                      <w:kern w:val="2"/>
                      <w:sz w:val="18"/>
                      <w:szCs w:val="18"/>
                      <w:lang w:val="en-US" w:eastAsia="zh-CN" w:bidi="ar-SA"/>
                    </w:rPr>
                  </w:pPr>
                </w:p>
              </w:tc>
              <w:tc>
                <w:tcPr>
                  <w:tcW w:w="555" w:type="pct"/>
                  <w:tcBorders>
                    <w:tl2br w:val="nil"/>
                    <w:tr2bl w:val="nil"/>
                  </w:tcBorders>
                  <w:shd w:val="clear" w:color="auto" w:fill="auto"/>
                  <w:vAlign w:val="center"/>
                </w:tcPr>
                <w:p w14:paraId="75D70A45">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i w:val="0"/>
                      <w:iCs w:val="0"/>
                      <w:color w:val="000000"/>
                      <w:kern w:val="0"/>
                      <w:sz w:val="18"/>
                      <w:szCs w:val="18"/>
                      <w:u w:val="none"/>
                      <w:lang w:val="en-US" w:eastAsia="zh-CN" w:bidi="ar"/>
                    </w:rPr>
                    <w:t>2</w:t>
                  </w:r>
                </w:p>
              </w:tc>
            </w:tr>
            <w:tr w14:paraId="54C0A46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81" w:type="pct"/>
                  <w:tcBorders>
                    <w:tl2br w:val="nil"/>
                    <w:tr2bl w:val="nil"/>
                  </w:tcBorders>
                  <w:vAlign w:val="center"/>
                </w:tcPr>
                <w:p w14:paraId="2C2E61C1">
                  <w:pPr>
                    <w:jc w:val="center"/>
                    <w:rPr>
                      <w:rFonts w:hint="default"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kern w:val="2"/>
                      <w:sz w:val="18"/>
                      <w:szCs w:val="18"/>
                      <w:lang w:val="en-US" w:eastAsia="zh-CN" w:bidi="ar-SA"/>
                    </w:rPr>
                    <w:t>18</w:t>
                  </w:r>
                </w:p>
              </w:tc>
              <w:tc>
                <w:tcPr>
                  <w:tcW w:w="738" w:type="pct"/>
                  <w:tcBorders>
                    <w:tl2br w:val="nil"/>
                    <w:tr2bl w:val="nil"/>
                  </w:tcBorders>
                  <w:vAlign w:val="center"/>
                </w:tcPr>
                <w:p w14:paraId="7D82B73E">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i w:val="0"/>
                      <w:iCs w:val="0"/>
                      <w:color w:val="000000"/>
                      <w:kern w:val="0"/>
                      <w:sz w:val="18"/>
                      <w:szCs w:val="18"/>
                      <w:u w:val="none"/>
                      <w:lang w:val="en-US" w:eastAsia="zh-CN" w:bidi="ar"/>
                    </w:rPr>
                    <w:t>储镜</w:t>
                  </w:r>
                </w:p>
              </w:tc>
              <w:tc>
                <w:tcPr>
                  <w:tcW w:w="960" w:type="pct"/>
                  <w:tcBorders>
                    <w:tl2br w:val="nil"/>
                    <w:tr2bl w:val="nil"/>
                  </w:tcBorders>
                  <w:vAlign w:val="center"/>
                </w:tcPr>
                <w:p w14:paraId="3101ACD9">
                  <w:pPr>
                    <w:jc w:val="center"/>
                    <w:rPr>
                      <w:rFonts w:hint="default" w:ascii="Times New Roman" w:hAnsi="Times New Roman" w:eastAsia="宋体" w:cs="Times New Roman"/>
                      <w:color w:val="auto"/>
                      <w:kern w:val="2"/>
                      <w:sz w:val="18"/>
                      <w:szCs w:val="18"/>
                      <w:lang w:val="en-US" w:eastAsia="zh-CN" w:bidi="ar-SA"/>
                    </w:rPr>
                  </w:pPr>
                </w:p>
              </w:tc>
              <w:tc>
                <w:tcPr>
                  <w:tcW w:w="626" w:type="pct"/>
                  <w:tcBorders>
                    <w:tl2br w:val="nil"/>
                    <w:tr2bl w:val="nil"/>
                  </w:tcBorders>
                  <w:vAlign w:val="center"/>
                </w:tcPr>
                <w:p w14:paraId="1678DFCA">
                  <w:pPr>
                    <w:keepNext w:val="0"/>
                    <w:keepLines w:val="0"/>
                    <w:widowControl/>
                    <w:suppressLineNumbers w:val="0"/>
                    <w:jc w:val="center"/>
                    <w:textAlignment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i w:val="0"/>
                      <w:iCs w:val="0"/>
                      <w:color w:val="000000"/>
                      <w:kern w:val="0"/>
                      <w:sz w:val="18"/>
                      <w:szCs w:val="18"/>
                      <w:u w:val="none"/>
                      <w:lang w:val="en-US" w:eastAsia="zh-CN" w:bidi="ar"/>
                    </w:rPr>
                    <w:t>1</w:t>
                  </w:r>
                </w:p>
              </w:tc>
              <w:tc>
                <w:tcPr>
                  <w:tcW w:w="226" w:type="pct"/>
                  <w:tcBorders>
                    <w:tl2br w:val="nil"/>
                    <w:tr2bl w:val="nil"/>
                  </w:tcBorders>
                  <w:vAlign w:val="center"/>
                </w:tcPr>
                <w:p w14:paraId="780E53F1">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ascii="Times New Roman" w:hAnsi="Times New Roman" w:eastAsia="宋体" w:cs="Times New Roman"/>
                      <w:i w:val="0"/>
                      <w:iCs w:val="0"/>
                      <w:color w:val="000000"/>
                      <w:kern w:val="0"/>
                      <w:sz w:val="18"/>
                      <w:szCs w:val="18"/>
                      <w:u w:val="none"/>
                      <w:lang w:val="en-US" w:eastAsia="zh-CN" w:bidi="ar"/>
                    </w:rPr>
                    <w:t>48</w:t>
                  </w:r>
                </w:p>
              </w:tc>
              <w:tc>
                <w:tcPr>
                  <w:tcW w:w="803" w:type="pct"/>
                  <w:tcBorders>
                    <w:tl2br w:val="nil"/>
                    <w:tr2bl w:val="nil"/>
                  </w:tcBorders>
                  <w:vAlign w:val="center"/>
                </w:tcPr>
                <w:p w14:paraId="514AABAA">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理疗设备</w:t>
                  </w:r>
                </w:p>
              </w:tc>
              <w:tc>
                <w:tcPr>
                  <w:tcW w:w="908" w:type="pct"/>
                  <w:tcBorders>
                    <w:tl2br w:val="nil"/>
                    <w:tr2bl w:val="nil"/>
                  </w:tcBorders>
                  <w:vAlign w:val="center"/>
                </w:tcPr>
                <w:p w14:paraId="3E430267">
                  <w:pPr>
                    <w:jc w:val="center"/>
                    <w:rPr>
                      <w:rFonts w:hint="default" w:ascii="Times New Roman" w:hAnsi="Times New Roman" w:eastAsia="宋体" w:cs="Times New Roman"/>
                      <w:i w:val="0"/>
                      <w:iCs w:val="0"/>
                      <w:color w:val="000000"/>
                      <w:kern w:val="0"/>
                      <w:sz w:val="18"/>
                      <w:szCs w:val="18"/>
                      <w:u w:val="none"/>
                      <w:lang w:val="en-US" w:eastAsia="zh-CN" w:bidi="ar"/>
                    </w:rPr>
                  </w:pPr>
                </w:p>
              </w:tc>
              <w:tc>
                <w:tcPr>
                  <w:tcW w:w="555" w:type="pct"/>
                  <w:tcBorders>
                    <w:tl2br w:val="nil"/>
                    <w:tr2bl w:val="nil"/>
                  </w:tcBorders>
                  <w:vAlign w:val="center"/>
                </w:tcPr>
                <w:p w14:paraId="7E362BBE">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76A718D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81" w:type="pct"/>
                  <w:tcBorders>
                    <w:tl2br w:val="nil"/>
                    <w:tr2bl w:val="nil"/>
                  </w:tcBorders>
                  <w:vAlign w:val="center"/>
                </w:tcPr>
                <w:p w14:paraId="5822EB39">
                  <w:pPr>
                    <w:jc w:val="center"/>
                    <w:rPr>
                      <w:rFonts w:hint="default"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kern w:val="2"/>
                      <w:sz w:val="18"/>
                      <w:szCs w:val="18"/>
                      <w:lang w:val="en-US" w:eastAsia="zh-CN" w:bidi="ar-SA"/>
                    </w:rPr>
                    <w:t>19</w:t>
                  </w:r>
                </w:p>
              </w:tc>
              <w:tc>
                <w:tcPr>
                  <w:tcW w:w="738" w:type="pct"/>
                  <w:tcBorders>
                    <w:tl2br w:val="nil"/>
                    <w:tr2bl w:val="nil"/>
                  </w:tcBorders>
                  <w:vAlign w:val="center"/>
                </w:tcPr>
                <w:p w14:paraId="675E41DB">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i w:val="0"/>
                      <w:iCs w:val="0"/>
                      <w:color w:val="000000"/>
                      <w:kern w:val="0"/>
                      <w:sz w:val="18"/>
                      <w:szCs w:val="18"/>
                      <w:u w:val="none"/>
                      <w:lang w:val="en-US" w:eastAsia="zh-CN" w:bidi="ar"/>
                    </w:rPr>
                    <w:t>胃镜</w:t>
                  </w:r>
                </w:p>
              </w:tc>
              <w:tc>
                <w:tcPr>
                  <w:tcW w:w="960" w:type="pct"/>
                  <w:tcBorders>
                    <w:tl2br w:val="nil"/>
                    <w:tr2bl w:val="nil"/>
                  </w:tcBorders>
                  <w:vAlign w:val="center"/>
                </w:tcPr>
                <w:p w14:paraId="032A5C38">
                  <w:pPr>
                    <w:jc w:val="center"/>
                    <w:rPr>
                      <w:rFonts w:hint="default" w:ascii="Times New Roman" w:hAnsi="Times New Roman" w:eastAsia="宋体" w:cs="Times New Roman"/>
                      <w:color w:val="auto"/>
                      <w:kern w:val="2"/>
                      <w:sz w:val="18"/>
                      <w:szCs w:val="18"/>
                      <w:lang w:val="en-US" w:eastAsia="zh-CN" w:bidi="ar-SA"/>
                    </w:rPr>
                  </w:pPr>
                </w:p>
              </w:tc>
              <w:tc>
                <w:tcPr>
                  <w:tcW w:w="626" w:type="pct"/>
                  <w:tcBorders>
                    <w:tl2br w:val="nil"/>
                    <w:tr2bl w:val="nil"/>
                  </w:tcBorders>
                  <w:vAlign w:val="center"/>
                </w:tcPr>
                <w:p w14:paraId="66B8026A">
                  <w:pPr>
                    <w:keepNext w:val="0"/>
                    <w:keepLines w:val="0"/>
                    <w:widowControl/>
                    <w:suppressLineNumbers w:val="0"/>
                    <w:jc w:val="center"/>
                    <w:textAlignment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i w:val="0"/>
                      <w:iCs w:val="0"/>
                      <w:color w:val="000000"/>
                      <w:kern w:val="0"/>
                      <w:sz w:val="18"/>
                      <w:szCs w:val="18"/>
                      <w:u w:val="none"/>
                      <w:lang w:val="en-US" w:eastAsia="zh-CN" w:bidi="ar"/>
                    </w:rPr>
                    <w:t>1</w:t>
                  </w:r>
                </w:p>
              </w:tc>
              <w:tc>
                <w:tcPr>
                  <w:tcW w:w="226" w:type="pct"/>
                  <w:tcBorders>
                    <w:tl2br w:val="nil"/>
                    <w:tr2bl w:val="nil"/>
                  </w:tcBorders>
                  <w:vAlign w:val="center"/>
                </w:tcPr>
                <w:p w14:paraId="7BCE7C8B">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ascii="Times New Roman" w:hAnsi="Times New Roman" w:eastAsia="宋体" w:cs="Times New Roman"/>
                      <w:i w:val="0"/>
                      <w:iCs w:val="0"/>
                      <w:color w:val="000000"/>
                      <w:kern w:val="0"/>
                      <w:sz w:val="18"/>
                      <w:szCs w:val="18"/>
                      <w:u w:val="none"/>
                      <w:lang w:val="en-US" w:eastAsia="zh-CN" w:bidi="ar"/>
                    </w:rPr>
                    <w:t>49</w:t>
                  </w:r>
                </w:p>
              </w:tc>
              <w:tc>
                <w:tcPr>
                  <w:tcW w:w="803" w:type="pct"/>
                  <w:tcBorders>
                    <w:tl2br w:val="nil"/>
                    <w:tr2bl w:val="nil"/>
                  </w:tcBorders>
                  <w:vAlign w:val="center"/>
                </w:tcPr>
                <w:p w14:paraId="5B5839F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净化工程</w:t>
                  </w:r>
                </w:p>
              </w:tc>
              <w:tc>
                <w:tcPr>
                  <w:tcW w:w="908" w:type="pct"/>
                  <w:tcBorders>
                    <w:tl2br w:val="nil"/>
                    <w:tr2bl w:val="nil"/>
                  </w:tcBorders>
                  <w:vAlign w:val="center"/>
                </w:tcPr>
                <w:p w14:paraId="11A946B2">
                  <w:pPr>
                    <w:jc w:val="center"/>
                    <w:rPr>
                      <w:rFonts w:hint="default" w:ascii="Times New Roman" w:hAnsi="Times New Roman" w:eastAsia="宋体" w:cs="Times New Roman"/>
                      <w:i w:val="0"/>
                      <w:iCs w:val="0"/>
                      <w:color w:val="000000"/>
                      <w:kern w:val="0"/>
                      <w:sz w:val="18"/>
                      <w:szCs w:val="18"/>
                      <w:u w:val="none"/>
                      <w:lang w:val="en-US" w:eastAsia="zh-CN" w:bidi="ar"/>
                    </w:rPr>
                  </w:pPr>
                </w:p>
              </w:tc>
              <w:tc>
                <w:tcPr>
                  <w:tcW w:w="555" w:type="pct"/>
                  <w:tcBorders>
                    <w:tl2br w:val="nil"/>
                    <w:tr2bl w:val="nil"/>
                  </w:tcBorders>
                  <w:vAlign w:val="center"/>
                </w:tcPr>
                <w:p w14:paraId="22B6C09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5A3FFB0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81" w:type="pct"/>
                  <w:tcBorders>
                    <w:tl2br w:val="nil"/>
                    <w:tr2bl w:val="nil"/>
                  </w:tcBorders>
                  <w:vAlign w:val="center"/>
                </w:tcPr>
                <w:p w14:paraId="67B8736F">
                  <w:pPr>
                    <w:jc w:val="center"/>
                    <w:rPr>
                      <w:rFonts w:hint="default"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kern w:val="2"/>
                      <w:sz w:val="18"/>
                      <w:szCs w:val="18"/>
                      <w:lang w:val="en-US" w:eastAsia="zh-CN" w:bidi="ar-SA"/>
                    </w:rPr>
                    <w:t>20</w:t>
                  </w:r>
                </w:p>
              </w:tc>
              <w:tc>
                <w:tcPr>
                  <w:tcW w:w="738" w:type="pct"/>
                  <w:tcBorders>
                    <w:tl2br w:val="nil"/>
                    <w:tr2bl w:val="nil"/>
                  </w:tcBorders>
                  <w:vAlign w:val="center"/>
                </w:tcPr>
                <w:p w14:paraId="19855543">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i w:val="0"/>
                      <w:iCs w:val="0"/>
                      <w:color w:val="000000"/>
                      <w:kern w:val="0"/>
                      <w:sz w:val="18"/>
                      <w:szCs w:val="18"/>
                      <w:u w:val="none"/>
                      <w:lang w:val="en-US" w:eastAsia="zh-CN" w:bidi="ar"/>
                    </w:rPr>
                    <w:t>纤子镜</w:t>
                  </w:r>
                </w:p>
              </w:tc>
              <w:tc>
                <w:tcPr>
                  <w:tcW w:w="960" w:type="pct"/>
                  <w:tcBorders>
                    <w:tl2br w:val="nil"/>
                    <w:tr2bl w:val="nil"/>
                  </w:tcBorders>
                  <w:vAlign w:val="center"/>
                </w:tcPr>
                <w:p w14:paraId="309A7014">
                  <w:pPr>
                    <w:jc w:val="center"/>
                    <w:rPr>
                      <w:rFonts w:hint="default" w:ascii="Times New Roman" w:hAnsi="Times New Roman" w:eastAsia="宋体" w:cs="Times New Roman"/>
                      <w:color w:val="auto"/>
                      <w:kern w:val="2"/>
                      <w:sz w:val="18"/>
                      <w:szCs w:val="18"/>
                      <w:lang w:val="en-US" w:eastAsia="zh-CN" w:bidi="ar-SA"/>
                    </w:rPr>
                  </w:pPr>
                </w:p>
              </w:tc>
              <w:tc>
                <w:tcPr>
                  <w:tcW w:w="626" w:type="pct"/>
                  <w:tcBorders>
                    <w:tl2br w:val="nil"/>
                    <w:tr2bl w:val="nil"/>
                  </w:tcBorders>
                  <w:vAlign w:val="center"/>
                </w:tcPr>
                <w:p w14:paraId="274DC809">
                  <w:pPr>
                    <w:keepNext w:val="0"/>
                    <w:keepLines w:val="0"/>
                    <w:widowControl/>
                    <w:suppressLineNumbers w:val="0"/>
                    <w:jc w:val="center"/>
                    <w:textAlignment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i w:val="0"/>
                      <w:iCs w:val="0"/>
                      <w:color w:val="000000"/>
                      <w:kern w:val="0"/>
                      <w:sz w:val="18"/>
                      <w:szCs w:val="18"/>
                      <w:u w:val="none"/>
                      <w:lang w:val="en-US" w:eastAsia="zh-CN" w:bidi="ar"/>
                    </w:rPr>
                    <w:t>1</w:t>
                  </w:r>
                </w:p>
              </w:tc>
              <w:tc>
                <w:tcPr>
                  <w:tcW w:w="226" w:type="pct"/>
                  <w:tcBorders>
                    <w:tl2br w:val="nil"/>
                    <w:tr2bl w:val="nil"/>
                  </w:tcBorders>
                  <w:vAlign w:val="center"/>
                </w:tcPr>
                <w:p w14:paraId="23A78DF8">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ascii="Times New Roman" w:hAnsi="Times New Roman" w:eastAsia="宋体" w:cs="Times New Roman"/>
                      <w:i w:val="0"/>
                      <w:iCs w:val="0"/>
                      <w:color w:val="000000"/>
                      <w:kern w:val="0"/>
                      <w:sz w:val="18"/>
                      <w:szCs w:val="18"/>
                      <w:u w:val="none"/>
                      <w:lang w:val="en-US" w:eastAsia="zh-CN" w:bidi="ar"/>
                    </w:rPr>
                    <w:t>50</w:t>
                  </w:r>
                </w:p>
              </w:tc>
              <w:tc>
                <w:tcPr>
                  <w:tcW w:w="803" w:type="pct"/>
                  <w:tcBorders>
                    <w:tl2br w:val="nil"/>
                    <w:tr2bl w:val="nil"/>
                  </w:tcBorders>
                  <w:vAlign w:val="center"/>
                </w:tcPr>
                <w:p w14:paraId="59BBC3FA">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吊桥</w:t>
                  </w:r>
                </w:p>
              </w:tc>
              <w:tc>
                <w:tcPr>
                  <w:tcW w:w="908" w:type="pct"/>
                  <w:tcBorders>
                    <w:tl2br w:val="nil"/>
                    <w:tr2bl w:val="nil"/>
                  </w:tcBorders>
                  <w:vAlign w:val="center"/>
                </w:tcPr>
                <w:p w14:paraId="1209131B">
                  <w:pPr>
                    <w:jc w:val="center"/>
                    <w:rPr>
                      <w:rFonts w:hint="default" w:ascii="Times New Roman" w:hAnsi="Times New Roman" w:eastAsia="宋体" w:cs="Times New Roman"/>
                      <w:i w:val="0"/>
                      <w:iCs w:val="0"/>
                      <w:color w:val="000000"/>
                      <w:kern w:val="0"/>
                      <w:sz w:val="18"/>
                      <w:szCs w:val="18"/>
                      <w:u w:val="none"/>
                      <w:lang w:val="en-US" w:eastAsia="zh-CN" w:bidi="ar"/>
                    </w:rPr>
                  </w:pPr>
                </w:p>
              </w:tc>
              <w:tc>
                <w:tcPr>
                  <w:tcW w:w="555" w:type="pct"/>
                  <w:tcBorders>
                    <w:tl2br w:val="nil"/>
                    <w:tr2bl w:val="nil"/>
                  </w:tcBorders>
                  <w:vAlign w:val="center"/>
                </w:tcPr>
                <w:p w14:paraId="7A7C90D7">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8</w:t>
                  </w:r>
                </w:p>
              </w:tc>
            </w:tr>
            <w:tr w14:paraId="203256F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81" w:type="pct"/>
                  <w:tcBorders>
                    <w:tl2br w:val="nil"/>
                    <w:tr2bl w:val="nil"/>
                  </w:tcBorders>
                  <w:vAlign w:val="center"/>
                </w:tcPr>
                <w:p w14:paraId="1473D350">
                  <w:pPr>
                    <w:jc w:val="center"/>
                    <w:rPr>
                      <w:rFonts w:hint="default"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kern w:val="2"/>
                      <w:sz w:val="18"/>
                      <w:szCs w:val="18"/>
                      <w:lang w:val="en-US" w:eastAsia="zh-CN" w:bidi="ar-SA"/>
                    </w:rPr>
                    <w:t>21</w:t>
                  </w:r>
                </w:p>
              </w:tc>
              <w:tc>
                <w:tcPr>
                  <w:tcW w:w="738" w:type="pct"/>
                  <w:tcBorders>
                    <w:tl2br w:val="nil"/>
                    <w:tr2bl w:val="nil"/>
                  </w:tcBorders>
                  <w:vAlign w:val="center"/>
                </w:tcPr>
                <w:p w14:paraId="7D3662AA">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空气净化消毒器</w:t>
                  </w:r>
                </w:p>
              </w:tc>
              <w:tc>
                <w:tcPr>
                  <w:tcW w:w="960" w:type="pct"/>
                  <w:tcBorders>
                    <w:tl2br w:val="nil"/>
                    <w:tr2bl w:val="nil"/>
                  </w:tcBorders>
                  <w:vAlign w:val="center"/>
                </w:tcPr>
                <w:p w14:paraId="07F3DEC0">
                  <w:pPr>
                    <w:jc w:val="center"/>
                    <w:rPr>
                      <w:rFonts w:hint="default" w:ascii="Times New Roman" w:hAnsi="Times New Roman" w:eastAsia="宋体" w:cs="Times New Roman"/>
                      <w:color w:val="auto"/>
                      <w:kern w:val="2"/>
                      <w:sz w:val="18"/>
                      <w:szCs w:val="18"/>
                      <w:lang w:val="en-US" w:eastAsia="zh-CN" w:bidi="ar-SA"/>
                    </w:rPr>
                  </w:pPr>
                </w:p>
              </w:tc>
              <w:tc>
                <w:tcPr>
                  <w:tcW w:w="626" w:type="pct"/>
                  <w:tcBorders>
                    <w:tl2br w:val="nil"/>
                    <w:tr2bl w:val="nil"/>
                  </w:tcBorders>
                  <w:vAlign w:val="center"/>
                </w:tcPr>
                <w:p w14:paraId="61C0A227">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6</w:t>
                  </w:r>
                </w:p>
              </w:tc>
              <w:tc>
                <w:tcPr>
                  <w:tcW w:w="226" w:type="pct"/>
                  <w:tcBorders>
                    <w:tl2br w:val="nil"/>
                    <w:tr2bl w:val="nil"/>
                  </w:tcBorders>
                  <w:vAlign w:val="center"/>
                </w:tcPr>
                <w:p w14:paraId="1061569C">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ascii="Times New Roman" w:hAnsi="Times New Roman" w:eastAsia="宋体" w:cs="Times New Roman"/>
                      <w:i w:val="0"/>
                      <w:iCs w:val="0"/>
                      <w:color w:val="000000"/>
                      <w:kern w:val="0"/>
                      <w:sz w:val="18"/>
                      <w:szCs w:val="18"/>
                      <w:u w:val="none"/>
                      <w:lang w:val="en-US" w:eastAsia="zh-CN" w:bidi="ar"/>
                    </w:rPr>
                    <w:t>51</w:t>
                  </w:r>
                </w:p>
              </w:tc>
              <w:tc>
                <w:tcPr>
                  <w:tcW w:w="803" w:type="pct"/>
                  <w:tcBorders>
                    <w:tl2br w:val="nil"/>
                    <w:tr2bl w:val="nil"/>
                  </w:tcBorders>
                  <w:vAlign w:val="center"/>
                </w:tcPr>
                <w:p w14:paraId="33E92894">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手术床</w:t>
                  </w:r>
                </w:p>
              </w:tc>
              <w:tc>
                <w:tcPr>
                  <w:tcW w:w="908" w:type="pct"/>
                  <w:tcBorders>
                    <w:tl2br w:val="nil"/>
                    <w:tr2bl w:val="nil"/>
                  </w:tcBorders>
                  <w:vAlign w:val="center"/>
                </w:tcPr>
                <w:p w14:paraId="5A44F73E">
                  <w:pPr>
                    <w:jc w:val="center"/>
                    <w:rPr>
                      <w:rFonts w:hint="default" w:ascii="Times New Roman" w:hAnsi="Times New Roman" w:eastAsia="宋体" w:cs="Times New Roman"/>
                      <w:i w:val="0"/>
                      <w:iCs w:val="0"/>
                      <w:color w:val="000000"/>
                      <w:kern w:val="0"/>
                      <w:sz w:val="18"/>
                      <w:szCs w:val="18"/>
                      <w:u w:val="none"/>
                      <w:lang w:val="en-US" w:eastAsia="zh-CN" w:bidi="ar"/>
                    </w:rPr>
                  </w:pPr>
                </w:p>
              </w:tc>
              <w:tc>
                <w:tcPr>
                  <w:tcW w:w="555" w:type="pct"/>
                  <w:tcBorders>
                    <w:tl2br w:val="nil"/>
                    <w:tr2bl w:val="nil"/>
                  </w:tcBorders>
                  <w:vAlign w:val="center"/>
                </w:tcPr>
                <w:p w14:paraId="62E91F4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6</w:t>
                  </w:r>
                </w:p>
              </w:tc>
            </w:tr>
            <w:tr w14:paraId="78464C6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81" w:type="pct"/>
                  <w:tcBorders>
                    <w:tl2br w:val="nil"/>
                    <w:tr2bl w:val="nil"/>
                  </w:tcBorders>
                  <w:vAlign w:val="center"/>
                </w:tcPr>
                <w:p w14:paraId="46D95F78">
                  <w:pPr>
                    <w:jc w:val="center"/>
                    <w:rPr>
                      <w:rFonts w:hint="default"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kern w:val="2"/>
                      <w:sz w:val="18"/>
                      <w:szCs w:val="18"/>
                      <w:lang w:val="en-US" w:eastAsia="zh-CN" w:bidi="ar-SA"/>
                    </w:rPr>
                    <w:t>22</w:t>
                  </w:r>
                </w:p>
              </w:tc>
              <w:tc>
                <w:tcPr>
                  <w:tcW w:w="738" w:type="pct"/>
                  <w:tcBorders>
                    <w:tl2br w:val="nil"/>
                    <w:tr2bl w:val="nil"/>
                  </w:tcBorders>
                  <w:vAlign w:val="center"/>
                </w:tcPr>
                <w:p w14:paraId="5BFC27D6">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净化工程</w:t>
                  </w:r>
                </w:p>
              </w:tc>
              <w:tc>
                <w:tcPr>
                  <w:tcW w:w="960" w:type="pct"/>
                  <w:tcBorders>
                    <w:tl2br w:val="nil"/>
                    <w:tr2bl w:val="nil"/>
                  </w:tcBorders>
                  <w:vAlign w:val="center"/>
                </w:tcPr>
                <w:p w14:paraId="7C9A5900">
                  <w:pPr>
                    <w:jc w:val="center"/>
                    <w:rPr>
                      <w:rFonts w:hint="default" w:ascii="Times New Roman" w:hAnsi="Times New Roman" w:eastAsia="宋体" w:cs="Times New Roman"/>
                      <w:color w:val="auto"/>
                      <w:kern w:val="2"/>
                      <w:sz w:val="18"/>
                      <w:szCs w:val="18"/>
                      <w:lang w:val="en-US" w:eastAsia="zh-CN" w:bidi="ar-SA"/>
                    </w:rPr>
                  </w:pPr>
                </w:p>
              </w:tc>
              <w:tc>
                <w:tcPr>
                  <w:tcW w:w="626" w:type="pct"/>
                  <w:tcBorders>
                    <w:tl2br w:val="nil"/>
                    <w:tr2bl w:val="nil"/>
                  </w:tcBorders>
                  <w:vAlign w:val="center"/>
                </w:tcPr>
                <w:p w14:paraId="197B4355">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1</w:t>
                  </w:r>
                </w:p>
              </w:tc>
              <w:tc>
                <w:tcPr>
                  <w:tcW w:w="226" w:type="pct"/>
                  <w:tcBorders>
                    <w:tl2br w:val="nil"/>
                    <w:tr2bl w:val="nil"/>
                  </w:tcBorders>
                  <w:vAlign w:val="center"/>
                </w:tcPr>
                <w:p w14:paraId="3F31786F">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ascii="Times New Roman" w:hAnsi="Times New Roman" w:eastAsia="宋体" w:cs="Times New Roman"/>
                      <w:i w:val="0"/>
                      <w:iCs w:val="0"/>
                      <w:color w:val="000000"/>
                      <w:kern w:val="0"/>
                      <w:sz w:val="18"/>
                      <w:szCs w:val="18"/>
                      <w:u w:val="none"/>
                      <w:lang w:val="en-US" w:eastAsia="zh-CN" w:bidi="ar"/>
                    </w:rPr>
                    <w:t>52</w:t>
                  </w:r>
                </w:p>
              </w:tc>
              <w:tc>
                <w:tcPr>
                  <w:tcW w:w="803" w:type="pct"/>
                  <w:tcBorders>
                    <w:tl2br w:val="nil"/>
                    <w:tr2bl w:val="nil"/>
                  </w:tcBorders>
                  <w:vAlign w:val="center"/>
                </w:tcPr>
                <w:p w14:paraId="7BCE02B0">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呼吸机</w:t>
                  </w:r>
                </w:p>
              </w:tc>
              <w:tc>
                <w:tcPr>
                  <w:tcW w:w="908" w:type="pct"/>
                  <w:tcBorders>
                    <w:tl2br w:val="nil"/>
                    <w:tr2bl w:val="nil"/>
                  </w:tcBorders>
                  <w:vAlign w:val="center"/>
                </w:tcPr>
                <w:p w14:paraId="7E34A4AD">
                  <w:pPr>
                    <w:jc w:val="center"/>
                    <w:rPr>
                      <w:rFonts w:hint="default" w:ascii="Times New Roman" w:hAnsi="Times New Roman" w:eastAsia="宋体" w:cs="Times New Roman"/>
                      <w:i w:val="0"/>
                      <w:iCs w:val="0"/>
                      <w:color w:val="000000"/>
                      <w:kern w:val="0"/>
                      <w:sz w:val="18"/>
                      <w:szCs w:val="18"/>
                      <w:u w:val="none"/>
                      <w:lang w:val="en-US" w:eastAsia="zh-CN" w:bidi="ar"/>
                    </w:rPr>
                  </w:pPr>
                </w:p>
              </w:tc>
              <w:tc>
                <w:tcPr>
                  <w:tcW w:w="555" w:type="pct"/>
                  <w:tcBorders>
                    <w:tl2br w:val="nil"/>
                    <w:tr2bl w:val="nil"/>
                  </w:tcBorders>
                  <w:vAlign w:val="center"/>
                </w:tcPr>
                <w:p w14:paraId="01789B27">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6</w:t>
                  </w:r>
                </w:p>
              </w:tc>
            </w:tr>
            <w:tr w14:paraId="6DB86A2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81" w:type="pct"/>
                  <w:tcBorders>
                    <w:tl2br w:val="nil"/>
                    <w:tr2bl w:val="nil"/>
                  </w:tcBorders>
                  <w:vAlign w:val="center"/>
                </w:tcPr>
                <w:p w14:paraId="329C7F7D">
                  <w:pPr>
                    <w:jc w:val="center"/>
                    <w:rPr>
                      <w:rFonts w:hint="default"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kern w:val="2"/>
                      <w:sz w:val="18"/>
                      <w:szCs w:val="18"/>
                      <w:lang w:val="en-US" w:eastAsia="zh-CN" w:bidi="ar-SA"/>
                    </w:rPr>
                    <w:t>23</w:t>
                  </w:r>
                </w:p>
              </w:tc>
              <w:tc>
                <w:tcPr>
                  <w:tcW w:w="738" w:type="pct"/>
                  <w:tcBorders>
                    <w:tl2br w:val="nil"/>
                    <w:tr2bl w:val="nil"/>
                  </w:tcBorders>
                  <w:vAlign w:val="center"/>
                </w:tcPr>
                <w:p w14:paraId="4C098206">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吊桥</w:t>
                  </w:r>
                </w:p>
              </w:tc>
              <w:tc>
                <w:tcPr>
                  <w:tcW w:w="960" w:type="pct"/>
                  <w:tcBorders>
                    <w:tl2br w:val="nil"/>
                    <w:tr2bl w:val="nil"/>
                  </w:tcBorders>
                  <w:vAlign w:val="center"/>
                </w:tcPr>
                <w:p w14:paraId="7BBA7FBE">
                  <w:pPr>
                    <w:jc w:val="center"/>
                    <w:rPr>
                      <w:rFonts w:hint="default" w:ascii="Times New Roman" w:hAnsi="Times New Roman" w:eastAsia="宋体" w:cs="Times New Roman"/>
                      <w:color w:val="auto"/>
                      <w:kern w:val="2"/>
                      <w:sz w:val="18"/>
                      <w:szCs w:val="18"/>
                      <w:lang w:val="en-US" w:eastAsia="zh-CN" w:bidi="ar-SA"/>
                    </w:rPr>
                  </w:pPr>
                </w:p>
              </w:tc>
              <w:tc>
                <w:tcPr>
                  <w:tcW w:w="626" w:type="pct"/>
                  <w:tcBorders>
                    <w:tl2br w:val="nil"/>
                    <w:tr2bl w:val="nil"/>
                  </w:tcBorders>
                  <w:vAlign w:val="center"/>
                </w:tcPr>
                <w:p w14:paraId="6F0FBB5B">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8</w:t>
                  </w:r>
                </w:p>
              </w:tc>
              <w:tc>
                <w:tcPr>
                  <w:tcW w:w="226" w:type="pct"/>
                  <w:tcBorders>
                    <w:tl2br w:val="nil"/>
                    <w:tr2bl w:val="nil"/>
                  </w:tcBorders>
                  <w:vAlign w:val="center"/>
                </w:tcPr>
                <w:p w14:paraId="3CA843A3">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ascii="Times New Roman" w:hAnsi="Times New Roman" w:eastAsia="宋体" w:cs="Times New Roman"/>
                      <w:i w:val="0"/>
                      <w:iCs w:val="0"/>
                      <w:color w:val="000000"/>
                      <w:kern w:val="0"/>
                      <w:sz w:val="18"/>
                      <w:szCs w:val="18"/>
                      <w:u w:val="none"/>
                      <w:lang w:val="en-US" w:eastAsia="zh-CN" w:bidi="ar"/>
                    </w:rPr>
                    <w:t>53</w:t>
                  </w:r>
                </w:p>
              </w:tc>
              <w:tc>
                <w:tcPr>
                  <w:tcW w:w="803" w:type="pct"/>
                  <w:tcBorders>
                    <w:tl2br w:val="nil"/>
                    <w:tr2bl w:val="nil"/>
                  </w:tcBorders>
                  <w:vAlign w:val="center"/>
                </w:tcPr>
                <w:p w14:paraId="201BB71F">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麻醉机</w:t>
                  </w:r>
                </w:p>
              </w:tc>
              <w:tc>
                <w:tcPr>
                  <w:tcW w:w="908" w:type="pct"/>
                  <w:tcBorders>
                    <w:tl2br w:val="nil"/>
                    <w:tr2bl w:val="nil"/>
                  </w:tcBorders>
                  <w:vAlign w:val="center"/>
                </w:tcPr>
                <w:p w14:paraId="51754EE7">
                  <w:pPr>
                    <w:jc w:val="center"/>
                    <w:rPr>
                      <w:rFonts w:hint="default" w:ascii="Times New Roman" w:hAnsi="Times New Roman" w:eastAsia="宋体" w:cs="Times New Roman"/>
                      <w:i w:val="0"/>
                      <w:iCs w:val="0"/>
                      <w:color w:val="000000"/>
                      <w:kern w:val="0"/>
                      <w:sz w:val="18"/>
                      <w:szCs w:val="18"/>
                      <w:u w:val="none"/>
                      <w:lang w:val="en-US" w:eastAsia="zh-CN" w:bidi="ar"/>
                    </w:rPr>
                  </w:pPr>
                </w:p>
              </w:tc>
              <w:tc>
                <w:tcPr>
                  <w:tcW w:w="555" w:type="pct"/>
                  <w:tcBorders>
                    <w:tl2br w:val="nil"/>
                    <w:tr2bl w:val="nil"/>
                  </w:tcBorders>
                  <w:vAlign w:val="center"/>
                </w:tcPr>
                <w:p w14:paraId="635CDD9A">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6</w:t>
                  </w:r>
                </w:p>
              </w:tc>
            </w:tr>
            <w:tr w14:paraId="1E8CF29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81" w:type="pct"/>
                  <w:tcBorders>
                    <w:tl2br w:val="nil"/>
                    <w:tr2bl w:val="nil"/>
                  </w:tcBorders>
                  <w:vAlign w:val="center"/>
                </w:tcPr>
                <w:p w14:paraId="5C1693D7">
                  <w:pPr>
                    <w:jc w:val="center"/>
                    <w:rPr>
                      <w:rFonts w:hint="default"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kern w:val="2"/>
                      <w:sz w:val="18"/>
                      <w:szCs w:val="18"/>
                      <w:lang w:val="en-US" w:eastAsia="zh-CN" w:bidi="ar-SA"/>
                    </w:rPr>
                    <w:t>24</w:t>
                  </w:r>
                </w:p>
              </w:tc>
              <w:tc>
                <w:tcPr>
                  <w:tcW w:w="738" w:type="pct"/>
                  <w:tcBorders>
                    <w:tl2br w:val="nil"/>
                    <w:tr2bl w:val="nil"/>
                  </w:tcBorders>
                  <w:vAlign w:val="center"/>
                </w:tcPr>
                <w:p w14:paraId="00E4AF08">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空气净化消毒器</w:t>
                  </w:r>
                </w:p>
              </w:tc>
              <w:tc>
                <w:tcPr>
                  <w:tcW w:w="960" w:type="pct"/>
                  <w:tcBorders>
                    <w:tl2br w:val="nil"/>
                    <w:tr2bl w:val="nil"/>
                  </w:tcBorders>
                  <w:vAlign w:val="center"/>
                </w:tcPr>
                <w:p w14:paraId="40EE2C71">
                  <w:pPr>
                    <w:jc w:val="center"/>
                    <w:rPr>
                      <w:rFonts w:hint="default" w:ascii="Times New Roman" w:hAnsi="Times New Roman" w:eastAsia="宋体" w:cs="Times New Roman"/>
                      <w:color w:val="auto"/>
                      <w:kern w:val="2"/>
                      <w:sz w:val="18"/>
                      <w:szCs w:val="18"/>
                      <w:lang w:val="en-US" w:eastAsia="zh-CN" w:bidi="ar-SA"/>
                    </w:rPr>
                  </w:pPr>
                </w:p>
              </w:tc>
              <w:tc>
                <w:tcPr>
                  <w:tcW w:w="626" w:type="pct"/>
                  <w:tcBorders>
                    <w:tl2br w:val="nil"/>
                    <w:tr2bl w:val="nil"/>
                  </w:tcBorders>
                  <w:vAlign w:val="center"/>
                </w:tcPr>
                <w:p w14:paraId="686AD117">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6</w:t>
                  </w:r>
                </w:p>
              </w:tc>
              <w:tc>
                <w:tcPr>
                  <w:tcW w:w="226" w:type="pct"/>
                  <w:tcBorders>
                    <w:tl2br w:val="nil"/>
                    <w:tr2bl w:val="nil"/>
                  </w:tcBorders>
                  <w:vAlign w:val="center"/>
                </w:tcPr>
                <w:p w14:paraId="6EA2803E">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ascii="Times New Roman" w:hAnsi="Times New Roman" w:eastAsia="宋体" w:cs="Times New Roman"/>
                      <w:i w:val="0"/>
                      <w:iCs w:val="0"/>
                      <w:color w:val="000000"/>
                      <w:kern w:val="0"/>
                      <w:sz w:val="18"/>
                      <w:szCs w:val="18"/>
                      <w:u w:val="none"/>
                      <w:lang w:val="en-US" w:eastAsia="zh-CN" w:bidi="ar"/>
                    </w:rPr>
                    <w:t>54</w:t>
                  </w:r>
                </w:p>
              </w:tc>
              <w:tc>
                <w:tcPr>
                  <w:tcW w:w="803" w:type="pct"/>
                  <w:tcBorders>
                    <w:tl2br w:val="nil"/>
                    <w:tr2bl w:val="nil"/>
                  </w:tcBorders>
                  <w:vAlign w:val="center"/>
                </w:tcPr>
                <w:p w14:paraId="5ACDB754">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中心供氧吸引系统</w:t>
                  </w:r>
                </w:p>
              </w:tc>
              <w:tc>
                <w:tcPr>
                  <w:tcW w:w="908" w:type="pct"/>
                  <w:tcBorders>
                    <w:tl2br w:val="nil"/>
                    <w:tr2bl w:val="nil"/>
                  </w:tcBorders>
                  <w:vAlign w:val="center"/>
                </w:tcPr>
                <w:p w14:paraId="17DA13C9">
                  <w:pPr>
                    <w:jc w:val="center"/>
                    <w:rPr>
                      <w:rFonts w:hint="default" w:ascii="Times New Roman" w:hAnsi="Times New Roman" w:eastAsia="宋体" w:cs="Times New Roman"/>
                      <w:i w:val="0"/>
                      <w:iCs w:val="0"/>
                      <w:color w:val="000000"/>
                      <w:kern w:val="0"/>
                      <w:sz w:val="18"/>
                      <w:szCs w:val="18"/>
                      <w:u w:val="none"/>
                      <w:lang w:val="en-US" w:eastAsia="zh-CN" w:bidi="ar"/>
                    </w:rPr>
                  </w:pPr>
                </w:p>
              </w:tc>
              <w:tc>
                <w:tcPr>
                  <w:tcW w:w="555" w:type="pct"/>
                  <w:tcBorders>
                    <w:tl2br w:val="nil"/>
                    <w:tr2bl w:val="nil"/>
                  </w:tcBorders>
                  <w:vAlign w:val="center"/>
                </w:tcPr>
                <w:p w14:paraId="2962C80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17D69DC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81" w:type="pct"/>
                  <w:tcBorders>
                    <w:tl2br w:val="nil"/>
                    <w:tr2bl w:val="nil"/>
                  </w:tcBorders>
                  <w:vAlign w:val="center"/>
                </w:tcPr>
                <w:p w14:paraId="50A68D66">
                  <w:pPr>
                    <w:jc w:val="center"/>
                    <w:rPr>
                      <w:rFonts w:hint="default"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kern w:val="2"/>
                      <w:sz w:val="18"/>
                      <w:szCs w:val="18"/>
                      <w:lang w:val="en-US" w:eastAsia="zh-CN" w:bidi="ar-SA"/>
                    </w:rPr>
                    <w:t>25</w:t>
                  </w:r>
                </w:p>
              </w:tc>
              <w:tc>
                <w:tcPr>
                  <w:tcW w:w="738" w:type="pct"/>
                  <w:tcBorders>
                    <w:tl2br w:val="nil"/>
                    <w:tr2bl w:val="nil"/>
                  </w:tcBorders>
                  <w:vAlign w:val="center"/>
                </w:tcPr>
                <w:p w14:paraId="3F0AD30F">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净化工程</w:t>
                  </w:r>
                </w:p>
              </w:tc>
              <w:tc>
                <w:tcPr>
                  <w:tcW w:w="960" w:type="pct"/>
                  <w:tcBorders>
                    <w:tl2br w:val="nil"/>
                    <w:tr2bl w:val="nil"/>
                  </w:tcBorders>
                  <w:vAlign w:val="center"/>
                </w:tcPr>
                <w:p w14:paraId="6FD15B84">
                  <w:pPr>
                    <w:jc w:val="center"/>
                    <w:rPr>
                      <w:rFonts w:hint="default" w:ascii="Times New Roman" w:hAnsi="Times New Roman" w:eastAsia="宋体" w:cs="Times New Roman"/>
                      <w:color w:val="auto"/>
                      <w:kern w:val="2"/>
                      <w:sz w:val="18"/>
                      <w:szCs w:val="18"/>
                      <w:lang w:val="en-US" w:eastAsia="zh-CN" w:bidi="ar-SA"/>
                    </w:rPr>
                  </w:pPr>
                </w:p>
              </w:tc>
              <w:tc>
                <w:tcPr>
                  <w:tcW w:w="626" w:type="pct"/>
                  <w:tcBorders>
                    <w:tl2br w:val="nil"/>
                    <w:tr2bl w:val="nil"/>
                  </w:tcBorders>
                  <w:vAlign w:val="center"/>
                </w:tcPr>
                <w:p w14:paraId="0F92A99C">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1</w:t>
                  </w:r>
                </w:p>
              </w:tc>
              <w:tc>
                <w:tcPr>
                  <w:tcW w:w="226" w:type="pct"/>
                  <w:tcBorders>
                    <w:tl2br w:val="nil"/>
                    <w:tr2bl w:val="nil"/>
                  </w:tcBorders>
                  <w:vAlign w:val="center"/>
                </w:tcPr>
                <w:p w14:paraId="14BC874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ascii="Times New Roman" w:hAnsi="Times New Roman" w:eastAsia="宋体" w:cs="Times New Roman"/>
                      <w:i w:val="0"/>
                      <w:iCs w:val="0"/>
                      <w:color w:val="000000"/>
                      <w:kern w:val="0"/>
                      <w:sz w:val="18"/>
                      <w:szCs w:val="18"/>
                      <w:u w:val="none"/>
                      <w:lang w:val="en-US" w:eastAsia="zh-CN" w:bidi="ar"/>
                    </w:rPr>
                    <w:t>55</w:t>
                  </w:r>
                </w:p>
              </w:tc>
              <w:tc>
                <w:tcPr>
                  <w:tcW w:w="803" w:type="pct"/>
                  <w:tcBorders>
                    <w:tl2br w:val="nil"/>
                    <w:tr2bl w:val="nil"/>
                  </w:tcBorders>
                  <w:vAlign w:val="center"/>
                </w:tcPr>
                <w:p w14:paraId="046EE152">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5立方液氧储罐</w:t>
                  </w:r>
                </w:p>
              </w:tc>
              <w:tc>
                <w:tcPr>
                  <w:tcW w:w="908" w:type="pct"/>
                  <w:tcBorders>
                    <w:tl2br w:val="nil"/>
                    <w:tr2bl w:val="nil"/>
                  </w:tcBorders>
                  <w:vAlign w:val="center"/>
                </w:tcPr>
                <w:p w14:paraId="14DF9FD2">
                  <w:pPr>
                    <w:jc w:val="center"/>
                    <w:rPr>
                      <w:rFonts w:hint="default" w:ascii="Times New Roman" w:hAnsi="Times New Roman" w:eastAsia="宋体" w:cs="Times New Roman"/>
                      <w:i w:val="0"/>
                      <w:iCs w:val="0"/>
                      <w:color w:val="000000"/>
                      <w:kern w:val="0"/>
                      <w:sz w:val="18"/>
                      <w:szCs w:val="18"/>
                      <w:u w:val="none"/>
                      <w:lang w:val="en-US" w:eastAsia="zh-CN" w:bidi="ar"/>
                    </w:rPr>
                  </w:pPr>
                </w:p>
              </w:tc>
              <w:tc>
                <w:tcPr>
                  <w:tcW w:w="555" w:type="pct"/>
                  <w:tcBorders>
                    <w:tl2br w:val="nil"/>
                    <w:tr2bl w:val="nil"/>
                  </w:tcBorders>
                  <w:vAlign w:val="center"/>
                </w:tcPr>
                <w:p w14:paraId="3A6748F3">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2</w:t>
                  </w:r>
                </w:p>
              </w:tc>
            </w:tr>
            <w:tr w14:paraId="41DC7C0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81" w:type="pct"/>
                  <w:tcBorders>
                    <w:tl2br w:val="nil"/>
                    <w:tr2bl w:val="nil"/>
                  </w:tcBorders>
                  <w:vAlign w:val="center"/>
                </w:tcPr>
                <w:p w14:paraId="295BF8C2">
                  <w:pPr>
                    <w:jc w:val="center"/>
                    <w:rPr>
                      <w:rFonts w:hint="default"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kern w:val="2"/>
                      <w:sz w:val="18"/>
                      <w:szCs w:val="18"/>
                      <w:lang w:val="en-US" w:eastAsia="zh-CN" w:bidi="ar-SA"/>
                    </w:rPr>
                    <w:t>26</w:t>
                  </w:r>
                </w:p>
              </w:tc>
              <w:tc>
                <w:tcPr>
                  <w:tcW w:w="738" w:type="pct"/>
                  <w:tcBorders>
                    <w:tl2br w:val="nil"/>
                    <w:tr2bl w:val="nil"/>
                  </w:tcBorders>
                  <w:vAlign w:val="center"/>
                </w:tcPr>
                <w:p w14:paraId="1CD8E5AE">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DSA血管造影</w:t>
                  </w:r>
                </w:p>
              </w:tc>
              <w:tc>
                <w:tcPr>
                  <w:tcW w:w="960" w:type="pct"/>
                  <w:tcBorders>
                    <w:tl2br w:val="nil"/>
                    <w:tr2bl w:val="nil"/>
                  </w:tcBorders>
                  <w:vAlign w:val="center"/>
                </w:tcPr>
                <w:p w14:paraId="43119F68">
                  <w:pPr>
                    <w:jc w:val="center"/>
                    <w:rPr>
                      <w:rFonts w:hint="default" w:ascii="Times New Roman" w:hAnsi="Times New Roman" w:eastAsia="宋体" w:cs="Times New Roman"/>
                      <w:color w:val="auto"/>
                      <w:kern w:val="2"/>
                      <w:sz w:val="18"/>
                      <w:szCs w:val="18"/>
                      <w:lang w:val="en-US" w:eastAsia="zh-CN" w:bidi="ar-SA"/>
                    </w:rPr>
                  </w:pPr>
                </w:p>
              </w:tc>
              <w:tc>
                <w:tcPr>
                  <w:tcW w:w="626" w:type="pct"/>
                  <w:tcBorders>
                    <w:tl2br w:val="nil"/>
                    <w:tr2bl w:val="nil"/>
                  </w:tcBorders>
                  <w:vAlign w:val="center"/>
                </w:tcPr>
                <w:p w14:paraId="12BB7861">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1</w:t>
                  </w:r>
                </w:p>
              </w:tc>
              <w:tc>
                <w:tcPr>
                  <w:tcW w:w="226" w:type="pct"/>
                  <w:tcBorders>
                    <w:tl2br w:val="nil"/>
                    <w:tr2bl w:val="nil"/>
                  </w:tcBorders>
                  <w:vAlign w:val="center"/>
                </w:tcPr>
                <w:p w14:paraId="1D10735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ascii="Times New Roman" w:hAnsi="Times New Roman" w:eastAsia="宋体" w:cs="Times New Roman"/>
                      <w:i w:val="0"/>
                      <w:iCs w:val="0"/>
                      <w:color w:val="000000"/>
                      <w:kern w:val="0"/>
                      <w:sz w:val="18"/>
                      <w:szCs w:val="18"/>
                      <w:u w:val="none"/>
                      <w:lang w:val="en-US" w:eastAsia="zh-CN" w:bidi="ar"/>
                    </w:rPr>
                    <w:t>56</w:t>
                  </w:r>
                </w:p>
              </w:tc>
              <w:tc>
                <w:tcPr>
                  <w:tcW w:w="803" w:type="pct"/>
                  <w:tcBorders>
                    <w:tl2br w:val="nil"/>
                    <w:tr2bl w:val="nil"/>
                  </w:tcBorders>
                  <w:vAlign w:val="center"/>
                </w:tcPr>
                <w:p w14:paraId="7B683EC6">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吸引设备</w:t>
                  </w:r>
                </w:p>
              </w:tc>
              <w:tc>
                <w:tcPr>
                  <w:tcW w:w="908" w:type="pct"/>
                  <w:tcBorders>
                    <w:tl2br w:val="nil"/>
                    <w:tr2bl w:val="nil"/>
                  </w:tcBorders>
                  <w:vAlign w:val="center"/>
                </w:tcPr>
                <w:p w14:paraId="7AC2B44E">
                  <w:pPr>
                    <w:jc w:val="center"/>
                    <w:rPr>
                      <w:rFonts w:hint="default" w:ascii="Times New Roman" w:hAnsi="Times New Roman" w:eastAsia="宋体" w:cs="Times New Roman"/>
                      <w:i w:val="0"/>
                      <w:iCs w:val="0"/>
                      <w:color w:val="000000"/>
                      <w:kern w:val="0"/>
                      <w:sz w:val="18"/>
                      <w:szCs w:val="18"/>
                      <w:u w:val="none"/>
                      <w:lang w:val="en-US" w:eastAsia="zh-CN" w:bidi="ar"/>
                    </w:rPr>
                  </w:pPr>
                </w:p>
              </w:tc>
              <w:tc>
                <w:tcPr>
                  <w:tcW w:w="555" w:type="pct"/>
                  <w:tcBorders>
                    <w:tl2br w:val="nil"/>
                    <w:tr2bl w:val="nil"/>
                  </w:tcBorders>
                  <w:vAlign w:val="center"/>
                </w:tcPr>
                <w:p w14:paraId="083F9F67">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47758FC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81" w:type="pct"/>
                  <w:tcBorders>
                    <w:tl2br w:val="nil"/>
                    <w:tr2bl w:val="nil"/>
                  </w:tcBorders>
                  <w:vAlign w:val="center"/>
                </w:tcPr>
                <w:p w14:paraId="089AD9EE">
                  <w:pPr>
                    <w:jc w:val="center"/>
                    <w:rPr>
                      <w:rFonts w:hint="default"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kern w:val="2"/>
                      <w:sz w:val="18"/>
                      <w:szCs w:val="18"/>
                      <w:lang w:val="en-US" w:eastAsia="zh-CN" w:bidi="ar-SA"/>
                    </w:rPr>
                    <w:t>27</w:t>
                  </w:r>
                </w:p>
              </w:tc>
              <w:tc>
                <w:tcPr>
                  <w:tcW w:w="738" w:type="pct"/>
                  <w:tcBorders>
                    <w:tl2br w:val="nil"/>
                    <w:tr2bl w:val="nil"/>
                  </w:tcBorders>
                  <w:vAlign w:val="center"/>
                </w:tcPr>
                <w:p w14:paraId="7BDBE33C">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净化工程</w:t>
                  </w:r>
                </w:p>
              </w:tc>
              <w:tc>
                <w:tcPr>
                  <w:tcW w:w="960" w:type="pct"/>
                  <w:tcBorders>
                    <w:tl2br w:val="nil"/>
                    <w:tr2bl w:val="nil"/>
                  </w:tcBorders>
                  <w:vAlign w:val="center"/>
                </w:tcPr>
                <w:p w14:paraId="0E1754F6">
                  <w:pPr>
                    <w:jc w:val="center"/>
                    <w:rPr>
                      <w:rFonts w:hint="default" w:ascii="Times New Roman" w:hAnsi="Times New Roman" w:eastAsia="宋体" w:cs="Times New Roman"/>
                      <w:color w:val="auto"/>
                      <w:kern w:val="2"/>
                      <w:sz w:val="18"/>
                      <w:szCs w:val="18"/>
                      <w:lang w:val="en-US" w:eastAsia="zh-CN" w:bidi="ar-SA"/>
                    </w:rPr>
                  </w:pPr>
                </w:p>
              </w:tc>
              <w:tc>
                <w:tcPr>
                  <w:tcW w:w="626" w:type="pct"/>
                  <w:tcBorders>
                    <w:tl2br w:val="nil"/>
                    <w:tr2bl w:val="nil"/>
                  </w:tcBorders>
                  <w:vAlign w:val="center"/>
                </w:tcPr>
                <w:p w14:paraId="4F3A4E26">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1</w:t>
                  </w:r>
                </w:p>
              </w:tc>
              <w:tc>
                <w:tcPr>
                  <w:tcW w:w="226" w:type="pct"/>
                  <w:tcBorders>
                    <w:tl2br w:val="nil"/>
                    <w:tr2bl w:val="nil"/>
                  </w:tcBorders>
                  <w:vAlign w:val="center"/>
                </w:tcPr>
                <w:p w14:paraId="71090C07">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ascii="Times New Roman" w:hAnsi="Times New Roman" w:eastAsia="宋体" w:cs="Times New Roman"/>
                      <w:i w:val="0"/>
                      <w:iCs w:val="0"/>
                      <w:color w:val="000000"/>
                      <w:kern w:val="0"/>
                      <w:sz w:val="18"/>
                      <w:szCs w:val="18"/>
                      <w:u w:val="none"/>
                      <w:lang w:val="en-US" w:eastAsia="zh-CN" w:bidi="ar"/>
                    </w:rPr>
                    <w:t>57</w:t>
                  </w:r>
                </w:p>
              </w:tc>
              <w:tc>
                <w:tcPr>
                  <w:tcW w:w="803" w:type="pct"/>
                  <w:tcBorders>
                    <w:tl2br w:val="nil"/>
                    <w:tr2bl w:val="nil"/>
                  </w:tcBorders>
                  <w:vAlign w:val="center"/>
                </w:tcPr>
                <w:p w14:paraId="0D8C1B3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压缩空气设备</w:t>
                  </w:r>
                </w:p>
              </w:tc>
              <w:tc>
                <w:tcPr>
                  <w:tcW w:w="908" w:type="pct"/>
                  <w:tcBorders>
                    <w:tl2br w:val="nil"/>
                    <w:tr2bl w:val="nil"/>
                  </w:tcBorders>
                  <w:vAlign w:val="center"/>
                </w:tcPr>
                <w:p w14:paraId="60414552">
                  <w:pPr>
                    <w:jc w:val="center"/>
                    <w:rPr>
                      <w:rFonts w:hint="default" w:ascii="Times New Roman" w:hAnsi="Times New Roman" w:eastAsia="宋体" w:cs="Times New Roman"/>
                      <w:i w:val="0"/>
                      <w:iCs w:val="0"/>
                      <w:color w:val="000000"/>
                      <w:kern w:val="0"/>
                      <w:sz w:val="18"/>
                      <w:szCs w:val="18"/>
                      <w:u w:val="none"/>
                      <w:lang w:val="en-US" w:eastAsia="zh-CN" w:bidi="ar"/>
                    </w:rPr>
                  </w:pPr>
                </w:p>
              </w:tc>
              <w:tc>
                <w:tcPr>
                  <w:tcW w:w="555" w:type="pct"/>
                  <w:tcBorders>
                    <w:tl2br w:val="nil"/>
                    <w:tr2bl w:val="nil"/>
                  </w:tcBorders>
                  <w:vAlign w:val="center"/>
                </w:tcPr>
                <w:p w14:paraId="202C5E50">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1</w:t>
                  </w:r>
                </w:p>
              </w:tc>
            </w:tr>
            <w:tr w14:paraId="2AD35F5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81" w:type="pct"/>
                  <w:tcBorders>
                    <w:tl2br w:val="nil"/>
                    <w:tr2bl w:val="nil"/>
                  </w:tcBorders>
                  <w:vAlign w:val="center"/>
                </w:tcPr>
                <w:p w14:paraId="3AB6700B">
                  <w:pPr>
                    <w:jc w:val="center"/>
                    <w:rPr>
                      <w:rFonts w:hint="default"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kern w:val="2"/>
                      <w:sz w:val="18"/>
                      <w:szCs w:val="18"/>
                      <w:lang w:val="en-US" w:eastAsia="zh-CN" w:bidi="ar-SA"/>
                    </w:rPr>
                    <w:t>28</w:t>
                  </w:r>
                </w:p>
              </w:tc>
              <w:tc>
                <w:tcPr>
                  <w:tcW w:w="738" w:type="pct"/>
                  <w:tcBorders>
                    <w:tl2br w:val="nil"/>
                    <w:tr2bl w:val="nil"/>
                  </w:tcBorders>
                  <w:vAlign w:val="center"/>
                </w:tcPr>
                <w:p w14:paraId="461CF2D7">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洁净空调</w:t>
                  </w:r>
                </w:p>
              </w:tc>
              <w:tc>
                <w:tcPr>
                  <w:tcW w:w="960" w:type="pct"/>
                  <w:tcBorders>
                    <w:tl2br w:val="nil"/>
                    <w:tr2bl w:val="nil"/>
                  </w:tcBorders>
                  <w:vAlign w:val="center"/>
                </w:tcPr>
                <w:p w14:paraId="6BD32536">
                  <w:pPr>
                    <w:jc w:val="center"/>
                    <w:rPr>
                      <w:rFonts w:hint="default" w:ascii="Times New Roman" w:hAnsi="Times New Roman" w:eastAsia="宋体" w:cs="Times New Roman"/>
                      <w:color w:val="auto"/>
                      <w:kern w:val="2"/>
                      <w:sz w:val="18"/>
                      <w:szCs w:val="18"/>
                      <w:lang w:val="en-US" w:eastAsia="zh-CN" w:bidi="ar-SA"/>
                    </w:rPr>
                  </w:pPr>
                </w:p>
              </w:tc>
              <w:tc>
                <w:tcPr>
                  <w:tcW w:w="626" w:type="pct"/>
                  <w:tcBorders>
                    <w:tl2br w:val="nil"/>
                    <w:tr2bl w:val="nil"/>
                  </w:tcBorders>
                  <w:vAlign w:val="center"/>
                </w:tcPr>
                <w:p w14:paraId="77A601A3">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1</w:t>
                  </w:r>
                </w:p>
              </w:tc>
              <w:tc>
                <w:tcPr>
                  <w:tcW w:w="226" w:type="pct"/>
                  <w:tcBorders>
                    <w:tl2br w:val="nil"/>
                    <w:tr2bl w:val="nil"/>
                  </w:tcBorders>
                  <w:vAlign w:val="center"/>
                </w:tcPr>
                <w:p w14:paraId="3DE67902">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ascii="Times New Roman" w:hAnsi="Times New Roman" w:eastAsia="宋体" w:cs="Times New Roman"/>
                      <w:i w:val="0"/>
                      <w:iCs w:val="0"/>
                      <w:color w:val="000000"/>
                      <w:kern w:val="0"/>
                      <w:sz w:val="18"/>
                      <w:szCs w:val="18"/>
                      <w:u w:val="none"/>
                      <w:lang w:val="en-US" w:eastAsia="zh-CN" w:bidi="ar"/>
                    </w:rPr>
                    <w:t>58</w:t>
                  </w:r>
                </w:p>
              </w:tc>
              <w:tc>
                <w:tcPr>
                  <w:tcW w:w="803" w:type="pct"/>
                  <w:tcBorders>
                    <w:tl2br w:val="nil"/>
                    <w:tr2bl w:val="nil"/>
                  </w:tcBorders>
                  <w:vAlign w:val="center"/>
                </w:tcPr>
                <w:p w14:paraId="248A1DCC">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监护型救护车</w:t>
                  </w:r>
                </w:p>
              </w:tc>
              <w:tc>
                <w:tcPr>
                  <w:tcW w:w="908" w:type="pct"/>
                  <w:tcBorders>
                    <w:tl2br w:val="nil"/>
                    <w:tr2bl w:val="nil"/>
                  </w:tcBorders>
                  <w:vAlign w:val="center"/>
                </w:tcPr>
                <w:p w14:paraId="41AFC5AA">
                  <w:pPr>
                    <w:jc w:val="center"/>
                    <w:rPr>
                      <w:rFonts w:hint="default" w:ascii="Times New Roman" w:hAnsi="Times New Roman" w:eastAsia="宋体" w:cs="Times New Roman"/>
                      <w:i w:val="0"/>
                      <w:iCs w:val="0"/>
                      <w:color w:val="000000"/>
                      <w:kern w:val="0"/>
                      <w:sz w:val="18"/>
                      <w:szCs w:val="18"/>
                      <w:u w:val="none"/>
                      <w:lang w:val="en-US" w:eastAsia="zh-CN" w:bidi="ar"/>
                    </w:rPr>
                  </w:pPr>
                </w:p>
              </w:tc>
              <w:tc>
                <w:tcPr>
                  <w:tcW w:w="555" w:type="pct"/>
                  <w:tcBorders>
                    <w:tl2br w:val="nil"/>
                    <w:tr2bl w:val="nil"/>
                  </w:tcBorders>
                  <w:vAlign w:val="center"/>
                </w:tcPr>
                <w:p w14:paraId="49AF0FFE">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2</w:t>
                  </w:r>
                </w:p>
              </w:tc>
            </w:tr>
            <w:tr w14:paraId="60D5B8D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81" w:type="pct"/>
                  <w:tcBorders>
                    <w:tl2br w:val="nil"/>
                    <w:tr2bl w:val="nil"/>
                  </w:tcBorders>
                  <w:vAlign w:val="center"/>
                </w:tcPr>
                <w:p w14:paraId="56E1BD84">
                  <w:pPr>
                    <w:jc w:val="center"/>
                    <w:rPr>
                      <w:rFonts w:hint="default"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kern w:val="2"/>
                      <w:sz w:val="18"/>
                      <w:szCs w:val="18"/>
                      <w:lang w:val="en-US" w:eastAsia="zh-CN" w:bidi="ar-SA"/>
                    </w:rPr>
                    <w:t>29</w:t>
                  </w:r>
                </w:p>
              </w:tc>
              <w:tc>
                <w:tcPr>
                  <w:tcW w:w="738" w:type="pct"/>
                  <w:tcBorders>
                    <w:tl2br w:val="nil"/>
                    <w:tr2bl w:val="nil"/>
                  </w:tcBorders>
                  <w:vAlign w:val="center"/>
                </w:tcPr>
                <w:p w14:paraId="71C5A887">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无影灯</w:t>
                  </w:r>
                </w:p>
              </w:tc>
              <w:tc>
                <w:tcPr>
                  <w:tcW w:w="960" w:type="pct"/>
                  <w:tcBorders>
                    <w:tl2br w:val="nil"/>
                    <w:tr2bl w:val="nil"/>
                  </w:tcBorders>
                  <w:vAlign w:val="center"/>
                </w:tcPr>
                <w:p w14:paraId="2446CB75">
                  <w:pPr>
                    <w:jc w:val="center"/>
                    <w:rPr>
                      <w:rFonts w:hint="default" w:ascii="Times New Roman" w:hAnsi="Times New Roman" w:eastAsia="宋体" w:cs="Times New Roman"/>
                      <w:color w:val="auto"/>
                      <w:kern w:val="2"/>
                      <w:sz w:val="18"/>
                      <w:szCs w:val="18"/>
                      <w:lang w:val="en-US" w:eastAsia="zh-CN" w:bidi="ar-SA"/>
                    </w:rPr>
                  </w:pPr>
                </w:p>
              </w:tc>
              <w:tc>
                <w:tcPr>
                  <w:tcW w:w="626" w:type="pct"/>
                  <w:tcBorders>
                    <w:tl2br w:val="nil"/>
                    <w:tr2bl w:val="nil"/>
                  </w:tcBorders>
                  <w:vAlign w:val="center"/>
                </w:tcPr>
                <w:p w14:paraId="41FD3A04">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6</w:t>
                  </w:r>
                </w:p>
              </w:tc>
              <w:tc>
                <w:tcPr>
                  <w:tcW w:w="226" w:type="pct"/>
                  <w:tcBorders>
                    <w:tl2br w:val="nil"/>
                    <w:tr2bl w:val="nil"/>
                  </w:tcBorders>
                  <w:vAlign w:val="center"/>
                </w:tcPr>
                <w:p w14:paraId="30264EB5">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ascii="Times New Roman" w:hAnsi="Times New Roman" w:eastAsia="宋体" w:cs="Times New Roman"/>
                      <w:i w:val="0"/>
                      <w:iCs w:val="0"/>
                      <w:color w:val="000000"/>
                      <w:kern w:val="0"/>
                      <w:sz w:val="18"/>
                      <w:szCs w:val="18"/>
                      <w:u w:val="none"/>
                      <w:lang w:val="en-US" w:eastAsia="zh-CN" w:bidi="ar"/>
                    </w:rPr>
                    <w:t>59</w:t>
                  </w:r>
                </w:p>
              </w:tc>
              <w:tc>
                <w:tcPr>
                  <w:tcW w:w="803" w:type="pct"/>
                  <w:tcBorders>
                    <w:tl2br w:val="nil"/>
                    <w:tr2bl w:val="nil"/>
                  </w:tcBorders>
                  <w:vAlign w:val="center"/>
                </w:tcPr>
                <w:p w14:paraId="33A0A345">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自动体外除颤器</w:t>
                  </w:r>
                </w:p>
              </w:tc>
              <w:tc>
                <w:tcPr>
                  <w:tcW w:w="908" w:type="pct"/>
                  <w:tcBorders>
                    <w:tl2br w:val="nil"/>
                    <w:tr2bl w:val="nil"/>
                  </w:tcBorders>
                  <w:vAlign w:val="center"/>
                </w:tcPr>
                <w:p w14:paraId="1B78D7CF">
                  <w:pPr>
                    <w:jc w:val="center"/>
                    <w:rPr>
                      <w:rFonts w:hint="default" w:ascii="Times New Roman" w:hAnsi="Times New Roman" w:eastAsia="宋体" w:cs="Times New Roman"/>
                      <w:i w:val="0"/>
                      <w:iCs w:val="0"/>
                      <w:color w:val="000000"/>
                      <w:kern w:val="0"/>
                      <w:sz w:val="18"/>
                      <w:szCs w:val="18"/>
                      <w:u w:val="none"/>
                      <w:lang w:val="en-US" w:eastAsia="zh-CN" w:bidi="ar"/>
                    </w:rPr>
                  </w:pPr>
                </w:p>
              </w:tc>
              <w:tc>
                <w:tcPr>
                  <w:tcW w:w="555" w:type="pct"/>
                  <w:tcBorders>
                    <w:tl2br w:val="nil"/>
                    <w:tr2bl w:val="nil"/>
                  </w:tcBorders>
                  <w:vAlign w:val="center"/>
                </w:tcPr>
                <w:p w14:paraId="63D79F40">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4</w:t>
                  </w:r>
                </w:p>
              </w:tc>
            </w:tr>
            <w:tr w14:paraId="763E7A1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81" w:type="pct"/>
                  <w:tcBorders>
                    <w:tl2br w:val="nil"/>
                    <w:tr2bl w:val="nil"/>
                  </w:tcBorders>
                  <w:vAlign w:val="center"/>
                </w:tcPr>
                <w:p w14:paraId="0ECECA28">
                  <w:pPr>
                    <w:jc w:val="center"/>
                    <w:rPr>
                      <w:rFonts w:hint="default"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kern w:val="2"/>
                      <w:sz w:val="18"/>
                      <w:szCs w:val="18"/>
                      <w:lang w:val="en-US" w:eastAsia="zh-CN" w:bidi="ar-SA"/>
                    </w:rPr>
                    <w:t>30</w:t>
                  </w:r>
                </w:p>
              </w:tc>
              <w:tc>
                <w:tcPr>
                  <w:tcW w:w="738" w:type="pct"/>
                  <w:tcBorders>
                    <w:tl2br w:val="nil"/>
                    <w:tr2bl w:val="nil"/>
                  </w:tcBorders>
                  <w:vAlign w:val="center"/>
                </w:tcPr>
                <w:p w14:paraId="12133AF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吊塔</w:t>
                  </w:r>
                </w:p>
              </w:tc>
              <w:tc>
                <w:tcPr>
                  <w:tcW w:w="960" w:type="pct"/>
                  <w:tcBorders>
                    <w:tl2br w:val="nil"/>
                    <w:tr2bl w:val="nil"/>
                  </w:tcBorders>
                  <w:vAlign w:val="center"/>
                </w:tcPr>
                <w:p w14:paraId="164BC4E7">
                  <w:pPr>
                    <w:jc w:val="center"/>
                    <w:rPr>
                      <w:rFonts w:hint="default" w:ascii="Times New Roman" w:hAnsi="Times New Roman" w:eastAsia="宋体" w:cs="Times New Roman"/>
                      <w:color w:val="auto"/>
                      <w:kern w:val="2"/>
                      <w:sz w:val="18"/>
                      <w:szCs w:val="18"/>
                      <w:lang w:val="en-US" w:eastAsia="zh-CN" w:bidi="ar-SA"/>
                    </w:rPr>
                  </w:pPr>
                </w:p>
              </w:tc>
              <w:tc>
                <w:tcPr>
                  <w:tcW w:w="626" w:type="pct"/>
                  <w:tcBorders>
                    <w:tl2br w:val="nil"/>
                    <w:tr2bl w:val="nil"/>
                  </w:tcBorders>
                  <w:vAlign w:val="center"/>
                </w:tcPr>
                <w:p w14:paraId="080E84CB">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6</w:t>
                  </w:r>
                </w:p>
              </w:tc>
              <w:tc>
                <w:tcPr>
                  <w:tcW w:w="226" w:type="pct"/>
                  <w:tcBorders>
                    <w:tl2br w:val="nil"/>
                    <w:tr2bl w:val="nil"/>
                  </w:tcBorders>
                  <w:vAlign w:val="center"/>
                </w:tcPr>
                <w:p w14:paraId="5B89B7A8">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ascii="Times New Roman" w:hAnsi="Times New Roman" w:eastAsia="宋体" w:cs="Times New Roman"/>
                      <w:i w:val="0"/>
                      <w:iCs w:val="0"/>
                      <w:color w:val="000000"/>
                      <w:kern w:val="0"/>
                      <w:sz w:val="18"/>
                      <w:szCs w:val="18"/>
                      <w:u w:val="none"/>
                      <w:lang w:val="en-US" w:eastAsia="zh-CN" w:bidi="ar"/>
                    </w:rPr>
                    <w:t>60</w:t>
                  </w:r>
                </w:p>
              </w:tc>
              <w:tc>
                <w:tcPr>
                  <w:tcW w:w="803" w:type="pct"/>
                  <w:tcBorders>
                    <w:tl2br w:val="nil"/>
                    <w:tr2bl w:val="nil"/>
                  </w:tcBorders>
                  <w:vAlign w:val="center"/>
                </w:tcPr>
                <w:p w14:paraId="42CA3B40">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转运监护仪</w:t>
                  </w:r>
                </w:p>
              </w:tc>
              <w:tc>
                <w:tcPr>
                  <w:tcW w:w="908" w:type="pct"/>
                  <w:tcBorders>
                    <w:tl2br w:val="nil"/>
                    <w:tr2bl w:val="nil"/>
                  </w:tcBorders>
                  <w:vAlign w:val="center"/>
                </w:tcPr>
                <w:p w14:paraId="446FB044">
                  <w:pPr>
                    <w:jc w:val="center"/>
                    <w:rPr>
                      <w:rFonts w:hint="default" w:ascii="Times New Roman" w:hAnsi="Times New Roman" w:eastAsia="宋体" w:cs="Times New Roman"/>
                      <w:i w:val="0"/>
                      <w:iCs w:val="0"/>
                      <w:color w:val="000000"/>
                      <w:kern w:val="0"/>
                      <w:sz w:val="18"/>
                      <w:szCs w:val="18"/>
                      <w:u w:val="none"/>
                      <w:lang w:val="en-US" w:eastAsia="zh-CN" w:bidi="ar"/>
                    </w:rPr>
                  </w:pPr>
                </w:p>
              </w:tc>
              <w:tc>
                <w:tcPr>
                  <w:tcW w:w="555" w:type="pct"/>
                  <w:tcBorders>
                    <w:tl2br w:val="nil"/>
                    <w:tr2bl w:val="nil"/>
                  </w:tcBorders>
                  <w:vAlign w:val="center"/>
                </w:tcPr>
                <w:p w14:paraId="6A137827">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4</w:t>
                  </w:r>
                </w:p>
              </w:tc>
            </w:tr>
          </w:tbl>
          <w:p w14:paraId="63577427">
            <w:pPr>
              <w:spacing w:line="360" w:lineRule="auto"/>
              <w:ind w:firstLine="422" w:firstLineChars="200"/>
              <w:rPr>
                <w:b/>
                <w:color w:val="auto"/>
                <w:szCs w:val="21"/>
              </w:rPr>
            </w:pPr>
            <w:r>
              <w:rPr>
                <w:rFonts w:hint="eastAsia"/>
                <w:b/>
                <w:bCs/>
                <w:color w:val="auto"/>
                <w:szCs w:val="21"/>
                <w:lang w:val="en-US" w:eastAsia="zh-CN"/>
              </w:rPr>
              <w:t>2.5</w:t>
            </w:r>
            <w:r>
              <w:rPr>
                <w:b/>
                <w:color w:val="auto"/>
                <w:szCs w:val="21"/>
              </w:rPr>
              <w:t>工作制度及劳动定员</w:t>
            </w:r>
          </w:p>
          <w:p w14:paraId="3304228A">
            <w:pPr>
              <w:spacing w:line="360" w:lineRule="auto"/>
              <w:ind w:firstLine="420" w:firstLineChars="200"/>
              <w:jc w:val="left"/>
              <w:rPr>
                <w:rFonts w:hint="eastAsia"/>
                <w:bCs/>
                <w:color w:val="auto"/>
                <w:szCs w:val="21"/>
                <w:lang w:val="en-US" w:eastAsia="zh-CN"/>
              </w:rPr>
            </w:pPr>
            <w:r>
              <w:rPr>
                <w:rFonts w:hint="eastAsia"/>
                <w:bCs/>
                <w:color w:val="auto"/>
                <w:szCs w:val="21"/>
                <w:lang w:val="en-US" w:eastAsia="zh-CN"/>
              </w:rPr>
              <w:t>本项目劳动定员共计286人，其中医务人员190人，其他后勤及行政人员约96人。</w:t>
            </w:r>
          </w:p>
          <w:p w14:paraId="658E229E">
            <w:pPr>
              <w:spacing w:line="360" w:lineRule="auto"/>
              <w:ind w:firstLine="420" w:firstLineChars="200"/>
              <w:jc w:val="left"/>
              <w:rPr>
                <w:rFonts w:hint="eastAsia"/>
                <w:bCs/>
                <w:color w:val="auto"/>
                <w:szCs w:val="21"/>
                <w:lang w:val="en-US" w:eastAsia="zh-CN"/>
              </w:rPr>
            </w:pPr>
            <w:r>
              <w:rPr>
                <w:rFonts w:hint="eastAsia"/>
                <w:bCs/>
                <w:color w:val="auto"/>
                <w:szCs w:val="21"/>
                <w:lang w:val="en-US" w:eastAsia="zh-CN"/>
              </w:rPr>
              <w:t>医务人员全年工作时间365天，三班制，每班8小时工作制；后勤及行政人员为8小时工作制，年工作日为330天。</w:t>
            </w:r>
          </w:p>
          <w:p w14:paraId="6331CC77">
            <w:pPr>
              <w:snapToGrid w:val="0"/>
              <w:spacing w:line="360" w:lineRule="auto"/>
              <w:ind w:firstLine="422" w:firstLineChars="200"/>
              <w:rPr>
                <w:b/>
                <w:bCs/>
                <w:color w:val="auto"/>
                <w:szCs w:val="21"/>
              </w:rPr>
            </w:pPr>
            <w:r>
              <w:rPr>
                <w:rFonts w:hint="eastAsia"/>
                <w:b/>
                <w:bCs/>
                <w:color w:val="auto"/>
                <w:szCs w:val="21"/>
                <w:lang w:val="en-US" w:eastAsia="zh-CN"/>
              </w:rPr>
              <w:t>2.6</w:t>
            </w:r>
            <w:r>
              <w:rPr>
                <w:b/>
                <w:bCs/>
                <w:color w:val="auto"/>
                <w:szCs w:val="21"/>
              </w:rPr>
              <w:t>平面布置</w:t>
            </w:r>
          </w:p>
          <w:p w14:paraId="2B236893">
            <w:pPr>
              <w:spacing w:line="360" w:lineRule="auto"/>
              <w:ind w:firstLine="420" w:firstLineChars="200"/>
              <w:jc w:val="left"/>
              <w:rPr>
                <w:rFonts w:hint="eastAsia"/>
                <w:b/>
                <w:color w:val="auto"/>
                <w:szCs w:val="21"/>
              </w:rPr>
            </w:pPr>
            <w:r>
              <w:rPr>
                <w:rFonts w:hint="eastAsia"/>
                <w:bCs/>
                <w:color w:val="auto"/>
                <w:szCs w:val="21"/>
                <w:lang w:val="en-US" w:eastAsia="zh-CN"/>
              </w:rPr>
              <w:t>本项目场地由北向南依次布置有综合医疗楼、综合住院楼，东侧布置有2座护理楼以及康养花园，布置合理</w:t>
            </w:r>
            <w:r>
              <w:rPr>
                <w:rFonts w:hint="eastAsia"/>
                <w:bCs/>
                <w:color w:val="auto"/>
                <w:szCs w:val="21"/>
              </w:rPr>
              <w:t>。</w:t>
            </w:r>
            <w:r>
              <w:rPr>
                <w:rFonts w:hint="eastAsia"/>
                <w:bCs/>
                <w:color w:val="auto"/>
                <w:szCs w:val="21"/>
                <w:lang w:val="en-US" w:eastAsia="zh-CN"/>
              </w:rPr>
              <w:t>场区总</w:t>
            </w:r>
            <w:r>
              <w:rPr>
                <w:bCs/>
                <w:color w:val="auto"/>
                <w:szCs w:val="21"/>
              </w:rPr>
              <w:t>平面布置</w:t>
            </w:r>
            <w:r>
              <w:rPr>
                <w:rFonts w:hint="eastAsia"/>
                <w:bCs/>
                <w:color w:val="auto"/>
                <w:szCs w:val="21"/>
                <w:lang w:val="en-US" w:eastAsia="zh-CN"/>
              </w:rPr>
              <w:t>以及各楼层平面布置图</w:t>
            </w:r>
            <w:r>
              <w:rPr>
                <w:bCs/>
                <w:color w:val="auto"/>
                <w:szCs w:val="21"/>
              </w:rPr>
              <w:t>详见附图2。</w:t>
            </w:r>
          </w:p>
          <w:p w14:paraId="4116AEBD">
            <w:pPr>
              <w:spacing w:line="360" w:lineRule="auto"/>
              <w:ind w:firstLine="422" w:firstLineChars="200"/>
              <w:jc w:val="left"/>
              <w:rPr>
                <w:rFonts w:hint="eastAsia" w:eastAsia="宋体"/>
                <w:b/>
                <w:color w:val="auto"/>
                <w:szCs w:val="21"/>
                <w:lang w:eastAsia="zh-CN"/>
              </w:rPr>
            </w:pPr>
            <w:r>
              <w:rPr>
                <w:rFonts w:hint="eastAsia"/>
                <w:b/>
                <w:color w:val="auto"/>
                <w:szCs w:val="21"/>
                <w:lang w:val="en-US" w:eastAsia="zh-CN"/>
              </w:rPr>
              <w:t>2.7水平衡</w:t>
            </w:r>
          </w:p>
          <w:p w14:paraId="09741F96">
            <w:pPr>
              <w:spacing w:line="360" w:lineRule="auto"/>
              <w:ind w:firstLine="420" w:firstLineChars="200"/>
              <w:jc w:val="left"/>
              <w:rPr>
                <w:rFonts w:hint="default" w:eastAsia="宋体"/>
                <w:color w:val="auto"/>
                <w:szCs w:val="21"/>
                <w:lang w:val="en-US" w:eastAsia="zh-CN"/>
              </w:rPr>
            </w:pPr>
            <w:r>
              <w:rPr>
                <w:color w:val="auto"/>
                <w:szCs w:val="21"/>
              </w:rPr>
              <w:t>本项目水源由</w:t>
            </w:r>
            <w:r>
              <w:rPr>
                <w:rFonts w:hint="eastAsia"/>
                <w:color w:val="auto"/>
                <w:szCs w:val="21"/>
                <w:lang w:val="en-US" w:eastAsia="zh-CN"/>
              </w:rPr>
              <w:t>园区</w:t>
            </w:r>
            <w:r>
              <w:rPr>
                <w:color w:val="auto"/>
                <w:szCs w:val="21"/>
              </w:rPr>
              <w:t>供水管道提供</w:t>
            </w:r>
            <w:r>
              <w:rPr>
                <w:rFonts w:hint="eastAsia"/>
                <w:color w:val="auto"/>
                <w:szCs w:val="21"/>
              </w:rPr>
              <w:t>。</w:t>
            </w:r>
            <w:r>
              <w:rPr>
                <w:rFonts w:hint="eastAsia"/>
                <w:color w:val="auto"/>
                <w:szCs w:val="21"/>
                <w:lang w:val="en-US" w:eastAsia="zh-CN"/>
              </w:rPr>
              <w:t>项目运营期用水环节主要包括</w:t>
            </w:r>
            <w:r>
              <w:rPr>
                <w:rFonts w:hint="eastAsia"/>
                <w:color w:val="auto"/>
                <w:szCs w:val="21"/>
                <w:lang w:eastAsia="zh-CN"/>
              </w:rPr>
              <w:t>：</w:t>
            </w:r>
            <w:r>
              <w:rPr>
                <w:rFonts w:hint="eastAsia"/>
                <w:color w:val="auto"/>
                <w:szCs w:val="21"/>
                <w:lang w:val="en-US" w:eastAsia="zh-CN"/>
              </w:rPr>
              <w:t>住院病房用水、门诊用水、康养护理用水、</w:t>
            </w:r>
            <w:r>
              <w:rPr>
                <w:color w:val="auto"/>
                <w:szCs w:val="21"/>
              </w:rPr>
              <w:t>职工生活</w:t>
            </w:r>
            <w:r>
              <w:rPr>
                <w:rFonts w:hint="eastAsia"/>
                <w:color w:val="auto"/>
                <w:szCs w:val="21"/>
                <w:lang w:val="en-US" w:eastAsia="zh-CN"/>
              </w:rPr>
              <w:t>办公</w:t>
            </w:r>
            <w:r>
              <w:rPr>
                <w:color w:val="auto"/>
                <w:szCs w:val="21"/>
              </w:rPr>
              <w:t>用水、</w:t>
            </w:r>
            <w:r>
              <w:rPr>
                <w:rFonts w:hint="eastAsia"/>
                <w:color w:val="auto"/>
                <w:szCs w:val="21"/>
                <w:lang w:val="en-US" w:eastAsia="zh-CN"/>
              </w:rPr>
              <w:t>特殊性质用水、食堂用水、地面清洁用水、绿化用水</w:t>
            </w:r>
            <w:r>
              <w:rPr>
                <w:color w:val="auto"/>
                <w:szCs w:val="21"/>
              </w:rPr>
              <w:t>等。</w:t>
            </w:r>
            <w:r>
              <w:rPr>
                <w:rFonts w:hint="eastAsia"/>
                <w:color w:val="auto"/>
                <w:szCs w:val="21"/>
                <w:lang w:val="en-US" w:eastAsia="zh-CN"/>
              </w:rPr>
              <w:t>本项目不设置洗衣房，病房衣物、床单被罩等均外委专业洗衣机后清洗。</w:t>
            </w:r>
          </w:p>
          <w:p w14:paraId="402DDE2C">
            <w:pPr>
              <w:spacing w:line="360" w:lineRule="auto"/>
              <w:ind w:firstLine="420" w:firstLineChars="200"/>
              <w:rPr>
                <w:bCs/>
                <w:color w:val="auto"/>
                <w:szCs w:val="21"/>
              </w:rPr>
            </w:pPr>
            <w:r>
              <w:rPr>
                <w:bCs/>
                <w:color w:val="auto"/>
                <w:szCs w:val="21"/>
              </w:rPr>
              <w:t>①</w:t>
            </w:r>
            <w:r>
              <w:rPr>
                <w:rFonts w:hint="eastAsia"/>
                <w:bCs/>
                <w:color w:val="auto"/>
                <w:szCs w:val="21"/>
                <w:lang w:val="en-US" w:eastAsia="zh-CN"/>
              </w:rPr>
              <w:t>住院病房用水：本项目设计床位472张，设置有浴室、卫生间、盥洗间等，根据《综合医院建筑设计规范》（</w:t>
            </w:r>
            <w:r>
              <w:rPr>
                <w:rFonts w:hint="default"/>
                <w:bCs/>
                <w:color w:val="auto"/>
                <w:szCs w:val="21"/>
                <w:lang w:val="en-US" w:eastAsia="zh-CN"/>
              </w:rPr>
              <w:t>GB51039-2014</w:t>
            </w:r>
            <w:r>
              <w:rPr>
                <w:rFonts w:hint="eastAsia"/>
                <w:bCs/>
                <w:color w:val="auto"/>
                <w:szCs w:val="21"/>
                <w:lang w:val="en-US" w:eastAsia="zh-CN"/>
              </w:rPr>
              <w:t xml:space="preserve">），每床位每日用水定额为 </w:t>
            </w:r>
            <w:r>
              <w:rPr>
                <w:rFonts w:hint="default"/>
                <w:bCs/>
                <w:color w:val="auto"/>
                <w:szCs w:val="21"/>
                <w:lang w:val="en-US" w:eastAsia="zh-CN"/>
              </w:rPr>
              <w:t>200-250L/d</w:t>
            </w:r>
            <w:r>
              <w:rPr>
                <w:rFonts w:hint="eastAsia"/>
                <w:bCs/>
                <w:color w:val="auto"/>
                <w:szCs w:val="21"/>
                <w:lang w:val="en-US" w:eastAsia="zh-CN"/>
              </w:rPr>
              <w:t xml:space="preserve">，本次评价住院病房用水定额取最大值 </w:t>
            </w:r>
            <w:r>
              <w:rPr>
                <w:rFonts w:hint="default"/>
                <w:bCs/>
                <w:color w:val="auto"/>
                <w:szCs w:val="21"/>
                <w:lang w:val="en-US" w:eastAsia="zh-CN"/>
              </w:rPr>
              <w:t>250L/</w:t>
            </w:r>
            <w:r>
              <w:rPr>
                <w:rFonts w:hint="eastAsia"/>
                <w:bCs/>
                <w:color w:val="auto"/>
                <w:szCs w:val="21"/>
                <w:lang w:val="en-US" w:eastAsia="zh-CN"/>
              </w:rPr>
              <w:t>床·</w:t>
            </w:r>
            <w:r>
              <w:rPr>
                <w:rFonts w:hint="default"/>
                <w:bCs/>
                <w:color w:val="auto"/>
                <w:szCs w:val="21"/>
                <w:lang w:val="en-US" w:eastAsia="zh-CN"/>
              </w:rPr>
              <w:t>d</w:t>
            </w:r>
            <w:r>
              <w:rPr>
                <w:rFonts w:hint="eastAsia"/>
                <w:bCs/>
                <w:color w:val="auto"/>
                <w:szCs w:val="21"/>
                <w:lang w:val="en-US" w:eastAsia="zh-CN"/>
              </w:rPr>
              <w:t>，则住院病房用水量为118.0</w:t>
            </w:r>
            <w:r>
              <w:rPr>
                <w:rFonts w:hint="default"/>
                <w:bCs/>
                <w:color w:val="auto"/>
                <w:szCs w:val="21"/>
                <w:lang w:val="en-US" w:eastAsia="zh-CN"/>
              </w:rPr>
              <w:t>m</w:t>
            </w:r>
            <w:r>
              <w:rPr>
                <w:rFonts w:hint="default"/>
                <w:bCs/>
                <w:color w:val="auto"/>
                <w:szCs w:val="21"/>
                <w:vertAlign w:val="superscript"/>
                <w:lang w:val="en-US" w:eastAsia="zh-CN"/>
              </w:rPr>
              <w:t>3</w:t>
            </w:r>
            <w:r>
              <w:rPr>
                <w:rFonts w:hint="default"/>
                <w:bCs/>
                <w:color w:val="auto"/>
                <w:szCs w:val="21"/>
                <w:lang w:val="en-US" w:eastAsia="zh-CN"/>
              </w:rPr>
              <w:t xml:space="preserve"> /d</w:t>
            </w:r>
            <w:r>
              <w:rPr>
                <w:rFonts w:hint="eastAsia"/>
                <w:bCs/>
                <w:color w:val="auto"/>
                <w:szCs w:val="21"/>
                <w:lang w:val="en-US" w:eastAsia="zh-CN"/>
              </w:rPr>
              <w:t>；</w:t>
            </w:r>
          </w:p>
          <w:p w14:paraId="567902DA">
            <w:pPr>
              <w:spacing w:line="360" w:lineRule="auto"/>
              <w:ind w:firstLine="420" w:firstLineChars="200"/>
              <w:rPr>
                <w:bCs/>
                <w:color w:val="auto"/>
                <w:szCs w:val="21"/>
              </w:rPr>
            </w:pPr>
            <w:r>
              <w:rPr>
                <w:rFonts w:hint="eastAsia"/>
                <w:bCs/>
                <w:color w:val="auto"/>
                <w:szCs w:val="21"/>
                <w:lang w:val="en-US" w:eastAsia="zh-CN"/>
              </w:rPr>
              <w:t>②门诊用水：本医院设计门诊量为</w:t>
            </w:r>
            <w:r>
              <w:rPr>
                <w:rFonts w:hint="default"/>
                <w:bCs/>
                <w:color w:val="auto"/>
                <w:szCs w:val="21"/>
                <w:lang w:val="en-US" w:eastAsia="zh-CN"/>
              </w:rPr>
              <w:t>200p·</w:t>
            </w:r>
            <w:r>
              <w:rPr>
                <w:rFonts w:hint="eastAsia"/>
                <w:bCs/>
                <w:color w:val="auto"/>
                <w:szCs w:val="21"/>
                <w:lang w:val="en-US" w:eastAsia="zh-CN"/>
              </w:rPr>
              <w:t>次</w:t>
            </w:r>
            <w:r>
              <w:rPr>
                <w:rFonts w:hint="default"/>
                <w:bCs/>
                <w:color w:val="auto"/>
                <w:szCs w:val="21"/>
                <w:lang w:val="en-US" w:eastAsia="zh-CN"/>
              </w:rPr>
              <w:t>/d</w:t>
            </w:r>
            <w:r>
              <w:rPr>
                <w:rFonts w:hint="eastAsia"/>
                <w:bCs/>
                <w:color w:val="auto"/>
                <w:szCs w:val="21"/>
                <w:lang w:val="en-US" w:eastAsia="zh-CN"/>
              </w:rPr>
              <w:t>；根据《综合医院建筑设计规范》（</w:t>
            </w:r>
            <w:r>
              <w:rPr>
                <w:rFonts w:hint="default"/>
                <w:bCs/>
                <w:color w:val="auto"/>
                <w:szCs w:val="21"/>
                <w:lang w:val="en-US" w:eastAsia="zh-CN"/>
              </w:rPr>
              <w:t>GB51039-2014</w:t>
            </w:r>
            <w:r>
              <w:rPr>
                <w:rFonts w:hint="eastAsia"/>
                <w:bCs/>
                <w:color w:val="auto"/>
                <w:szCs w:val="21"/>
                <w:lang w:val="en-US" w:eastAsia="zh-CN"/>
              </w:rPr>
              <w:t>），门诊部用水定额为</w:t>
            </w:r>
            <w:r>
              <w:rPr>
                <w:rFonts w:hint="default"/>
                <w:bCs/>
                <w:color w:val="auto"/>
                <w:szCs w:val="21"/>
                <w:lang w:val="en-US" w:eastAsia="zh-CN"/>
              </w:rPr>
              <w:t>10~15 L/</w:t>
            </w:r>
            <w:r>
              <w:rPr>
                <w:rFonts w:hint="eastAsia"/>
                <w:bCs/>
                <w:color w:val="auto"/>
                <w:szCs w:val="21"/>
                <w:lang w:val="en-US" w:eastAsia="zh-CN"/>
              </w:rPr>
              <w:t>（</w:t>
            </w:r>
            <w:r>
              <w:rPr>
                <w:rFonts w:hint="default"/>
                <w:bCs/>
                <w:color w:val="auto"/>
                <w:szCs w:val="21"/>
                <w:lang w:val="en-US" w:eastAsia="zh-CN"/>
              </w:rPr>
              <w:t>p·</w:t>
            </w:r>
            <w:r>
              <w:rPr>
                <w:rFonts w:hint="eastAsia"/>
                <w:bCs/>
                <w:color w:val="auto"/>
                <w:szCs w:val="21"/>
                <w:lang w:val="en-US" w:eastAsia="zh-CN"/>
              </w:rPr>
              <w:t>次），本次评价用水定额按</w:t>
            </w:r>
            <w:r>
              <w:rPr>
                <w:rFonts w:hint="default"/>
                <w:bCs/>
                <w:color w:val="auto"/>
                <w:szCs w:val="21"/>
                <w:lang w:val="en-US" w:eastAsia="zh-CN"/>
              </w:rPr>
              <w:t>15L/</w:t>
            </w:r>
            <w:r>
              <w:rPr>
                <w:rFonts w:hint="eastAsia"/>
                <w:bCs/>
                <w:color w:val="auto"/>
                <w:szCs w:val="21"/>
                <w:lang w:val="en-US" w:eastAsia="zh-CN"/>
              </w:rPr>
              <w:t>（</w:t>
            </w:r>
            <w:r>
              <w:rPr>
                <w:rFonts w:hint="default"/>
                <w:bCs/>
                <w:color w:val="auto"/>
                <w:szCs w:val="21"/>
                <w:lang w:val="en-US" w:eastAsia="zh-CN"/>
              </w:rPr>
              <w:t>p·</w:t>
            </w:r>
            <w:r>
              <w:rPr>
                <w:rFonts w:hint="eastAsia"/>
                <w:bCs/>
                <w:color w:val="auto"/>
                <w:szCs w:val="21"/>
                <w:lang w:val="en-US" w:eastAsia="zh-CN"/>
              </w:rPr>
              <w:t xml:space="preserve">次）计，则门诊用水量为 </w:t>
            </w:r>
            <w:r>
              <w:rPr>
                <w:rFonts w:hint="default"/>
                <w:bCs/>
                <w:color w:val="auto"/>
                <w:szCs w:val="21"/>
                <w:lang w:val="en-US" w:eastAsia="zh-CN"/>
              </w:rPr>
              <w:t>3.0m</w:t>
            </w:r>
            <w:r>
              <w:rPr>
                <w:rFonts w:hint="default"/>
                <w:bCs/>
                <w:color w:val="auto"/>
                <w:szCs w:val="21"/>
                <w:vertAlign w:val="superscript"/>
                <w:lang w:val="en-US" w:eastAsia="zh-CN"/>
              </w:rPr>
              <w:t>3</w:t>
            </w:r>
            <w:r>
              <w:rPr>
                <w:rFonts w:hint="default"/>
                <w:bCs/>
                <w:color w:val="auto"/>
                <w:szCs w:val="21"/>
                <w:lang w:val="en-US" w:eastAsia="zh-CN"/>
              </w:rPr>
              <w:t xml:space="preserve"> /d</w:t>
            </w:r>
            <w:r>
              <w:rPr>
                <w:rFonts w:hint="eastAsia"/>
                <w:bCs/>
                <w:color w:val="auto"/>
                <w:szCs w:val="21"/>
                <w:lang w:val="en-US" w:eastAsia="zh-CN"/>
              </w:rPr>
              <w:t xml:space="preserve">。 </w:t>
            </w:r>
          </w:p>
          <w:p w14:paraId="1DF3A514">
            <w:pPr>
              <w:spacing w:line="360" w:lineRule="auto"/>
              <w:ind w:firstLine="420" w:firstLineChars="200"/>
              <w:rPr>
                <w:rFonts w:hint="default"/>
                <w:bCs/>
                <w:color w:val="auto"/>
                <w:szCs w:val="21"/>
                <w:lang w:val="en-US" w:eastAsia="zh-CN"/>
              </w:rPr>
            </w:pPr>
            <w:r>
              <w:rPr>
                <w:rFonts w:hint="eastAsia"/>
                <w:bCs/>
                <w:color w:val="auto"/>
                <w:szCs w:val="21"/>
                <w:lang w:val="en-US" w:eastAsia="zh-CN"/>
              </w:rPr>
              <w:t>③康养护理用水：本项目设置有2座护理楼，为需要疗养、康养的老人提供服务，1#和2#护理楼共设置有311间，用水定额按120L/d计，则康养护理用水量为37.32m</w:t>
            </w:r>
            <w:r>
              <w:rPr>
                <w:rFonts w:hint="eastAsia"/>
                <w:bCs/>
                <w:color w:val="auto"/>
                <w:szCs w:val="21"/>
                <w:vertAlign w:val="superscript"/>
                <w:lang w:val="en-US" w:eastAsia="zh-CN"/>
              </w:rPr>
              <w:t>3</w:t>
            </w:r>
            <w:r>
              <w:rPr>
                <w:rFonts w:hint="eastAsia"/>
                <w:bCs/>
                <w:color w:val="auto"/>
                <w:szCs w:val="21"/>
                <w:lang w:val="en-US" w:eastAsia="zh-CN"/>
              </w:rPr>
              <w:t>/d。</w:t>
            </w:r>
          </w:p>
          <w:p w14:paraId="7FD6D7E0">
            <w:pPr>
              <w:spacing w:line="360" w:lineRule="auto"/>
              <w:ind w:firstLine="420" w:firstLineChars="200"/>
              <w:rPr>
                <w:bCs/>
                <w:color w:val="auto"/>
                <w:szCs w:val="21"/>
              </w:rPr>
            </w:pPr>
            <w:r>
              <w:rPr>
                <w:rFonts w:hint="eastAsia"/>
                <w:bCs/>
                <w:color w:val="auto"/>
                <w:szCs w:val="21"/>
                <w:lang w:val="en-US" w:eastAsia="zh-CN"/>
              </w:rPr>
              <w:t>④职工办公生活用水：本医院劳动定员共计286人，根据《综合医院建筑设计规范》（</w:t>
            </w:r>
            <w:r>
              <w:rPr>
                <w:rFonts w:hint="default"/>
                <w:bCs/>
                <w:color w:val="auto"/>
                <w:szCs w:val="21"/>
                <w:lang w:val="en-US" w:eastAsia="zh-CN"/>
              </w:rPr>
              <w:t>GB51039-2014</w:t>
            </w:r>
            <w:r>
              <w:rPr>
                <w:rFonts w:hint="eastAsia"/>
                <w:bCs/>
                <w:color w:val="auto"/>
                <w:szCs w:val="21"/>
                <w:lang w:val="en-US" w:eastAsia="zh-CN"/>
              </w:rPr>
              <w:t>），医务人员用水定额为</w:t>
            </w:r>
            <w:r>
              <w:rPr>
                <w:rFonts w:hint="default"/>
                <w:bCs/>
                <w:color w:val="auto"/>
                <w:szCs w:val="21"/>
                <w:lang w:val="en-US" w:eastAsia="zh-CN"/>
              </w:rPr>
              <w:t>150~250 L/</w:t>
            </w:r>
            <w:r>
              <w:rPr>
                <w:rFonts w:hint="eastAsia"/>
                <w:bCs/>
                <w:color w:val="auto"/>
                <w:szCs w:val="21"/>
                <w:lang w:val="en-US" w:eastAsia="zh-CN"/>
              </w:rPr>
              <w:t>（</w:t>
            </w:r>
            <w:r>
              <w:rPr>
                <w:rFonts w:hint="default"/>
                <w:bCs/>
                <w:color w:val="auto"/>
                <w:szCs w:val="21"/>
                <w:lang w:val="en-US" w:eastAsia="zh-CN"/>
              </w:rPr>
              <w:t>p·</w:t>
            </w:r>
            <w:r>
              <w:rPr>
                <w:rFonts w:hint="eastAsia"/>
                <w:bCs/>
                <w:color w:val="auto"/>
                <w:szCs w:val="21"/>
                <w:lang w:val="en-US" w:eastAsia="zh-CN"/>
              </w:rPr>
              <w:t xml:space="preserve">班），本次评价用水定额按 </w:t>
            </w:r>
            <w:r>
              <w:rPr>
                <w:rFonts w:hint="default"/>
                <w:bCs/>
                <w:color w:val="auto"/>
                <w:szCs w:val="21"/>
                <w:lang w:val="en-US" w:eastAsia="zh-CN"/>
              </w:rPr>
              <w:t>200L/</w:t>
            </w:r>
            <w:r>
              <w:rPr>
                <w:rFonts w:hint="eastAsia"/>
                <w:bCs/>
                <w:color w:val="auto"/>
                <w:szCs w:val="21"/>
                <w:lang w:val="en-US" w:eastAsia="zh-CN"/>
              </w:rPr>
              <w:t>（</w:t>
            </w:r>
            <w:r>
              <w:rPr>
                <w:rFonts w:hint="default"/>
                <w:bCs/>
                <w:color w:val="auto"/>
                <w:szCs w:val="21"/>
                <w:lang w:val="en-US" w:eastAsia="zh-CN"/>
              </w:rPr>
              <w:t>p·</w:t>
            </w:r>
            <w:r>
              <w:rPr>
                <w:rFonts w:hint="eastAsia"/>
                <w:bCs/>
                <w:color w:val="auto"/>
                <w:szCs w:val="21"/>
                <w:lang w:val="en-US" w:eastAsia="zh-CN"/>
              </w:rPr>
              <w:t>班）计，医院后勤职工用水定额为</w:t>
            </w:r>
            <w:r>
              <w:rPr>
                <w:rFonts w:hint="default"/>
                <w:bCs/>
                <w:color w:val="auto"/>
                <w:szCs w:val="21"/>
                <w:lang w:val="en-US" w:eastAsia="zh-CN"/>
              </w:rPr>
              <w:t>80~100 L/</w:t>
            </w:r>
            <w:r>
              <w:rPr>
                <w:rFonts w:hint="eastAsia"/>
                <w:bCs/>
                <w:color w:val="auto"/>
                <w:szCs w:val="21"/>
                <w:lang w:val="en-US" w:eastAsia="zh-CN"/>
              </w:rPr>
              <w:t>（</w:t>
            </w:r>
            <w:r>
              <w:rPr>
                <w:rFonts w:hint="default"/>
                <w:bCs/>
                <w:color w:val="auto"/>
                <w:szCs w:val="21"/>
                <w:lang w:val="en-US" w:eastAsia="zh-CN"/>
              </w:rPr>
              <w:t>p·</w:t>
            </w:r>
            <w:r>
              <w:rPr>
                <w:rFonts w:hint="eastAsia"/>
                <w:bCs/>
                <w:color w:val="auto"/>
                <w:szCs w:val="21"/>
                <w:lang w:val="en-US" w:eastAsia="zh-CN"/>
              </w:rPr>
              <w:t>班），本次评价用水定额按 8</w:t>
            </w:r>
            <w:r>
              <w:rPr>
                <w:rFonts w:hint="default"/>
                <w:bCs/>
                <w:color w:val="auto"/>
                <w:szCs w:val="21"/>
                <w:lang w:val="en-US" w:eastAsia="zh-CN"/>
              </w:rPr>
              <w:t>0L/</w:t>
            </w:r>
            <w:r>
              <w:rPr>
                <w:rFonts w:hint="eastAsia"/>
                <w:bCs/>
                <w:color w:val="auto"/>
                <w:szCs w:val="21"/>
                <w:lang w:val="en-US" w:eastAsia="zh-CN"/>
              </w:rPr>
              <w:t>（</w:t>
            </w:r>
            <w:r>
              <w:rPr>
                <w:rFonts w:hint="default"/>
                <w:bCs/>
                <w:color w:val="auto"/>
                <w:szCs w:val="21"/>
                <w:lang w:val="en-US" w:eastAsia="zh-CN"/>
              </w:rPr>
              <w:t>p·</w:t>
            </w:r>
            <w:r>
              <w:rPr>
                <w:rFonts w:hint="eastAsia"/>
                <w:bCs/>
                <w:color w:val="auto"/>
                <w:szCs w:val="21"/>
                <w:lang w:val="en-US" w:eastAsia="zh-CN"/>
              </w:rPr>
              <w:t>班）计，则职工生活办公用水量为45.68</w:t>
            </w:r>
            <w:r>
              <w:rPr>
                <w:rFonts w:hint="default"/>
                <w:bCs/>
                <w:color w:val="auto"/>
                <w:szCs w:val="21"/>
                <w:lang w:val="en-US" w:eastAsia="zh-CN"/>
              </w:rPr>
              <w:t>m</w:t>
            </w:r>
            <w:r>
              <w:rPr>
                <w:rFonts w:hint="default"/>
                <w:bCs/>
                <w:color w:val="auto"/>
                <w:szCs w:val="21"/>
                <w:vertAlign w:val="superscript"/>
                <w:lang w:val="en-US" w:eastAsia="zh-CN"/>
              </w:rPr>
              <w:t>3</w:t>
            </w:r>
            <w:r>
              <w:rPr>
                <w:rFonts w:hint="default"/>
                <w:bCs/>
                <w:color w:val="auto"/>
                <w:szCs w:val="21"/>
                <w:lang w:val="en-US" w:eastAsia="zh-CN"/>
              </w:rPr>
              <w:t>/d</w:t>
            </w:r>
            <w:r>
              <w:rPr>
                <w:rFonts w:hint="eastAsia"/>
                <w:bCs/>
                <w:color w:val="auto"/>
                <w:szCs w:val="21"/>
                <w:lang w:val="en-US" w:eastAsia="zh-CN"/>
              </w:rPr>
              <w:t xml:space="preserve">。 </w:t>
            </w:r>
          </w:p>
          <w:p w14:paraId="2A56FBD9">
            <w:pPr>
              <w:spacing w:line="360" w:lineRule="auto"/>
              <w:ind w:firstLine="420" w:firstLineChars="200"/>
              <w:rPr>
                <w:bCs/>
                <w:color w:val="auto"/>
                <w:szCs w:val="21"/>
              </w:rPr>
            </w:pPr>
            <w:r>
              <w:rPr>
                <w:rFonts w:hint="eastAsia"/>
                <w:bCs/>
                <w:color w:val="auto"/>
                <w:szCs w:val="21"/>
                <w:lang w:val="en-US" w:eastAsia="zh-CN"/>
              </w:rPr>
              <w:t xml:space="preserve">⑤特殊性质医疗用水：特殊性质医疗用水水主要指医院检验、分析过程用水，项目采用外购的成品检测试剂，特殊医疗废水主要为酸性废水，根据建设单位提供资料，特殊性质医疗用水量约为 </w:t>
            </w:r>
            <w:r>
              <w:rPr>
                <w:rFonts w:hint="default"/>
                <w:bCs/>
                <w:color w:val="auto"/>
                <w:szCs w:val="21"/>
                <w:lang w:val="en-US" w:eastAsia="zh-CN"/>
              </w:rPr>
              <w:t>0.</w:t>
            </w:r>
            <w:r>
              <w:rPr>
                <w:rFonts w:hint="eastAsia"/>
                <w:bCs/>
                <w:color w:val="auto"/>
                <w:szCs w:val="21"/>
                <w:lang w:val="en-US" w:eastAsia="zh-CN"/>
              </w:rPr>
              <w:t>2</w:t>
            </w:r>
            <w:r>
              <w:rPr>
                <w:rFonts w:hint="default"/>
                <w:bCs/>
                <w:color w:val="auto"/>
                <w:szCs w:val="21"/>
                <w:lang w:val="en-US" w:eastAsia="zh-CN"/>
              </w:rPr>
              <w:t>m</w:t>
            </w:r>
            <w:r>
              <w:rPr>
                <w:rFonts w:hint="default"/>
                <w:bCs/>
                <w:color w:val="auto"/>
                <w:szCs w:val="21"/>
                <w:vertAlign w:val="superscript"/>
                <w:lang w:val="en-US" w:eastAsia="zh-CN"/>
              </w:rPr>
              <w:t>3</w:t>
            </w:r>
            <w:r>
              <w:rPr>
                <w:rFonts w:hint="default"/>
                <w:bCs/>
                <w:color w:val="auto"/>
                <w:szCs w:val="21"/>
                <w:lang w:val="en-US" w:eastAsia="zh-CN"/>
              </w:rPr>
              <w:t>/d</w:t>
            </w:r>
            <w:r>
              <w:rPr>
                <w:rFonts w:hint="eastAsia"/>
                <w:bCs/>
                <w:color w:val="auto"/>
                <w:szCs w:val="21"/>
                <w:lang w:val="en-US" w:eastAsia="zh-CN"/>
              </w:rPr>
              <w:t xml:space="preserve">。 </w:t>
            </w:r>
          </w:p>
          <w:p w14:paraId="1A314B86">
            <w:pPr>
              <w:spacing w:line="360" w:lineRule="auto"/>
              <w:ind w:firstLine="420" w:firstLineChars="200"/>
              <w:rPr>
                <w:bCs/>
                <w:color w:val="auto"/>
                <w:szCs w:val="21"/>
              </w:rPr>
            </w:pPr>
            <w:r>
              <w:rPr>
                <w:rFonts w:hint="eastAsia"/>
                <w:bCs/>
                <w:color w:val="auto"/>
                <w:szCs w:val="21"/>
                <w:lang w:val="en-US" w:eastAsia="zh-CN"/>
              </w:rPr>
              <w:t>⑥食堂用水：根据《综合医院建筑设计规范》（</w:t>
            </w:r>
            <w:r>
              <w:rPr>
                <w:rFonts w:hint="default"/>
                <w:bCs/>
                <w:color w:val="auto"/>
                <w:szCs w:val="21"/>
                <w:lang w:val="en-US" w:eastAsia="zh-CN"/>
              </w:rPr>
              <w:t>GB51039-2014</w:t>
            </w:r>
            <w:r>
              <w:rPr>
                <w:rFonts w:hint="eastAsia"/>
                <w:bCs/>
                <w:color w:val="auto"/>
                <w:szCs w:val="21"/>
                <w:lang w:val="en-US" w:eastAsia="zh-CN"/>
              </w:rPr>
              <w:t>），食堂用水定额为</w:t>
            </w:r>
            <w:r>
              <w:rPr>
                <w:rFonts w:hint="default"/>
                <w:bCs/>
                <w:color w:val="auto"/>
                <w:szCs w:val="21"/>
                <w:lang w:val="en-US" w:eastAsia="zh-CN"/>
              </w:rPr>
              <w:t>20~25L/</w:t>
            </w:r>
            <w:r>
              <w:rPr>
                <w:rFonts w:hint="eastAsia"/>
                <w:bCs/>
                <w:color w:val="auto"/>
                <w:szCs w:val="21"/>
                <w:lang w:val="en-US" w:eastAsia="zh-CN"/>
              </w:rPr>
              <w:t>（</w:t>
            </w:r>
            <w:r>
              <w:rPr>
                <w:rFonts w:hint="default"/>
                <w:bCs/>
                <w:color w:val="auto"/>
                <w:szCs w:val="21"/>
                <w:lang w:val="en-US" w:eastAsia="zh-CN"/>
              </w:rPr>
              <w:t>p·</w:t>
            </w:r>
            <w:r>
              <w:rPr>
                <w:rFonts w:hint="eastAsia"/>
                <w:bCs/>
                <w:color w:val="auto"/>
                <w:szCs w:val="21"/>
                <w:lang w:val="en-US" w:eastAsia="zh-CN"/>
              </w:rPr>
              <w:t xml:space="preserve">次），本次评价取值最大值 </w:t>
            </w:r>
            <w:r>
              <w:rPr>
                <w:rFonts w:hint="default"/>
                <w:bCs/>
                <w:color w:val="auto"/>
                <w:szCs w:val="21"/>
                <w:lang w:val="en-US" w:eastAsia="zh-CN"/>
              </w:rPr>
              <w:t>25L/</w:t>
            </w:r>
            <w:r>
              <w:rPr>
                <w:rFonts w:hint="eastAsia"/>
                <w:bCs/>
                <w:color w:val="auto"/>
                <w:szCs w:val="21"/>
                <w:lang w:val="en-US" w:eastAsia="zh-CN"/>
              </w:rPr>
              <w:t>（</w:t>
            </w:r>
            <w:r>
              <w:rPr>
                <w:rFonts w:hint="default"/>
                <w:bCs/>
                <w:color w:val="auto"/>
                <w:szCs w:val="21"/>
                <w:lang w:val="en-US" w:eastAsia="zh-CN"/>
              </w:rPr>
              <w:t>p·</w:t>
            </w:r>
            <w:r>
              <w:rPr>
                <w:rFonts w:hint="eastAsia"/>
                <w:bCs/>
                <w:color w:val="auto"/>
                <w:szCs w:val="21"/>
                <w:lang w:val="en-US" w:eastAsia="zh-CN"/>
              </w:rPr>
              <w:t>次）；根据项目设计资料显示，食堂日用餐人数约为</w:t>
            </w:r>
            <w:r>
              <w:rPr>
                <w:rFonts w:hint="default"/>
                <w:bCs/>
                <w:color w:val="auto"/>
                <w:szCs w:val="21"/>
                <w:lang w:val="en-US" w:eastAsia="zh-CN"/>
              </w:rPr>
              <w:t>200</w:t>
            </w:r>
            <w:r>
              <w:rPr>
                <w:rFonts w:hint="eastAsia"/>
                <w:bCs/>
                <w:color w:val="auto"/>
                <w:szCs w:val="21"/>
                <w:lang w:val="en-US" w:eastAsia="zh-CN"/>
              </w:rPr>
              <w:t>人，则食堂用水量约为</w:t>
            </w:r>
            <w:r>
              <w:rPr>
                <w:rFonts w:hint="default"/>
                <w:bCs/>
                <w:color w:val="auto"/>
                <w:szCs w:val="21"/>
                <w:lang w:val="en-US" w:eastAsia="zh-CN"/>
              </w:rPr>
              <w:t>5.0m</w:t>
            </w:r>
            <w:r>
              <w:rPr>
                <w:rFonts w:hint="default"/>
                <w:bCs/>
                <w:color w:val="auto"/>
                <w:szCs w:val="21"/>
                <w:vertAlign w:val="superscript"/>
                <w:lang w:val="en-US" w:eastAsia="zh-CN"/>
              </w:rPr>
              <w:t>3</w:t>
            </w:r>
            <w:r>
              <w:rPr>
                <w:rFonts w:hint="default"/>
                <w:bCs/>
                <w:color w:val="auto"/>
                <w:szCs w:val="21"/>
                <w:lang w:val="en-US" w:eastAsia="zh-CN"/>
              </w:rPr>
              <w:t xml:space="preserve"> /d</w:t>
            </w:r>
            <w:r>
              <w:rPr>
                <w:rFonts w:hint="eastAsia"/>
                <w:bCs/>
                <w:color w:val="auto"/>
                <w:szCs w:val="21"/>
                <w:lang w:val="en-US" w:eastAsia="zh-CN"/>
              </w:rPr>
              <w:t xml:space="preserve">。 </w:t>
            </w:r>
          </w:p>
          <w:p w14:paraId="2D878536">
            <w:pPr>
              <w:spacing w:line="360" w:lineRule="auto"/>
              <w:ind w:firstLine="420" w:firstLineChars="200"/>
              <w:rPr>
                <w:bCs/>
                <w:color w:val="auto"/>
                <w:szCs w:val="21"/>
              </w:rPr>
            </w:pPr>
            <w:r>
              <w:rPr>
                <w:rFonts w:hint="eastAsia"/>
                <w:bCs/>
                <w:color w:val="auto"/>
                <w:szCs w:val="21"/>
                <w:lang w:val="en-US" w:eastAsia="zh-CN"/>
              </w:rPr>
              <w:t xml:space="preserve">⑦地面清洗用水：按 </w:t>
            </w:r>
            <w:r>
              <w:rPr>
                <w:rFonts w:hint="default"/>
                <w:bCs/>
                <w:color w:val="auto"/>
                <w:szCs w:val="21"/>
                <w:lang w:val="en-US" w:eastAsia="zh-CN"/>
              </w:rPr>
              <w:t>0.1L/m</w:t>
            </w:r>
            <w:r>
              <w:rPr>
                <w:rFonts w:hint="default"/>
                <w:bCs/>
                <w:color w:val="auto"/>
                <w:szCs w:val="21"/>
                <w:vertAlign w:val="superscript"/>
                <w:lang w:val="en-US" w:eastAsia="zh-CN"/>
              </w:rPr>
              <w:t>2</w:t>
            </w:r>
            <w:r>
              <w:rPr>
                <w:rFonts w:hint="default"/>
                <w:bCs/>
                <w:color w:val="auto"/>
                <w:szCs w:val="21"/>
                <w:lang w:val="en-US" w:eastAsia="zh-CN"/>
              </w:rPr>
              <w:t xml:space="preserve"> </w:t>
            </w:r>
            <w:r>
              <w:rPr>
                <w:rFonts w:hint="eastAsia"/>
                <w:bCs/>
                <w:color w:val="auto"/>
                <w:szCs w:val="21"/>
                <w:lang w:val="en-US" w:eastAsia="zh-CN"/>
              </w:rPr>
              <w:t>·</w:t>
            </w:r>
            <w:r>
              <w:rPr>
                <w:rFonts w:hint="default"/>
                <w:bCs/>
                <w:color w:val="auto"/>
                <w:szCs w:val="21"/>
                <w:lang w:val="en-US" w:eastAsia="zh-CN"/>
              </w:rPr>
              <w:t xml:space="preserve">d </w:t>
            </w:r>
            <w:r>
              <w:rPr>
                <w:rFonts w:hint="eastAsia"/>
                <w:bCs/>
                <w:color w:val="auto"/>
                <w:szCs w:val="21"/>
                <w:lang w:val="en-US" w:eastAsia="zh-CN"/>
              </w:rPr>
              <w:t xml:space="preserve">进行估算，本项目总建筑面积 </w:t>
            </w:r>
            <w:r>
              <w:rPr>
                <w:rFonts w:hint="default"/>
                <w:bCs/>
                <w:color w:val="auto"/>
                <w:szCs w:val="21"/>
                <w:lang w:val="en-US" w:eastAsia="zh-CN"/>
              </w:rPr>
              <w:t>1</w:t>
            </w:r>
            <w:r>
              <w:rPr>
                <w:rFonts w:hint="eastAsia"/>
                <w:bCs/>
                <w:color w:val="auto"/>
                <w:szCs w:val="21"/>
                <w:lang w:val="en-US" w:eastAsia="zh-CN"/>
              </w:rPr>
              <w:t>13851</w:t>
            </w:r>
            <w:r>
              <w:rPr>
                <w:rFonts w:hint="default"/>
                <w:bCs/>
                <w:color w:val="auto"/>
                <w:szCs w:val="21"/>
                <w:lang w:val="en-US" w:eastAsia="zh-CN"/>
              </w:rPr>
              <w:t>m</w:t>
            </w:r>
            <w:r>
              <w:rPr>
                <w:rFonts w:hint="default"/>
                <w:bCs/>
                <w:color w:val="auto"/>
                <w:szCs w:val="21"/>
                <w:vertAlign w:val="superscript"/>
                <w:lang w:val="en-US" w:eastAsia="zh-CN"/>
              </w:rPr>
              <w:t>2</w:t>
            </w:r>
            <w:r>
              <w:rPr>
                <w:rFonts w:hint="eastAsia"/>
                <w:bCs/>
                <w:color w:val="auto"/>
                <w:szCs w:val="21"/>
                <w:lang w:val="en-US" w:eastAsia="zh-CN"/>
              </w:rPr>
              <w:t xml:space="preserve">，则清洁用水量约为 </w:t>
            </w:r>
            <w:r>
              <w:rPr>
                <w:rFonts w:hint="default"/>
                <w:bCs/>
                <w:color w:val="auto"/>
                <w:szCs w:val="21"/>
                <w:lang w:val="en-US" w:eastAsia="zh-CN"/>
              </w:rPr>
              <w:t>1</w:t>
            </w:r>
            <w:r>
              <w:rPr>
                <w:rFonts w:hint="eastAsia"/>
                <w:bCs/>
                <w:color w:val="auto"/>
                <w:szCs w:val="21"/>
                <w:lang w:val="en-US" w:eastAsia="zh-CN"/>
              </w:rPr>
              <w:t>1.39</w:t>
            </w:r>
            <w:r>
              <w:rPr>
                <w:rFonts w:hint="default"/>
                <w:bCs/>
                <w:color w:val="auto"/>
                <w:szCs w:val="21"/>
                <w:lang w:val="en-US" w:eastAsia="zh-CN"/>
              </w:rPr>
              <w:t>m</w:t>
            </w:r>
            <w:r>
              <w:rPr>
                <w:rFonts w:hint="default"/>
                <w:bCs/>
                <w:color w:val="auto"/>
                <w:szCs w:val="21"/>
                <w:vertAlign w:val="superscript"/>
                <w:lang w:val="en-US" w:eastAsia="zh-CN"/>
              </w:rPr>
              <w:t xml:space="preserve">3 </w:t>
            </w:r>
            <w:r>
              <w:rPr>
                <w:rFonts w:hint="default"/>
                <w:bCs/>
                <w:color w:val="auto"/>
                <w:szCs w:val="21"/>
                <w:lang w:val="en-US" w:eastAsia="zh-CN"/>
              </w:rPr>
              <w:t>/d</w:t>
            </w:r>
            <w:r>
              <w:rPr>
                <w:rFonts w:hint="eastAsia"/>
                <w:bCs/>
                <w:color w:val="auto"/>
                <w:szCs w:val="21"/>
                <w:lang w:val="en-US" w:eastAsia="zh-CN"/>
              </w:rPr>
              <w:t xml:space="preserve">。 </w:t>
            </w:r>
          </w:p>
          <w:p w14:paraId="6E19E111">
            <w:pPr>
              <w:spacing w:line="360" w:lineRule="auto"/>
              <w:ind w:firstLine="420" w:firstLineChars="200"/>
              <w:rPr>
                <w:bCs/>
                <w:color w:val="auto"/>
                <w:szCs w:val="21"/>
              </w:rPr>
            </w:pPr>
            <w:r>
              <w:rPr>
                <w:rFonts w:hint="eastAsia"/>
                <w:bCs/>
                <w:color w:val="auto"/>
                <w:szCs w:val="21"/>
                <w:lang w:val="en-US" w:eastAsia="zh-CN"/>
              </w:rPr>
              <w:t>⑧绿化用水：项目绿化面积14000</w:t>
            </w:r>
            <w:r>
              <w:rPr>
                <w:rFonts w:hint="default"/>
                <w:bCs/>
                <w:color w:val="auto"/>
                <w:szCs w:val="21"/>
                <w:lang w:val="en-US" w:eastAsia="zh-CN"/>
              </w:rPr>
              <w:t>m</w:t>
            </w:r>
            <w:r>
              <w:rPr>
                <w:rFonts w:hint="default"/>
                <w:bCs/>
                <w:color w:val="auto"/>
                <w:szCs w:val="21"/>
                <w:vertAlign w:val="superscript"/>
                <w:lang w:val="en-US" w:eastAsia="zh-CN"/>
              </w:rPr>
              <w:t>2</w:t>
            </w:r>
            <w:r>
              <w:rPr>
                <w:rFonts w:hint="eastAsia"/>
                <w:bCs/>
                <w:color w:val="auto"/>
                <w:szCs w:val="21"/>
                <w:lang w:val="en-US" w:eastAsia="zh-CN"/>
              </w:rPr>
              <w:t xml:space="preserve">，绿化用水定额按 </w:t>
            </w:r>
            <w:r>
              <w:rPr>
                <w:rFonts w:hint="default"/>
                <w:bCs/>
                <w:color w:val="auto"/>
                <w:szCs w:val="21"/>
                <w:lang w:val="en-US" w:eastAsia="zh-CN"/>
              </w:rPr>
              <w:t>0.28m</w:t>
            </w:r>
            <w:r>
              <w:rPr>
                <w:rFonts w:hint="default"/>
                <w:bCs/>
                <w:color w:val="auto"/>
                <w:szCs w:val="21"/>
                <w:vertAlign w:val="superscript"/>
                <w:lang w:val="en-US" w:eastAsia="zh-CN"/>
              </w:rPr>
              <w:t>3</w:t>
            </w:r>
            <w:r>
              <w:rPr>
                <w:rFonts w:hint="default"/>
                <w:bCs/>
                <w:color w:val="auto"/>
                <w:szCs w:val="21"/>
                <w:lang w:val="en-US" w:eastAsia="zh-CN"/>
              </w:rPr>
              <w:t xml:space="preserve"> /(m</w:t>
            </w:r>
            <w:r>
              <w:rPr>
                <w:rFonts w:hint="default"/>
                <w:bCs/>
                <w:color w:val="auto"/>
                <w:szCs w:val="21"/>
                <w:vertAlign w:val="superscript"/>
                <w:lang w:val="en-US" w:eastAsia="zh-CN"/>
              </w:rPr>
              <w:t>2</w:t>
            </w:r>
            <w:r>
              <w:rPr>
                <w:rFonts w:hint="default"/>
                <w:bCs/>
                <w:color w:val="auto"/>
                <w:szCs w:val="21"/>
                <w:lang w:val="en-US" w:eastAsia="zh-CN"/>
              </w:rPr>
              <w:t>·a)</w:t>
            </w:r>
            <w:r>
              <w:rPr>
                <w:rFonts w:hint="eastAsia"/>
                <w:bCs/>
                <w:color w:val="auto"/>
                <w:szCs w:val="21"/>
                <w:lang w:val="en-US" w:eastAsia="zh-CN"/>
              </w:rPr>
              <w:t>，则绿化用水量为3920</w:t>
            </w:r>
            <w:r>
              <w:rPr>
                <w:rFonts w:hint="default"/>
                <w:bCs/>
                <w:color w:val="auto"/>
                <w:szCs w:val="21"/>
                <w:lang w:val="en-US" w:eastAsia="zh-CN"/>
              </w:rPr>
              <w:t>m</w:t>
            </w:r>
            <w:r>
              <w:rPr>
                <w:rFonts w:hint="default"/>
                <w:bCs/>
                <w:color w:val="auto"/>
                <w:szCs w:val="21"/>
                <w:vertAlign w:val="superscript"/>
                <w:lang w:val="en-US" w:eastAsia="zh-CN"/>
              </w:rPr>
              <w:t>3</w:t>
            </w:r>
            <w:r>
              <w:rPr>
                <w:rFonts w:hint="default"/>
                <w:bCs/>
                <w:color w:val="auto"/>
                <w:szCs w:val="21"/>
                <w:lang w:val="en-US" w:eastAsia="zh-CN"/>
              </w:rPr>
              <w:t xml:space="preserve"> /a</w:t>
            </w:r>
            <w:r>
              <w:rPr>
                <w:rFonts w:hint="eastAsia"/>
                <w:bCs/>
                <w:color w:val="auto"/>
                <w:szCs w:val="21"/>
                <w:lang w:val="en-US" w:eastAsia="zh-CN"/>
              </w:rPr>
              <w:t xml:space="preserve">，年绿化时间按 </w:t>
            </w:r>
            <w:r>
              <w:rPr>
                <w:rFonts w:hint="default"/>
                <w:bCs/>
                <w:color w:val="auto"/>
                <w:szCs w:val="21"/>
                <w:lang w:val="en-US" w:eastAsia="zh-CN"/>
              </w:rPr>
              <w:t xml:space="preserve">200d </w:t>
            </w:r>
            <w:r>
              <w:rPr>
                <w:rFonts w:hint="eastAsia"/>
                <w:bCs/>
                <w:color w:val="auto"/>
                <w:szCs w:val="21"/>
                <w:lang w:val="en-US" w:eastAsia="zh-CN"/>
              </w:rPr>
              <w:t>估算，则绿化用水量约为19.6</w:t>
            </w:r>
            <w:r>
              <w:rPr>
                <w:rFonts w:hint="default"/>
                <w:bCs/>
                <w:color w:val="auto"/>
                <w:szCs w:val="21"/>
                <w:lang w:val="en-US" w:eastAsia="zh-CN"/>
              </w:rPr>
              <w:t>m</w:t>
            </w:r>
            <w:r>
              <w:rPr>
                <w:rFonts w:hint="default"/>
                <w:bCs/>
                <w:color w:val="auto"/>
                <w:szCs w:val="21"/>
                <w:vertAlign w:val="superscript"/>
                <w:lang w:val="en-US" w:eastAsia="zh-CN"/>
              </w:rPr>
              <w:t>3</w:t>
            </w:r>
            <w:r>
              <w:rPr>
                <w:rFonts w:hint="default"/>
                <w:bCs/>
                <w:color w:val="auto"/>
                <w:szCs w:val="21"/>
                <w:lang w:val="en-US" w:eastAsia="zh-CN"/>
              </w:rPr>
              <w:t>/d</w:t>
            </w:r>
            <w:r>
              <w:rPr>
                <w:rFonts w:hint="eastAsia"/>
                <w:bCs/>
                <w:color w:val="auto"/>
                <w:szCs w:val="21"/>
                <w:lang w:val="en-US" w:eastAsia="zh-CN"/>
              </w:rPr>
              <w:t>。</w:t>
            </w:r>
          </w:p>
          <w:p w14:paraId="02131BF3">
            <w:pPr>
              <w:spacing w:line="360" w:lineRule="auto"/>
              <w:ind w:firstLine="420" w:firstLineChars="200"/>
              <w:rPr>
                <w:rFonts w:hint="default" w:eastAsia="宋体"/>
                <w:color w:val="auto"/>
                <w:szCs w:val="21"/>
                <w:lang w:val="en-US" w:eastAsia="zh-CN"/>
              </w:rPr>
            </w:pPr>
            <w:r>
              <w:rPr>
                <w:color w:val="auto"/>
                <w:szCs w:val="21"/>
              </w:rPr>
              <w:t>（3）排水：</w:t>
            </w:r>
            <w:r>
              <w:rPr>
                <w:rFonts w:hint="eastAsia"/>
                <w:color w:val="auto"/>
                <w:szCs w:val="21"/>
                <w:lang w:val="en-US" w:eastAsia="zh-CN"/>
              </w:rPr>
              <w:t>项目采取雨污分流制。</w:t>
            </w:r>
          </w:p>
          <w:p w14:paraId="3036ED6B">
            <w:pPr>
              <w:spacing w:line="360" w:lineRule="auto"/>
              <w:ind w:firstLine="420" w:firstLineChars="200"/>
              <w:rPr>
                <w:rFonts w:hint="default"/>
                <w:color w:val="auto"/>
                <w:szCs w:val="21"/>
                <w:lang w:val="en-US" w:eastAsia="zh-CN"/>
              </w:rPr>
            </w:pPr>
            <w:r>
              <w:rPr>
                <w:rFonts w:hint="eastAsia"/>
                <w:color w:val="auto"/>
                <w:szCs w:val="21"/>
                <w:lang w:val="en-US" w:eastAsia="zh-CN"/>
              </w:rPr>
              <w:t>项目运营期废水主要包括普通医疗废水、特殊性质医疗废水、职工生活污水、食堂废水等。排水系数按80%估算，具体排水情况见下表及水平衡图。</w:t>
            </w:r>
          </w:p>
          <w:p w14:paraId="6F9871B3">
            <w:pPr>
              <w:spacing w:line="360" w:lineRule="auto"/>
              <w:ind w:firstLine="420" w:firstLineChars="200"/>
              <w:rPr>
                <w:rFonts w:hint="eastAsia"/>
                <w:bCs/>
                <w:color w:val="auto"/>
                <w:szCs w:val="21"/>
                <w:lang w:val="en-US" w:eastAsia="zh-CN"/>
              </w:rPr>
            </w:pPr>
            <w:r>
              <w:rPr>
                <w:rFonts w:hint="eastAsia"/>
                <w:bCs/>
                <w:color w:val="auto"/>
                <w:szCs w:val="21"/>
                <w:lang w:val="en-US" w:eastAsia="zh-CN"/>
              </w:rPr>
              <w:t>食堂废水经隔油处理，特殊医疗废水经预处理后，与其他废水一并排入化粪池，经沉淀处理后，排入自建污水处理站，经处理达标后，通入园区污水管网，最终进入大同市开发区污水处理厂。</w:t>
            </w:r>
          </w:p>
          <w:p w14:paraId="489F2DB7">
            <w:pPr>
              <w:spacing w:line="360" w:lineRule="auto"/>
              <w:ind w:firstLine="420" w:firstLineChars="200"/>
              <w:rPr>
                <w:color w:val="auto"/>
                <w:szCs w:val="21"/>
              </w:rPr>
            </w:pPr>
            <w:r>
              <w:rPr>
                <w:color w:val="auto"/>
                <w:szCs w:val="21"/>
              </w:rPr>
              <w:t>项目用水排水情况见表2-</w:t>
            </w:r>
            <w:r>
              <w:rPr>
                <w:rFonts w:hint="eastAsia"/>
                <w:color w:val="auto"/>
                <w:szCs w:val="21"/>
                <w:lang w:val="en-US" w:eastAsia="zh-CN"/>
              </w:rPr>
              <w:t>4</w:t>
            </w:r>
            <w:r>
              <w:rPr>
                <w:color w:val="auto"/>
                <w:szCs w:val="21"/>
              </w:rPr>
              <w:t>，水平衡图见图2-1</w:t>
            </w:r>
            <w:r>
              <w:rPr>
                <w:rFonts w:hint="eastAsia"/>
                <w:color w:val="auto"/>
                <w:szCs w:val="21"/>
              </w:rPr>
              <w:t>、2-2</w:t>
            </w:r>
            <w:r>
              <w:rPr>
                <w:color w:val="auto"/>
                <w:szCs w:val="21"/>
              </w:rPr>
              <w:t>。</w:t>
            </w:r>
          </w:p>
          <w:p w14:paraId="069DE4E5">
            <w:pPr>
              <w:pStyle w:val="77"/>
              <w:snapToGrid/>
              <w:spacing w:line="240" w:lineRule="exact"/>
              <w:ind w:firstLine="361"/>
              <w:jc w:val="center"/>
              <w:rPr>
                <w:rFonts w:ascii="Times New Roman" w:hAnsi="Times New Roman"/>
                <w:color w:val="auto"/>
                <w:sz w:val="18"/>
                <w:szCs w:val="18"/>
              </w:rPr>
            </w:pPr>
            <w:r>
              <w:rPr>
                <w:rFonts w:ascii="Times New Roman" w:hAnsi="Times New Roman"/>
                <w:color w:val="auto"/>
                <w:sz w:val="18"/>
                <w:szCs w:val="18"/>
              </w:rPr>
              <w:t>表2-</w:t>
            </w:r>
            <w:r>
              <w:rPr>
                <w:rFonts w:hint="eastAsia" w:ascii="Times New Roman" w:hAnsi="Times New Roman"/>
                <w:color w:val="auto"/>
                <w:sz w:val="18"/>
                <w:szCs w:val="18"/>
                <w:lang w:val="en-US" w:eastAsia="zh-CN"/>
              </w:rPr>
              <w:t>4</w:t>
            </w:r>
            <w:r>
              <w:rPr>
                <w:rFonts w:ascii="Times New Roman" w:hAnsi="Times New Roman"/>
                <w:color w:val="auto"/>
                <w:sz w:val="18"/>
                <w:szCs w:val="18"/>
              </w:rPr>
              <w:t xml:space="preserve">    本项目用水量及废水产生量一览表</w:t>
            </w:r>
          </w:p>
          <w:tbl>
            <w:tblPr>
              <w:tblStyle w:val="48"/>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590"/>
              <w:gridCol w:w="1069"/>
              <w:gridCol w:w="948"/>
              <w:gridCol w:w="711"/>
              <w:gridCol w:w="801"/>
              <w:gridCol w:w="711"/>
              <w:gridCol w:w="892"/>
              <w:gridCol w:w="1531"/>
            </w:tblGrid>
            <w:tr w14:paraId="5E6C083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07" w:type="pct"/>
                  <w:vMerge w:val="restart"/>
                  <w:tcBorders>
                    <w:tl2br w:val="nil"/>
                    <w:tr2bl w:val="nil"/>
                  </w:tcBorders>
                  <w:vAlign w:val="center"/>
                </w:tcPr>
                <w:p w14:paraId="31FE1EFA">
                  <w:pPr>
                    <w:pStyle w:val="77"/>
                    <w:snapToGrid/>
                    <w:spacing w:line="240" w:lineRule="exact"/>
                    <w:ind w:left="0" w:leftChars="0" w:firstLine="0" w:firstLineChars="0"/>
                    <w:jc w:val="center"/>
                    <w:rPr>
                      <w:rFonts w:ascii="Times New Roman" w:hAnsi="Times New Roman"/>
                      <w:color w:val="auto"/>
                      <w:sz w:val="18"/>
                      <w:szCs w:val="18"/>
                      <w:vertAlign w:val="baseline"/>
                    </w:rPr>
                  </w:pPr>
                  <w:r>
                    <w:rPr>
                      <w:color w:val="auto"/>
                      <w:sz w:val="18"/>
                      <w:szCs w:val="18"/>
                    </w:rPr>
                    <w:t>用水类型</w:t>
                  </w:r>
                </w:p>
              </w:tc>
              <w:tc>
                <w:tcPr>
                  <w:tcW w:w="736" w:type="pct"/>
                  <w:vMerge w:val="restart"/>
                  <w:tcBorders>
                    <w:tl2br w:val="nil"/>
                    <w:tr2bl w:val="nil"/>
                  </w:tcBorders>
                  <w:vAlign w:val="center"/>
                </w:tcPr>
                <w:p w14:paraId="3E94DB86">
                  <w:pPr>
                    <w:jc w:val="center"/>
                    <w:rPr>
                      <w:rFonts w:ascii="Times New Roman" w:hAnsi="Times New Roman"/>
                      <w:color w:val="auto"/>
                      <w:sz w:val="18"/>
                      <w:szCs w:val="18"/>
                      <w:vertAlign w:val="baseline"/>
                    </w:rPr>
                  </w:pPr>
                  <w:r>
                    <w:rPr>
                      <w:color w:val="auto"/>
                      <w:sz w:val="18"/>
                      <w:szCs w:val="18"/>
                    </w:rPr>
                    <w:t>用水量指标</w:t>
                  </w:r>
                </w:p>
              </w:tc>
              <w:tc>
                <w:tcPr>
                  <w:tcW w:w="653" w:type="pct"/>
                  <w:vMerge w:val="restart"/>
                  <w:tcBorders>
                    <w:tl2br w:val="nil"/>
                    <w:tr2bl w:val="nil"/>
                  </w:tcBorders>
                  <w:vAlign w:val="center"/>
                </w:tcPr>
                <w:p w14:paraId="43C5742A">
                  <w:pPr>
                    <w:jc w:val="center"/>
                    <w:rPr>
                      <w:rFonts w:ascii="Times New Roman" w:hAnsi="Times New Roman" w:eastAsia="宋体" w:cs="Times New Roman"/>
                      <w:color w:val="auto"/>
                      <w:kern w:val="2"/>
                      <w:sz w:val="18"/>
                      <w:szCs w:val="18"/>
                      <w:lang w:val="en-US" w:eastAsia="zh-CN" w:bidi="ar-SA"/>
                    </w:rPr>
                  </w:pPr>
                  <w:r>
                    <w:rPr>
                      <w:color w:val="auto"/>
                      <w:sz w:val="18"/>
                      <w:szCs w:val="18"/>
                    </w:rPr>
                    <w:t>用水单位</w:t>
                  </w:r>
                </w:p>
                <w:p w14:paraId="08EFAEBE">
                  <w:pPr>
                    <w:pStyle w:val="77"/>
                    <w:snapToGrid/>
                    <w:spacing w:line="240" w:lineRule="exact"/>
                    <w:jc w:val="center"/>
                    <w:rPr>
                      <w:rFonts w:ascii="Times New Roman" w:hAnsi="Times New Roman"/>
                      <w:color w:val="auto"/>
                      <w:sz w:val="18"/>
                      <w:szCs w:val="18"/>
                      <w:vertAlign w:val="baseline"/>
                    </w:rPr>
                  </w:pPr>
                </w:p>
              </w:tc>
              <w:tc>
                <w:tcPr>
                  <w:tcW w:w="1042" w:type="pct"/>
                  <w:gridSpan w:val="2"/>
                  <w:tcBorders>
                    <w:tl2br w:val="nil"/>
                    <w:tr2bl w:val="nil"/>
                  </w:tcBorders>
                  <w:vAlign w:val="center"/>
                </w:tcPr>
                <w:p w14:paraId="1B9E5409">
                  <w:pPr>
                    <w:jc w:val="center"/>
                    <w:rPr>
                      <w:rFonts w:ascii="Times New Roman" w:hAnsi="Times New Roman"/>
                      <w:color w:val="auto"/>
                      <w:sz w:val="18"/>
                      <w:szCs w:val="18"/>
                      <w:vertAlign w:val="baseline"/>
                    </w:rPr>
                  </w:pPr>
                  <w:r>
                    <w:rPr>
                      <w:color w:val="auto"/>
                      <w:sz w:val="18"/>
                      <w:szCs w:val="18"/>
                    </w:rPr>
                    <w:t>用水量（m</w:t>
                  </w:r>
                  <w:r>
                    <w:rPr>
                      <w:color w:val="auto"/>
                      <w:sz w:val="18"/>
                      <w:szCs w:val="18"/>
                      <w:vertAlign w:val="superscript"/>
                    </w:rPr>
                    <w:t>3</w:t>
                  </w:r>
                  <w:r>
                    <w:rPr>
                      <w:color w:val="auto"/>
                      <w:sz w:val="18"/>
                      <w:szCs w:val="18"/>
                    </w:rPr>
                    <w:t>）</w:t>
                  </w:r>
                </w:p>
              </w:tc>
              <w:tc>
                <w:tcPr>
                  <w:tcW w:w="1104" w:type="pct"/>
                  <w:gridSpan w:val="2"/>
                  <w:tcBorders>
                    <w:tl2br w:val="nil"/>
                    <w:tr2bl w:val="nil"/>
                  </w:tcBorders>
                  <w:vAlign w:val="center"/>
                </w:tcPr>
                <w:p w14:paraId="70A5DD67">
                  <w:pPr>
                    <w:jc w:val="center"/>
                    <w:rPr>
                      <w:rFonts w:ascii="Times New Roman" w:hAnsi="Times New Roman"/>
                      <w:color w:val="auto"/>
                      <w:sz w:val="18"/>
                      <w:szCs w:val="18"/>
                      <w:vertAlign w:val="baseline"/>
                    </w:rPr>
                  </w:pPr>
                  <w:r>
                    <w:rPr>
                      <w:color w:val="auto"/>
                      <w:sz w:val="18"/>
                      <w:szCs w:val="18"/>
                    </w:rPr>
                    <w:t>排水量（m</w:t>
                  </w:r>
                  <w:r>
                    <w:rPr>
                      <w:color w:val="auto"/>
                      <w:sz w:val="18"/>
                      <w:szCs w:val="18"/>
                      <w:vertAlign w:val="superscript"/>
                    </w:rPr>
                    <w:t>3</w:t>
                  </w:r>
                  <w:r>
                    <w:rPr>
                      <w:color w:val="auto"/>
                      <w:sz w:val="18"/>
                      <w:szCs w:val="18"/>
                    </w:rPr>
                    <w:t>）</w:t>
                  </w:r>
                </w:p>
              </w:tc>
              <w:tc>
                <w:tcPr>
                  <w:tcW w:w="1055" w:type="pct"/>
                  <w:vMerge w:val="restart"/>
                  <w:tcBorders>
                    <w:tl2br w:val="nil"/>
                    <w:tr2bl w:val="nil"/>
                  </w:tcBorders>
                  <w:vAlign w:val="center"/>
                </w:tcPr>
                <w:p w14:paraId="03FD3D18">
                  <w:pPr>
                    <w:jc w:val="center"/>
                    <w:rPr>
                      <w:rFonts w:hint="eastAsia"/>
                      <w:color w:val="auto"/>
                      <w:sz w:val="18"/>
                      <w:szCs w:val="18"/>
                      <w:lang w:val="en-US" w:eastAsia="zh-CN"/>
                    </w:rPr>
                  </w:pPr>
                  <w:r>
                    <w:rPr>
                      <w:rFonts w:hint="eastAsia"/>
                      <w:color w:val="auto"/>
                      <w:sz w:val="18"/>
                      <w:szCs w:val="18"/>
                      <w:lang w:val="en-US" w:eastAsia="zh-CN"/>
                    </w:rPr>
                    <w:t>废水</w:t>
                  </w:r>
                </w:p>
                <w:p w14:paraId="091A7756">
                  <w:pPr>
                    <w:jc w:val="center"/>
                    <w:rPr>
                      <w:rFonts w:ascii="Times New Roman" w:hAnsi="Times New Roman"/>
                      <w:color w:val="auto"/>
                      <w:sz w:val="18"/>
                      <w:szCs w:val="18"/>
                      <w:vertAlign w:val="baseline"/>
                    </w:rPr>
                  </w:pPr>
                  <w:r>
                    <w:rPr>
                      <w:rFonts w:hint="eastAsia"/>
                      <w:color w:val="auto"/>
                      <w:sz w:val="18"/>
                      <w:szCs w:val="18"/>
                      <w:lang w:val="en-US" w:eastAsia="zh-CN"/>
                    </w:rPr>
                    <w:t>去向</w:t>
                  </w:r>
                </w:p>
              </w:tc>
            </w:tr>
            <w:tr w14:paraId="70B4EAC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07" w:type="pct"/>
                  <w:vMerge w:val="continue"/>
                  <w:tcBorders>
                    <w:tl2br w:val="nil"/>
                    <w:tr2bl w:val="nil"/>
                  </w:tcBorders>
                  <w:vAlign w:val="center"/>
                </w:tcPr>
                <w:p w14:paraId="7B8AE6EB">
                  <w:pPr>
                    <w:pStyle w:val="77"/>
                    <w:snapToGrid/>
                    <w:spacing w:line="240" w:lineRule="exact"/>
                    <w:jc w:val="center"/>
                    <w:rPr>
                      <w:rFonts w:ascii="Times New Roman" w:hAnsi="Times New Roman"/>
                      <w:color w:val="auto"/>
                      <w:sz w:val="18"/>
                      <w:szCs w:val="18"/>
                      <w:vertAlign w:val="baseline"/>
                    </w:rPr>
                  </w:pPr>
                </w:p>
              </w:tc>
              <w:tc>
                <w:tcPr>
                  <w:tcW w:w="736" w:type="pct"/>
                  <w:vMerge w:val="continue"/>
                  <w:tcBorders>
                    <w:tl2br w:val="nil"/>
                    <w:tr2bl w:val="nil"/>
                  </w:tcBorders>
                  <w:vAlign w:val="center"/>
                </w:tcPr>
                <w:p w14:paraId="354B2BDA">
                  <w:pPr>
                    <w:pStyle w:val="77"/>
                    <w:snapToGrid/>
                    <w:spacing w:line="240" w:lineRule="exact"/>
                    <w:jc w:val="center"/>
                    <w:rPr>
                      <w:rFonts w:ascii="Times New Roman" w:hAnsi="Times New Roman"/>
                      <w:color w:val="auto"/>
                      <w:sz w:val="18"/>
                      <w:szCs w:val="18"/>
                      <w:vertAlign w:val="baseline"/>
                    </w:rPr>
                  </w:pPr>
                </w:p>
              </w:tc>
              <w:tc>
                <w:tcPr>
                  <w:tcW w:w="653" w:type="pct"/>
                  <w:vMerge w:val="continue"/>
                  <w:tcBorders>
                    <w:tl2br w:val="nil"/>
                    <w:tr2bl w:val="nil"/>
                  </w:tcBorders>
                  <w:vAlign w:val="center"/>
                </w:tcPr>
                <w:p w14:paraId="7EBCC72D">
                  <w:pPr>
                    <w:pStyle w:val="77"/>
                    <w:snapToGrid/>
                    <w:spacing w:line="240" w:lineRule="exact"/>
                    <w:jc w:val="center"/>
                    <w:rPr>
                      <w:rFonts w:ascii="Times New Roman" w:hAnsi="Times New Roman"/>
                      <w:color w:val="auto"/>
                      <w:sz w:val="18"/>
                      <w:szCs w:val="18"/>
                      <w:vertAlign w:val="baseline"/>
                    </w:rPr>
                  </w:pPr>
                </w:p>
              </w:tc>
              <w:tc>
                <w:tcPr>
                  <w:tcW w:w="490" w:type="pct"/>
                  <w:tcBorders>
                    <w:tl2br w:val="nil"/>
                    <w:tr2bl w:val="nil"/>
                  </w:tcBorders>
                  <w:vAlign w:val="center"/>
                </w:tcPr>
                <w:p w14:paraId="539DABF8">
                  <w:pPr>
                    <w:jc w:val="center"/>
                    <w:rPr>
                      <w:color w:val="auto"/>
                      <w:sz w:val="18"/>
                      <w:szCs w:val="18"/>
                    </w:rPr>
                  </w:pPr>
                  <w:r>
                    <w:rPr>
                      <w:color w:val="auto"/>
                      <w:sz w:val="18"/>
                      <w:szCs w:val="18"/>
                    </w:rPr>
                    <w:t>日用</w:t>
                  </w:r>
                </w:p>
                <w:p w14:paraId="68A8D0AB">
                  <w:pPr>
                    <w:jc w:val="center"/>
                    <w:rPr>
                      <w:rFonts w:ascii="Times New Roman" w:hAnsi="Times New Roman"/>
                      <w:color w:val="auto"/>
                      <w:sz w:val="18"/>
                      <w:szCs w:val="18"/>
                      <w:vertAlign w:val="baseline"/>
                    </w:rPr>
                  </w:pPr>
                  <w:r>
                    <w:rPr>
                      <w:color w:val="auto"/>
                      <w:sz w:val="18"/>
                      <w:szCs w:val="18"/>
                    </w:rPr>
                    <w:t>水量</w:t>
                  </w:r>
                </w:p>
              </w:tc>
              <w:tc>
                <w:tcPr>
                  <w:tcW w:w="552" w:type="pct"/>
                  <w:tcBorders>
                    <w:tl2br w:val="nil"/>
                    <w:tr2bl w:val="nil"/>
                  </w:tcBorders>
                  <w:vAlign w:val="center"/>
                </w:tcPr>
                <w:p w14:paraId="71F44AF0">
                  <w:pPr>
                    <w:jc w:val="center"/>
                    <w:rPr>
                      <w:color w:val="auto"/>
                      <w:sz w:val="18"/>
                      <w:szCs w:val="18"/>
                    </w:rPr>
                  </w:pPr>
                  <w:r>
                    <w:rPr>
                      <w:color w:val="auto"/>
                      <w:sz w:val="18"/>
                      <w:szCs w:val="18"/>
                    </w:rPr>
                    <w:t>年用</w:t>
                  </w:r>
                </w:p>
                <w:p w14:paraId="45C0B3CB">
                  <w:pPr>
                    <w:jc w:val="center"/>
                    <w:rPr>
                      <w:color w:val="auto"/>
                      <w:sz w:val="18"/>
                      <w:szCs w:val="18"/>
                    </w:rPr>
                  </w:pPr>
                  <w:r>
                    <w:rPr>
                      <w:color w:val="auto"/>
                      <w:sz w:val="18"/>
                      <w:szCs w:val="18"/>
                    </w:rPr>
                    <w:t>水量</w:t>
                  </w:r>
                </w:p>
              </w:tc>
              <w:tc>
                <w:tcPr>
                  <w:tcW w:w="490" w:type="pct"/>
                  <w:tcBorders>
                    <w:tl2br w:val="nil"/>
                    <w:tr2bl w:val="nil"/>
                  </w:tcBorders>
                  <w:vAlign w:val="center"/>
                </w:tcPr>
                <w:p w14:paraId="65373198">
                  <w:pPr>
                    <w:jc w:val="center"/>
                    <w:rPr>
                      <w:color w:val="auto"/>
                      <w:sz w:val="18"/>
                      <w:szCs w:val="18"/>
                    </w:rPr>
                  </w:pPr>
                  <w:r>
                    <w:rPr>
                      <w:color w:val="auto"/>
                      <w:sz w:val="18"/>
                      <w:szCs w:val="18"/>
                    </w:rPr>
                    <w:t>日排</w:t>
                  </w:r>
                </w:p>
                <w:p w14:paraId="62DED4B6">
                  <w:pPr>
                    <w:jc w:val="center"/>
                    <w:rPr>
                      <w:rFonts w:ascii="Times New Roman" w:hAnsi="Times New Roman"/>
                      <w:color w:val="auto"/>
                      <w:sz w:val="18"/>
                      <w:szCs w:val="18"/>
                      <w:vertAlign w:val="baseline"/>
                    </w:rPr>
                  </w:pPr>
                  <w:r>
                    <w:rPr>
                      <w:color w:val="auto"/>
                      <w:sz w:val="18"/>
                      <w:szCs w:val="18"/>
                    </w:rPr>
                    <w:t>水量</w:t>
                  </w:r>
                </w:p>
              </w:tc>
              <w:tc>
                <w:tcPr>
                  <w:tcW w:w="614" w:type="pct"/>
                  <w:tcBorders>
                    <w:tl2br w:val="nil"/>
                    <w:tr2bl w:val="nil"/>
                  </w:tcBorders>
                  <w:vAlign w:val="center"/>
                </w:tcPr>
                <w:p w14:paraId="255EA3BA">
                  <w:pPr>
                    <w:jc w:val="center"/>
                    <w:rPr>
                      <w:color w:val="auto"/>
                      <w:sz w:val="18"/>
                      <w:szCs w:val="18"/>
                    </w:rPr>
                  </w:pPr>
                  <w:r>
                    <w:rPr>
                      <w:color w:val="auto"/>
                      <w:sz w:val="18"/>
                      <w:szCs w:val="18"/>
                    </w:rPr>
                    <w:t>年排</w:t>
                  </w:r>
                </w:p>
                <w:p w14:paraId="00CDB321">
                  <w:pPr>
                    <w:jc w:val="center"/>
                    <w:rPr>
                      <w:color w:val="auto"/>
                      <w:sz w:val="18"/>
                      <w:szCs w:val="18"/>
                    </w:rPr>
                  </w:pPr>
                  <w:r>
                    <w:rPr>
                      <w:color w:val="auto"/>
                      <w:sz w:val="18"/>
                      <w:szCs w:val="18"/>
                    </w:rPr>
                    <w:t>水量</w:t>
                  </w:r>
                </w:p>
              </w:tc>
              <w:tc>
                <w:tcPr>
                  <w:tcW w:w="1055" w:type="pct"/>
                  <w:vMerge w:val="continue"/>
                  <w:tcBorders>
                    <w:tl2br w:val="nil"/>
                    <w:tr2bl w:val="nil"/>
                  </w:tcBorders>
                  <w:vAlign w:val="center"/>
                </w:tcPr>
                <w:p w14:paraId="50F54F96">
                  <w:pPr>
                    <w:jc w:val="center"/>
                    <w:rPr>
                      <w:rFonts w:ascii="Times New Roman" w:hAnsi="Times New Roman"/>
                      <w:color w:val="auto"/>
                      <w:sz w:val="18"/>
                      <w:szCs w:val="18"/>
                      <w:vertAlign w:val="baseline"/>
                    </w:rPr>
                  </w:pPr>
                </w:p>
              </w:tc>
            </w:tr>
            <w:tr w14:paraId="6DEA67D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07" w:type="pct"/>
                  <w:tcBorders>
                    <w:tl2br w:val="nil"/>
                    <w:tr2bl w:val="nil"/>
                  </w:tcBorders>
                  <w:vAlign w:val="center"/>
                </w:tcPr>
                <w:p w14:paraId="0A0ACD10">
                  <w:pPr>
                    <w:jc w:val="center"/>
                    <w:rPr>
                      <w:rFonts w:hint="default" w:ascii="Times New Roman" w:hAnsi="Times New Roman" w:eastAsia="宋体"/>
                      <w:color w:val="auto"/>
                      <w:sz w:val="18"/>
                      <w:szCs w:val="18"/>
                      <w:vertAlign w:val="baseline"/>
                      <w:lang w:val="en-US" w:eastAsia="zh-CN"/>
                    </w:rPr>
                  </w:pPr>
                  <w:r>
                    <w:rPr>
                      <w:rFonts w:hint="eastAsia"/>
                      <w:color w:val="auto"/>
                      <w:sz w:val="18"/>
                      <w:szCs w:val="18"/>
                      <w:vertAlign w:val="baseline"/>
                      <w:lang w:val="en-US" w:eastAsia="zh-CN"/>
                    </w:rPr>
                    <w:t>住院病房</w:t>
                  </w:r>
                </w:p>
              </w:tc>
              <w:tc>
                <w:tcPr>
                  <w:tcW w:w="736" w:type="pct"/>
                  <w:tcBorders>
                    <w:tl2br w:val="nil"/>
                    <w:tr2bl w:val="nil"/>
                  </w:tcBorders>
                  <w:vAlign w:val="center"/>
                </w:tcPr>
                <w:p w14:paraId="53DAF7F8">
                  <w:pPr>
                    <w:jc w:val="center"/>
                    <w:rPr>
                      <w:rFonts w:hint="eastAsia" w:ascii="Times New Roman" w:hAnsi="Times New Roman" w:eastAsia="宋体"/>
                      <w:color w:val="auto"/>
                      <w:sz w:val="18"/>
                      <w:szCs w:val="18"/>
                      <w:vertAlign w:val="baseline"/>
                      <w:lang w:val="en-US" w:eastAsia="zh-CN"/>
                    </w:rPr>
                  </w:pPr>
                  <w:r>
                    <w:rPr>
                      <w:rFonts w:hint="eastAsia"/>
                      <w:color w:val="auto"/>
                      <w:sz w:val="18"/>
                      <w:szCs w:val="18"/>
                      <w:lang w:val="en-US" w:eastAsia="zh-CN"/>
                    </w:rPr>
                    <w:t>25</w:t>
                  </w:r>
                  <w:r>
                    <w:rPr>
                      <w:color w:val="auto"/>
                      <w:sz w:val="18"/>
                      <w:szCs w:val="18"/>
                    </w:rPr>
                    <w:t>0L/</w:t>
                  </w:r>
                  <w:r>
                    <w:rPr>
                      <w:rFonts w:hint="eastAsia"/>
                      <w:color w:val="auto"/>
                      <w:sz w:val="18"/>
                      <w:szCs w:val="18"/>
                      <w:lang w:val="en-US" w:eastAsia="zh-CN"/>
                    </w:rPr>
                    <w:t>床</w:t>
                  </w:r>
                  <w:r>
                    <w:rPr>
                      <w:color w:val="auto"/>
                      <w:sz w:val="18"/>
                      <w:szCs w:val="18"/>
                    </w:rPr>
                    <w:t>·d</w:t>
                  </w:r>
                </w:p>
              </w:tc>
              <w:tc>
                <w:tcPr>
                  <w:tcW w:w="653" w:type="pct"/>
                  <w:tcBorders>
                    <w:tl2br w:val="nil"/>
                    <w:tr2bl w:val="nil"/>
                  </w:tcBorders>
                  <w:vAlign w:val="center"/>
                </w:tcPr>
                <w:p w14:paraId="499CAA0C">
                  <w:pPr>
                    <w:jc w:val="center"/>
                    <w:rPr>
                      <w:rFonts w:hint="default"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472床</w:t>
                  </w:r>
                </w:p>
              </w:tc>
              <w:tc>
                <w:tcPr>
                  <w:tcW w:w="490" w:type="pct"/>
                  <w:tcBorders>
                    <w:tl2br w:val="nil"/>
                    <w:tr2bl w:val="nil"/>
                  </w:tcBorders>
                  <w:vAlign w:val="center"/>
                </w:tcPr>
                <w:p w14:paraId="272FE2AA">
                  <w:pPr>
                    <w:jc w:val="center"/>
                    <w:rPr>
                      <w:rFonts w:hint="default" w:ascii="Times New Roman" w:hAnsi="Times New Roman"/>
                      <w:color w:val="auto"/>
                      <w:sz w:val="18"/>
                      <w:szCs w:val="18"/>
                      <w:vertAlign w:val="baseline"/>
                      <w:lang w:val="en-US"/>
                    </w:rPr>
                  </w:pPr>
                  <w:r>
                    <w:rPr>
                      <w:rFonts w:hint="eastAsia"/>
                      <w:color w:val="auto"/>
                      <w:sz w:val="18"/>
                      <w:szCs w:val="18"/>
                      <w:lang w:val="en-US" w:eastAsia="zh-CN"/>
                    </w:rPr>
                    <w:t>118</w:t>
                  </w:r>
                </w:p>
              </w:tc>
              <w:tc>
                <w:tcPr>
                  <w:tcW w:w="552" w:type="pct"/>
                  <w:tcBorders>
                    <w:tl2br w:val="nil"/>
                    <w:tr2bl w:val="nil"/>
                  </w:tcBorders>
                  <w:vAlign w:val="center"/>
                </w:tcPr>
                <w:p w14:paraId="1E68697A">
                  <w:pPr>
                    <w:jc w:val="center"/>
                    <w:rPr>
                      <w:rFonts w:hint="default"/>
                      <w:color w:val="auto"/>
                      <w:sz w:val="18"/>
                      <w:szCs w:val="18"/>
                      <w:lang w:val="en-US"/>
                    </w:rPr>
                  </w:pPr>
                  <w:r>
                    <w:rPr>
                      <w:rFonts w:hint="eastAsia"/>
                      <w:color w:val="auto"/>
                      <w:sz w:val="18"/>
                      <w:szCs w:val="18"/>
                      <w:lang w:val="en-US" w:eastAsia="zh-CN"/>
                    </w:rPr>
                    <w:t>43070</w:t>
                  </w:r>
                </w:p>
              </w:tc>
              <w:tc>
                <w:tcPr>
                  <w:tcW w:w="490" w:type="pct"/>
                  <w:tcBorders>
                    <w:tl2br w:val="nil"/>
                    <w:tr2bl w:val="nil"/>
                  </w:tcBorders>
                  <w:vAlign w:val="center"/>
                </w:tcPr>
                <w:p w14:paraId="0E97747B">
                  <w:pPr>
                    <w:jc w:val="center"/>
                    <w:rPr>
                      <w:rFonts w:hint="default" w:ascii="Times New Roman" w:hAnsi="Times New Roman" w:eastAsia="宋体"/>
                      <w:color w:val="auto"/>
                      <w:sz w:val="18"/>
                      <w:szCs w:val="18"/>
                      <w:vertAlign w:val="baseline"/>
                      <w:lang w:val="en-US" w:eastAsia="zh-CN"/>
                    </w:rPr>
                  </w:pPr>
                  <w:r>
                    <w:rPr>
                      <w:rFonts w:hint="eastAsia"/>
                      <w:color w:val="auto"/>
                      <w:sz w:val="18"/>
                      <w:szCs w:val="18"/>
                      <w:vertAlign w:val="baseline"/>
                      <w:lang w:val="en-US" w:eastAsia="zh-CN"/>
                    </w:rPr>
                    <w:t>94.4</w:t>
                  </w:r>
                </w:p>
              </w:tc>
              <w:tc>
                <w:tcPr>
                  <w:tcW w:w="614" w:type="pct"/>
                  <w:tcBorders>
                    <w:tl2br w:val="nil"/>
                    <w:tr2bl w:val="nil"/>
                  </w:tcBorders>
                  <w:vAlign w:val="center"/>
                </w:tcPr>
                <w:p w14:paraId="07BE6C3E">
                  <w:pPr>
                    <w:jc w:val="center"/>
                    <w:rPr>
                      <w:rFonts w:hint="default" w:eastAsia="宋体"/>
                      <w:color w:val="auto"/>
                      <w:sz w:val="18"/>
                      <w:szCs w:val="18"/>
                      <w:lang w:val="en-US" w:eastAsia="zh-CN"/>
                    </w:rPr>
                  </w:pPr>
                  <w:r>
                    <w:rPr>
                      <w:rFonts w:hint="eastAsia"/>
                      <w:color w:val="auto"/>
                      <w:sz w:val="18"/>
                      <w:szCs w:val="18"/>
                      <w:lang w:val="en-US" w:eastAsia="zh-CN"/>
                    </w:rPr>
                    <w:t>34456</w:t>
                  </w:r>
                </w:p>
              </w:tc>
              <w:tc>
                <w:tcPr>
                  <w:tcW w:w="1055" w:type="pct"/>
                  <w:vMerge w:val="restart"/>
                  <w:tcBorders>
                    <w:tl2br w:val="nil"/>
                    <w:tr2bl w:val="nil"/>
                  </w:tcBorders>
                  <w:vAlign w:val="center"/>
                </w:tcPr>
                <w:p w14:paraId="603EC351">
                  <w:pPr>
                    <w:jc w:val="center"/>
                    <w:rPr>
                      <w:rFonts w:hint="default" w:ascii="Times New Roman" w:hAnsi="Times New Roman"/>
                      <w:color w:val="auto"/>
                      <w:sz w:val="18"/>
                      <w:szCs w:val="18"/>
                      <w:vertAlign w:val="baseline"/>
                      <w:lang w:val="en-US"/>
                    </w:rPr>
                  </w:pPr>
                  <w:r>
                    <w:rPr>
                      <w:rFonts w:hint="eastAsia"/>
                      <w:color w:val="auto"/>
                      <w:sz w:val="18"/>
                      <w:szCs w:val="18"/>
                      <w:lang w:val="en-US" w:eastAsia="zh-CN"/>
                    </w:rPr>
                    <w:t>排人化粪池后进入污水处理站，之后通入园区管网</w:t>
                  </w:r>
                </w:p>
              </w:tc>
            </w:tr>
            <w:tr w14:paraId="6B9E436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07" w:type="pct"/>
                  <w:tcBorders>
                    <w:tl2br w:val="nil"/>
                    <w:tr2bl w:val="nil"/>
                  </w:tcBorders>
                  <w:vAlign w:val="center"/>
                </w:tcPr>
                <w:p w14:paraId="2F36BFAC">
                  <w:pPr>
                    <w:jc w:val="center"/>
                    <w:rPr>
                      <w:rFonts w:hint="default" w:ascii="Times New Roman" w:hAnsi="Times New Roman" w:eastAsia="宋体"/>
                      <w:color w:val="auto"/>
                      <w:sz w:val="18"/>
                      <w:szCs w:val="18"/>
                      <w:vertAlign w:val="baseline"/>
                      <w:lang w:val="en-US" w:eastAsia="zh-CN"/>
                    </w:rPr>
                  </w:pPr>
                  <w:r>
                    <w:rPr>
                      <w:rFonts w:hint="eastAsia"/>
                      <w:color w:val="auto"/>
                      <w:sz w:val="18"/>
                      <w:szCs w:val="18"/>
                      <w:vertAlign w:val="baseline"/>
                      <w:lang w:val="en-US" w:eastAsia="zh-CN"/>
                    </w:rPr>
                    <w:t>门诊</w:t>
                  </w:r>
                </w:p>
              </w:tc>
              <w:tc>
                <w:tcPr>
                  <w:tcW w:w="736" w:type="pct"/>
                  <w:tcBorders>
                    <w:tl2br w:val="nil"/>
                    <w:tr2bl w:val="nil"/>
                  </w:tcBorders>
                  <w:vAlign w:val="center"/>
                </w:tcPr>
                <w:p w14:paraId="57F9B171">
                  <w:pPr>
                    <w:jc w:val="center"/>
                    <w:rPr>
                      <w:rFonts w:ascii="Times New Roman" w:hAnsi="Times New Roman"/>
                      <w:color w:val="auto"/>
                      <w:sz w:val="18"/>
                      <w:szCs w:val="18"/>
                      <w:vertAlign w:val="baseline"/>
                    </w:rPr>
                  </w:pPr>
                  <w:r>
                    <w:rPr>
                      <w:rFonts w:hint="default"/>
                      <w:bCs/>
                      <w:color w:val="auto"/>
                      <w:sz w:val="18"/>
                      <w:szCs w:val="18"/>
                      <w:lang w:val="en-US" w:eastAsia="zh-CN"/>
                    </w:rPr>
                    <w:t>15L/</w:t>
                  </w:r>
                  <w:r>
                    <w:rPr>
                      <w:rFonts w:hint="eastAsia"/>
                      <w:bCs/>
                      <w:color w:val="auto"/>
                      <w:sz w:val="18"/>
                      <w:szCs w:val="18"/>
                      <w:lang w:val="en-US" w:eastAsia="zh-CN"/>
                    </w:rPr>
                    <w:t>（</w:t>
                  </w:r>
                  <w:r>
                    <w:rPr>
                      <w:rFonts w:hint="default"/>
                      <w:bCs/>
                      <w:color w:val="auto"/>
                      <w:sz w:val="18"/>
                      <w:szCs w:val="18"/>
                      <w:lang w:val="en-US" w:eastAsia="zh-CN"/>
                    </w:rPr>
                    <w:t>p·</w:t>
                  </w:r>
                  <w:r>
                    <w:rPr>
                      <w:rFonts w:hint="eastAsia"/>
                      <w:bCs/>
                      <w:color w:val="auto"/>
                      <w:sz w:val="18"/>
                      <w:szCs w:val="18"/>
                      <w:lang w:val="en-US" w:eastAsia="zh-CN"/>
                    </w:rPr>
                    <w:t>次）</w:t>
                  </w:r>
                </w:p>
              </w:tc>
              <w:tc>
                <w:tcPr>
                  <w:tcW w:w="653" w:type="pct"/>
                  <w:tcBorders>
                    <w:tl2br w:val="nil"/>
                    <w:tr2bl w:val="nil"/>
                  </w:tcBorders>
                  <w:vAlign w:val="center"/>
                </w:tcPr>
                <w:p w14:paraId="6DA547E9">
                  <w:pPr>
                    <w:jc w:val="center"/>
                    <w:rPr>
                      <w:rFonts w:hint="default"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200</w:t>
                  </w:r>
                  <w:r>
                    <w:rPr>
                      <w:rFonts w:hint="default"/>
                      <w:bCs/>
                      <w:color w:val="auto"/>
                      <w:sz w:val="18"/>
                      <w:szCs w:val="18"/>
                      <w:lang w:val="en-US" w:eastAsia="zh-CN"/>
                    </w:rPr>
                    <w:t>p·</w:t>
                  </w:r>
                  <w:r>
                    <w:rPr>
                      <w:rFonts w:hint="eastAsia"/>
                      <w:bCs/>
                      <w:color w:val="auto"/>
                      <w:sz w:val="18"/>
                      <w:szCs w:val="18"/>
                      <w:lang w:val="en-US" w:eastAsia="zh-CN"/>
                    </w:rPr>
                    <w:t>次</w:t>
                  </w:r>
                  <w:r>
                    <w:rPr>
                      <w:rFonts w:hint="default"/>
                      <w:bCs/>
                      <w:color w:val="auto"/>
                      <w:sz w:val="18"/>
                      <w:szCs w:val="18"/>
                      <w:lang w:val="en-US" w:eastAsia="zh-CN"/>
                    </w:rPr>
                    <w:t>/d</w:t>
                  </w:r>
                </w:p>
              </w:tc>
              <w:tc>
                <w:tcPr>
                  <w:tcW w:w="490" w:type="pct"/>
                  <w:tcBorders>
                    <w:tl2br w:val="nil"/>
                    <w:tr2bl w:val="nil"/>
                  </w:tcBorders>
                  <w:vAlign w:val="center"/>
                </w:tcPr>
                <w:p w14:paraId="6B1711E5">
                  <w:pPr>
                    <w:jc w:val="center"/>
                    <w:rPr>
                      <w:rFonts w:ascii="Times New Roman" w:hAnsi="Times New Roman"/>
                      <w:color w:val="auto"/>
                      <w:sz w:val="18"/>
                      <w:szCs w:val="18"/>
                      <w:vertAlign w:val="baseline"/>
                    </w:rPr>
                  </w:pPr>
                  <w:r>
                    <w:rPr>
                      <w:rFonts w:hint="eastAsia"/>
                      <w:color w:val="auto"/>
                      <w:sz w:val="18"/>
                      <w:szCs w:val="18"/>
                      <w:lang w:val="en-US" w:eastAsia="zh-CN"/>
                    </w:rPr>
                    <w:t>3.0</w:t>
                  </w:r>
                </w:p>
              </w:tc>
              <w:tc>
                <w:tcPr>
                  <w:tcW w:w="552" w:type="pct"/>
                  <w:tcBorders>
                    <w:tl2br w:val="nil"/>
                    <w:tr2bl w:val="nil"/>
                  </w:tcBorders>
                  <w:vAlign w:val="center"/>
                </w:tcPr>
                <w:p w14:paraId="270CD157">
                  <w:pPr>
                    <w:jc w:val="center"/>
                    <w:rPr>
                      <w:rFonts w:hint="default"/>
                      <w:color w:val="auto"/>
                      <w:sz w:val="18"/>
                      <w:szCs w:val="18"/>
                      <w:lang w:val="en-US"/>
                    </w:rPr>
                  </w:pPr>
                  <w:r>
                    <w:rPr>
                      <w:rFonts w:hint="eastAsia"/>
                      <w:color w:val="auto"/>
                      <w:sz w:val="18"/>
                      <w:szCs w:val="18"/>
                      <w:lang w:val="en-US" w:eastAsia="zh-CN"/>
                    </w:rPr>
                    <w:t>1095</w:t>
                  </w:r>
                </w:p>
              </w:tc>
              <w:tc>
                <w:tcPr>
                  <w:tcW w:w="490" w:type="pct"/>
                  <w:tcBorders>
                    <w:tl2br w:val="nil"/>
                    <w:tr2bl w:val="nil"/>
                  </w:tcBorders>
                  <w:vAlign w:val="center"/>
                </w:tcPr>
                <w:p w14:paraId="3F1C812D">
                  <w:pPr>
                    <w:jc w:val="center"/>
                    <w:rPr>
                      <w:rFonts w:hint="default" w:ascii="Times New Roman" w:hAnsi="Times New Roman" w:eastAsia="宋体"/>
                      <w:color w:val="auto"/>
                      <w:sz w:val="18"/>
                      <w:szCs w:val="18"/>
                      <w:vertAlign w:val="baseline"/>
                      <w:lang w:val="en-US" w:eastAsia="zh-CN"/>
                    </w:rPr>
                  </w:pPr>
                  <w:r>
                    <w:rPr>
                      <w:rFonts w:hint="eastAsia"/>
                      <w:color w:val="auto"/>
                      <w:sz w:val="18"/>
                      <w:szCs w:val="18"/>
                      <w:vertAlign w:val="baseline"/>
                      <w:lang w:val="en-US" w:eastAsia="zh-CN"/>
                    </w:rPr>
                    <w:t>2.4</w:t>
                  </w:r>
                </w:p>
              </w:tc>
              <w:tc>
                <w:tcPr>
                  <w:tcW w:w="614" w:type="pct"/>
                  <w:tcBorders>
                    <w:tl2br w:val="nil"/>
                    <w:tr2bl w:val="nil"/>
                  </w:tcBorders>
                  <w:vAlign w:val="center"/>
                </w:tcPr>
                <w:p w14:paraId="35BC4F6A">
                  <w:pPr>
                    <w:jc w:val="center"/>
                    <w:rPr>
                      <w:rFonts w:hint="default" w:eastAsia="宋体"/>
                      <w:color w:val="auto"/>
                      <w:sz w:val="18"/>
                      <w:szCs w:val="18"/>
                      <w:lang w:val="en-US" w:eastAsia="zh-CN"/>
                    </w:rPr>
                  </w:pPr>
                  <w:r>
                    <w:rPr>
                      <w:rFonts w:hint="eastAsia"/>
                      <w:color w:val="auto"/>
                      <w:sz w:val="18"/>
                      <w:szCs w:val="18"/>
                      <w:lang w:val="en-US" w:eastAsia="zh-CN"/>
                    </w:rPr>
                    <w:t>876</w:t>
                  </w:r>
                </w:p>
              </w:tc>
              <w:tc>
                <w:tcPr>
                  <w:tcW w:w="1055" w:type="pct"/>
                  <w:vMerge w:val="continue"/>
                  <w:tcBorders>
                    <w:tl2br w:val="nil"/>
                    <w:tr2bl w:val="nil"/>
                  </w:tcBorders>
                  <w:vAlign w:val="center"/>
                </w:tcPr>
                <w:p w14:paraId="7324F991">
                  <w:pPr>
                    <w:jc w:val="center"/>
                    <w:rPr>
                      <w:rFonts w:ascii="Times New Roman" w:hAnsi="Times New Roman"/>
                      <w:color w:val="auto"/>
                      <w:sz w:val="18"/>
                      <w:szCs w:val="18"/>
                      <w:vertAlign w:val="baseline"/>
                    </w:rPr>
                  </w:pPr>
                </w:p>
              </w:tc>
            </w:tr>
            <w:tr w14:paraId="6927127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07" w:type="pct"/>
                  <w:tcBorders>
                    <w:tl2br w:val="nil"/>
                    <w:tr2bl w:val="nil"/>
                  </w:tcBorders>
                  <w:vAlign w:val="center"/>
                </w:tcPr>
                <w:p w14:paraId="5F7D5785">
                  <w:pPr>
                    <w:jc w:val="center"/>
                    <w:rPr>
                      <w:rFonts w:hint="default"/>
                      <w:color w:val="auto"/>
                      <w:sz w:val="18"/>
                      <w:szCs w:val="18"/>
                      <w:vertAlign w:val="baseline"/>
                      <w:lang w:val="en-US" w:eastAsia="zh-CN"/>
                    </w:rPr>
                  </w:pPr>
                  <w:r>
                    <w:rPr>
                      <w:rFonts w:hint="eastAsia"/>
                      <w:color w:val="auto"/>
                      <w:sz w:val="18"/>
                      <w:szCs w:val="18"/>
                      <w:vertAlign w:val="baseline"/>
                      <w:lang w:val="en-US" w:eastAsia="zh-CN"/>
                    </w:rPr>
                    <w:t>护理康养</w:t>
                  </w:r>
                </w:p>
              </w:tc>
              <w:tc>
                <w:tcPr>
                  <w:tcW w:w="736" w:type="pct"/>
                  <w:tcBorders>
                    <w:tl2br w:val="nil"/>
                    <w:tr2bl w:val="nil"/>
                  </w:tcBorders>
                  <w:vAlign w:val="center"/>
                </w:tcPr>
                <w:p w14:paraId="2C6BA834">
                  <w:pPr>
                    <w:jc w:val="center"/>
                    <w:rPr>
                      <w:rFonts w:hint="eastAsia" w:eastAsia="宋体"/>
                      <w:color w:val="auto"/>
                      <w:sz w:val="18"/>
                      <w:szCs w:val="18"/>
                      <w:lang w:val="en-US" w:eastAsia="zh-CN"/>
                    </w:rPr>
                  </w:pPr>
                  <w:r>
                    <w:rPr>
                      <w:rFonts w:hint="eastAsia"/>
                      <w:bCs/>
                      <w:color w:val="auto"/>
                      <w:sz w:val="18"/>
                      <w:szCs w:val="18"/>
                      <w:lang w:val="en-US" w:eastAsia="zh-CN"/>
                    </w:rPr>
                    <w:t>120L/间·d</w:t>
                  </w:r>
                </w:p>
              </w:tc>
              <w:tc>
                <w:tcPr>
                  <w:tcW w:w="653" w:type="pct"/>
                  <w:tcBorders>
                    <w:tl2br w:val="nil"/>
                    <w:tr2bl w:val="nil"/>
                  </w:tcBorders>
                  <w:vAlign w:val="center"/>
                </w:tcPr>
                <w:p w14:paraId="33188841">
                  <w:pPr>
                    <w:jc w:val="center"/>
                    <w:rPr>
                      <w:rFonts w:hint="default"/>
                      <w:color w:val="auto"/>
                      <w:sz w:val="18"/>
                      <w:szCs w:val="18"/>
                      <w:lang w:val="en-US" w:eastAsia="zh-CN"/>
                    </w:rPr>
                  </w:pPr>
                  <w:r>
                    <w:rPr>
                      <w:rFonts w:hint="eastAsia"/>
                      <w:color w:val="auto"/>
                      <w:sz w:val="18"/>
                      <w:szCs w:val="18"/>
                      <w:lang w:val="en-US" w:eastAsia="zh-CN"/>
                    </w:rPr>
                    <w:t>311间</w:t>
                  </w:r>
                </w:p>
              </w:tc>
              <w:tc>
                <w:tcPr>
                  <w:tcW w:w="490" w:type="pct"/>
                  <w:tcBorders>
                    <w:tl2br w:val="nil"/>
                    <w:tr2bl w:val="nil"/>
                  </w:tcBorders>
                  <w:vAlign w:val="center"/>
                </w:tcPr>
                <w:p w14:paraId="30CBA472">
                  <w:pPr>
                    <w:jc w:val="center"/>
                    <w:rPr>
                      <w:rFonts w:hint="default"/>
                      <w:color w:val="auto"/>
                      <w:sz w:val="18"/>
                      <w:szCs w:val="18"/>
                      <w:lang w:val="en-US" w:eastAsia="zh-CN"/>
                    </w:rPr>
                  </w:pPr>
                  <w:r>
                    <w:rPr>
                      <w:rFonts w:hint="eastAsia"/>
                      <w:color w:val="auto"/>
                      <w:sz w:val="18"/>
                      <w:szCs w:val="18"/>
                      <w:lang w:val="en-US" w:eastAsia="zh-CN"/>
                    </w:rPr>
                    <w:t>37.32</w:t>
                  </w:r>
                </w:p>
              </w:tc>
              <w:tc>
                <w:tcPr>
                  <w:tcW w:w="552" w:type="pct"/>
                  <w:tcBorders>
                    <w:tl2br w:val="nil"/>
                    <w:tr2bl w:val="nil"/>
                  </w:tcBorders>
                  <w:vAlign w:val="center"/>
                </w:tcPr>
                <w:p w14:paraId="7D8CB645">
                  <w:pPr>
                    <w:jc w:val="center"/>
                    <w:rPr>
                      <w:rFonts w:hint="default"/>
                      <w:color w:val="auto"/>
                      <w:sz w:val="18"/>
                      <w:szCs w:val="18"/>
                      <w:lang w:val="en-US" w:eastAsia="zh-CN"/>
                    </w:rPr>
                  </w:pPr>
                  <w:r>
                    <w:rPr>
                      <w:rFonts w:hint="eastAsia"/>
                      <w:color w:val="auto"/>
                      <w:sz w:val="18"/>
                      <w:szCs w:val="18"/>
                      <w:lang w:val="en-US" w:eastAsia="zh-CN"/>
                    </w:rPr>
                    <w:t>13621.8</w:t>
                  </w:r>
                </w:p>
              </w:tc>
              <w:tc>
                <w:tcPr>
                  <w:tcW w:w="490" w:type="pct"/>
                  <w:tcBorders>
                    <w:tl2br w:val="nil"/>
                    <w:tr2bl w:val="nil"/>
                  </w:tcBorders>
                  <w:vAlign w:val="center"/>
                </w:tcPr>
                <w:p w14:paraId="73CD66E8">
                  <w:pPr>
                    <w:jc w:val="center"/>
                    <w:rPr>
                      <w:rFonts w:hint="default" w:eastAsia="宋体"/>
                      <w:color w:val="auto"/>
                      <w:sz w:val="18"/>
                      <w:szCs w:val="18"/>
                      <w:lang w:val="en-US" w:eastAsia="zh-CN"/>
                    </w:rPr>
                  </w:pPr>
                  <w:r>
                    <w:rPr>
                      <w:rFonts w:hint="eastAsia"/>
                      <w:color w:val="auto"/>
                      <w:sz w:val="18"/>
                      <w:szCs w:val="18"/>
                      <w:lang w:val="en-US" w:eastAsia="zh-CN"/>
                    </w:rPr>
                    <w:t>29.86</w:t>
                  </w:r>
                </w:p>
              </w:tc>
              <w:tc>
                <w:tcPr>
                  <w:tcW w:w="614" w:type="pct"/>
                  <w:tcBorders>
                    <w:tl2br w:val="nil"/>
                    <w:tr2bl w:val="nil"/>
                  </w:tcBorders>
                  <w:vAlign w:val="center"/>
                </w:tcPr>
                <w:p w14:paraId="691F3B11">
                  <w:pPr>
                    <w:jc w:val="center"/>
                    <w:rPr>
                      <w:rFonts w:hint="default" w:eastAsia="宋体"/>
                      <w:color w:val="auto"/>
                      <w:sz w:val="18"/>
                      <w:szCs w:val="18"/>
                      <w:lang w:val="en-US" w:eastAsia="zh-CN"/>
                    </w:rPr>
                  </w:pPr>
                  <w:r>
                    <w:rPr>
                      <w:rFonts w:hint="eastAsia"/>
                      <w:color w:val="auto"/>
                      <w:sz w:val="18"/>
                      <w:szCs w:val="18"/>
                      <w:lang w:val="en-US" w:eastAsia="zh-CN"/>
                    </w:rPr>
                    <w:t>10897.44</w:t>
                  </w:r>
                </w:p>
              </w:tc>
              <w:tc>
                <w:tcPr>
                  <w:tcW w:w="1055" w:type="pct"/>
                  <w:vMerge w:val="continue"/>
                  <w:tcBorders>
                    <w:tl2br w:val="nil"/>
                    <w:tr2bl w:val="nil"/>
                  </w:tcBorders>
                  <w:vAlign w:val="center"/>
                </w:tcPr>
                <w:p w14:paraId="20A1F79D">
                  <w:pPr>
                    <w:jc w:val="center"/>
                    <w:rPr>
                      <w:rFonts w:hint="eastAsia"/>
                      <w:color w:val="auto"/>
                      <w:sz w:val="18"/>
                      <w:szCs w:val="18"/>
                      <w:lang w:val="en-US" w:eastAsia="zh-CN"/>
                    </w:rPr>
                  </w:pPr>
                </w:p>
              </w:tc>
            </w:tr>
            <w:tr w14:paraId="002B755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75" w:hRule="atLeast"/>
              </w:trPr>
              <w:tc>
                <w:tcPr>
                  <w:tcW w:w="407" w:type="pct"/>
                  <w:vMerge w:val="restart"/>
                  <w:tcBorders>
                    <w:tl2br w:val="nil"/>
                    <w:tr2bl w:val="nil"/>
                  </w:tcBorders>
                  <w:vAlign w:val="center"/>
                </w:tcPr>
                <w:p w14:paraId="17834F53">
                  <w:pPr>
                    <w:jc w:val="center"/>
                    <w:rPr>
                      <w:rFonts w:hint="default"/>
                      <w:color w:val="auto"/>
                      <w:sz w:val="18"/>
                      <w:szCs w:val="18"/>
                      <w:vertAlign w:val="baseline"/>
                      <w:lang w:val="en-US" w:eastAsia="zh-CN"/>
                    </w:rPr>
                  </w:pPr>
                  <w:r>
                    <w:rPr>
                      <w:rFonts w:hint="eastAsia"/>
                      <w:color w:val="auto"/>
                      <w:sz w:val="18"/>
                      <w:szCs w:val="18"/>
                      <w:vertAlign w:val="baseline"/>
                      <w:lang w:val="en-US" w:eastAsia="zh-CN"/>
                    </w:rPr>
                    <w:t>职工办公生活</w:t>
                  </w:r>
                </w:p>
              </w:tc>
              <w:tc>
                <w:tcPr>
                  <w:tcW w:w="736" w:type="pct"/>
                  <w:tcBorders>
                    <w:tl2br w:val="nil"/>
                    <w:tr2bl w:val="nil"/>
                  </w:tcBorders>
                  <w:vAlign w:val="center"/>
                </w:tcPr>
                <w:p w14:paraId="051EAFC6">
                  <w:pPr>
                    <w:jc w:val="center"/>
                    <w:rPr>
                      <w:rFonts w:hint="eastAsia"/>
                      <w:bCs/>
                      <w:color w:val="auto"/>
                      <w:sz w:val="18"/>
                      <w:szCs w:val="18"/>
                      <w:lang w:val="en-US" w:eastAsia="zh-CN"/>
                    </w:rPr>
                  </w:pPr>
                  <w:r>
                    <w:rPr>
                      <w:rFonts w:hint="eastAsia"/>
                      <w:bCs/>
                      <w:color w:val="auto"/>
                      <w:sz w:val="18"/>
                      <w:szCs w:val="18"/>
                      <w:lang w:val="en-US" w:eastAsia="zh-CN"/>
                    </w:rPr>
                    <w:t>医护人员</w:t>
                  </w:r>
                </w:p>
                <w:p w14:paraId="4C7E6437">
                  <w:pPr>
                    <w:jc w:val="center"/>
                    <w:rPr>
                      <w:rFonts w:hint="default" w:eastAsia="宋体"/>
                      <w:color w:val="auto"/>
                      <w:sz w:val="18"/>
                      <w:szCs w:val="18"/>
                      <w:lang w:val="en-US" w:eastAsia="zh-CN"/>
                    </w:rPr>
                  </w:pPr>
                  <w:r>
                    <w:rPr>
                      <w:rFonts w:hint="default"/>
                      <w:bCs/>
                      <w:color w:val="auto"/>
                      <w:sz w:val="18"/>
                      <w:szCs w:val="18"/>
                      <w:lang w:val="en-US" w:eastAsia="zh-CN"/>
                    </w:rPr>
                    <w:t>200L/</w:t>
                  </w:r>
                  <w:r>
                    <w:rPr>
                      <w:rFonts w:hint="eastAsia"/>
                      <w:bCs/>
                      <w:color w:val="auto"/>
                      <w:sz w:val="18"/>
                      <w:szCs w:val="18"/>
                      <w:lang w:val="en-US" w:eastAsia="zh-CN"/>
                    </w:rPr>
                    <w:t>（</w:t>
                  </w:r>
                  <w:r>
                    <w:rPr>
                      <w:rFonts w:hint="default"/>
                      <w:bCs/>
                      <w:color w:val="auto"/>
                      <w:sz w:val="18"/>
                      <w:szCs w:val="18"/>
                      <w:lang w:val="en-US" w:eastAsia="zh-CN"/>
                    </w:rPr>
                    <w:t>p·</w:t>
                  </w:r>
                  <w:r>
                    <w:rPr>
                      <w:rFonts w:hint="eastAsia"/>
                      <w:bCs/>
                      <w:color w:val="auto"/>
                      <w:sz w:val="18"/>
                      <w:szCs w:val="18"/>
                      <w:lang w:val="en-US" w:eastAsia="zh-CN"/>
                    </w:rPr>
                    <w:t>班）</w:t>
                  </w:r>
                </w:p>
              </w:tc>
              <w:tc>
                <w:tcPr>
                  <w:tcW w:w="653" w:type="pct"/>
                  <w:tcBorders>
                    <w:tl2br w:val="nil"/>
                    <w:tr2bl w:val="nil"/>
                  </w:tcBorders>
                  <w:vAlign w:val="center"/>
                </w:tcPr>
                <w:p w14:paraId="06E6C707">
                  <w:pPr>
                    <w:jc w:val="center"/>
                    <w:rPr>
                      <w:rFonts w:hint="default"/>
                      <w:bCs/>
                      <w:color w:val="auto"/>
                      <w:sz w:val="18"/>
                      <w:szCs w:val="18"/>
                      <w:lang w:val="en-US" w:eastAsia="zh-CN"/>
                    </w:rPr>
                  </w:pPr>
                  <w:r>
                    <w:rPr>
                      <w:rFonts w:hint="eastAsia"/>
                      <w:bCs/>
                      <w:color w:val="auto"/>
                      <w:sz w:val="18"/>
                      <w:szCs w:val="18"/>
                      <w:lang w:val="en-US" w:eastAsia="zh-CN"/>
                    </w:rPr>
                    <w:t>190人</w:t>
                  </w:r>
                </w:p>
              </w:tc>
              <w:tc>
                <w:tcPr>
                  <w:tcW w:w="490" w:type="pct"/>
                  <w:tcBorders>
                    <w:tl2br w:val="nil"/>
                    <w:tr2bl w:val="nil"/>
                  </w:tcBorders>
                  <w:vAlign w:val="center"/>
                </w:tcPr>
                <w:p w14:paraId="537B603E">
                  <w:pPr>
                    <w:jc w:val="center"/>
                    <w:rPr>
                      <w:rFonts w:hint="default"/>
                      <w:color w:val="auto"/>
                      <w:sz w:val="18"/>
                      <w:szCs w:val="18"/>
                      <w:lang w:val="en-US" w:eastAsia="zh-CN"/>
                    </w:rPr>
                  </w:pPr>
                  <w:r>
                    <w:rPr>
                      <w:rFonts w:hint="eastAsia"/>
                      <w:color w:val="auto"/>
                      <w:sz w:val="18"/>
                      <w:szCs w:val="18"/>
                      <w:lang w:val="en-US" w:eastAsia="zh-CN"/>
                    </w:rPr>
                    <w:t>38</w:t>
                  </w:r>
                </w:p>
              </w:tc>
              <w:tc>
                <w:tcPr>
                  <w:tcW w:w="552" w:type="pct"/>
                  <w:tcBorders>
                    <w:tl2br w:val="nil"/>
                    <w:tr2bl w:val="nil"/>
                  </w:tcBorders>
                  <w:vAlign w:val="center"/>
                </w:tcPr>
                <w:p w14:paraId="2E3D9A06">
                  <w:pPr>
                    <w:jc w:val="center"/>
                    <w:rPr>
                      <w:rFonts w:hint="default"/>
                      <w:color w:val="auto"/>
                      <w:sz w:val="18"/>
                      <w:szCs w:val="18"/>
                      <w:lang w:val="en-US" w:eastAsia="zh-CN"/>
                    </w:rPr>
                  </w:pPr>
                  <w:r>
                    <w:rPr>
                      <w:rFonts w:hint="eastAsia"/>
                      <w:color w:val="auto"/>
                      <w:sz w:val="18"/>
                      <w:szCs w:val="18"/>
                      <w:lang w:val="en-US" w:eastAsia="zh-CN"/>
                    </w:rPr>
                    <w:t>13870</w:t>
                  </w:r>
                </w:p>
              </w:tc>
              <w:tc>
                <w:tcPr>
                  <w:tcW w:w="490" w:type="pct"/>
                  <w:tcBorders>
                    <w:tl2br w:val="nil"/>
                    <w:tr2bl w:val="nil"/>
                  </w:tcBorders>
                  <w:vAlign w:val="center"/>
                </w:tcPr>
                <w:p w14:paraId="53FA0DA5">
                  <w:pPr>
                    <w:jc w:val="center"/>
                    <w:rPr>
                      <w:rFonts w:hint="default" w:eastAsia="宋体"/>
                      <w:color w:val="auto"/>
                      <w:sz w:val="18"/>
                      <w:szCs w:val="18"/>
                      <w:lang w:val="en-US" w:eastAsia="zh-CN"/>
                    </w:rPr>
                  </w:pPr>
                  <w:r>
                    <w:rPr>
                      <w:rFonts w:hint="eastAsia"/>
                      <w:color w:val="auto"/>
                      <w:sz w:val="18"/>
                      <w:szCs w:val="18"/>
                      <w:lang w:val="en-US" w:eastAsia="zh-CN"/>
                    </w:rPr>
                    <w:t>30.4</w:t>
                  </w:r>
                </w:p>
              </w:tc>
              <w:tc>
                <w:tcPr>
                  <w:tcW w:w="614" w:type="pct"/>
                  <w:tcBorders>
                    <w:tl2br w:val="nil"/>
                    <w:tr2bl w:val="nil"/>
                  </w:tcBorders>
                  <w:vAlign w:val="center"/>
                </w:tcPr>
                <w:p w14:paraId="1EA7E4B6">
                  <w:pPr>
                    <w:jc w:val="center"/>
                    <w:rPr>
                      <w:rFonts w:hint="default" w:eastAsia="宋体"/>
                      <w:color w:val="auto"/>
                      <w:sz w:val="18"/>
                      <w:szCs w:val="18"/>
                      <w:lang w:val="en-US" w:eastAsia="zh-CN"/>
                    </w:rPr>
                  </w:pPr>
                  <w:r>
                    <w:rPr>
                      <w:rFonts w:hint="eastAsia"/>
                      <w:color w:val="auto"/>
                      <w:sz w:val="18"/>
                      <w:szCs w:val="18"/>
                      <w:lang w:val="en-US" w:eastAsia="zh-CN"/>
                    </w:rPr>
                    <w:t>11096</w:t>
                  </w:r>
                </w:p>
              </w:tc>
              <w:tc>
                <w:tcPr>
                  <w:tcW w:w="1055" w:type="pct"/>
                  <w:vMerge w:val="continue"/>
                  <w:tcBorders>
                    <w:tl2br w:val="nil"/>
                    <w:tr2bl w:val="nil"/>
                  </w:tcBorders>
                  <w:vAlign w:val="center"/>
                </w:tcPr>
                <w:p w14:paraId="62DDBE4E">
                  <w:pPr>
                    <w:jc w:val="center"/>
                    <w:rPr>
                      <w:rFonts w:hint="eastAsia"/>
                      <w:color w:val="auto"/>
                      <w:sz w:val="18"/>
                      <w:szCs w:val="18"/>
                      <w:lang w:val="en-US" w:eastAsia="zh-CN"/>
                    </w:rPr>
                  </w:pPr>
                </w:p>
              </w:tc>
            </w:tr>
            <w:tr w14:paraId="15AFF9E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3" w:hRule="atLeast"/>
              </w:trPr>
              <w:tc>
                <w:tcPr>
                  <w:tcW w:w="407" w:type="pct"/>
                  <w:vMerge w:val="continue"/>
                  <w:tcBorders>
                    <w:tl2br w:val="nil"/>
                    <w:tr2bl w:val="nil"/>
                  </w:tcBorders>
                  <w:vAlign w:val="center"/>
                </w:tcPr>
                <w:p w14:paraId="411B5632">
                  <w:pPr>
                    <w:jc w:val="center"/>
                    <w:rPr>
                      <w:rFonts w:hint="eastAsia"/>
                      <w:color w:val="auto"/>
                      <w:sz w:val="18"/>
                      <w:szCs w:val="18"/>
                      <w:vertAlign w:val="baseline"/>
                      <w:lang w:val="en-US" w:eastAsia="zh-CN"/>
                    </w:rPr>
                  </w:pPr>
                </w:p>
              </w:tc>
              <w:tc>
                <w:tcPr>
                  <w:tcW w:w="736" w:type="pct"/>
                  <w:tcBorders>
                    <w:tl2br w:val="nil"/>
                    <w:tr2bl w:val="nil"/>
                  </w:tcBorders>
                  <w:vAlign w:val="center"/>
                </w:tcPr>
                <w:p w14:paraId="73E465E3">
                  <w:pPr>
                    <w:jc w:val="center"/>
                    <w:rPr>
                      <w:rFonts w:hint="eastAsia"/>
                      <w:bCs/>
                      <w:color w:val="auto"/>
                      <w:sz w:val="18"/>
                      <w:szCs w:val="18"/>
                      <w:lang w:val="en-US" w:eastAsia="zh-CN"/>
                    </w:rPr>
                  </w:pPr>
                  <w:r>
                    <w:rPr>
                      <w:rFonts w:hint="eastAsia"/>
                      <w:bCs/>
                      <w:color w:val="auto"/>
                      <w:sz w:val="18"/>
                      <w:szCs w:val="18"/>
                      <w:lang w:val="en-US" w:eastAsia="zh-CN"/>
                    </w:rPr>
                    <w:t>行政办公</w:t>
                  </w:r>
                </w:p>
                <w:p w14:paraId="3BDB88B9">
                  <w:pPr>
                    <w:jc w:val="center"/>
                    <w:rPr>
                      <w:rFonts w:hint="eastAsia"/>
                      <w:bCs/>
                      <w:color w:val="auto"/>
                      <w:sz w:val="18"/>
                      <w:szCs w:val="18"/>
                      <w:lang w:val="en-US" w:eastAsia="zh-CN"/>
                    </w:rPr>
                  </w:pPr>
                  <w:r>
                    <w:rPr>
                      <w:rFonts w:hint="eastAsia"/>
                      <w:bCs/>
                      <w:color w:val="auto"/>
                      <w:sz w:val="18"/>
                      <w:szCs w:val="18"/>
                      <w:lang w:val="en-US" w:eastAsia="zh-CN"/>
                    </w:rPr>
                    <w:t>8</w:t>
                  </w:r>
                  <w:r>
                    <w:rPr>
                      <w:rFonts w:hint="default"/>
                      <w:bCs/>
                      <w:color w:val="auto"/>
                      <w:sz w:val="18"/>
                      <w:szCs w:val="18"/>
                      <w:lang w:val="en-US" w:eastAsia="zh-CN"/>
                    </w:rPr>
                    <w:t>0L/</w:t>
                  </w:r>
                  <w:r>
                    <w:rPr>
                      <w:rFonts w:hint="eastAsia"/>
                      <w:bCs/>
                      <w:color w:val="auto"/>
                      <w:sz w:val="18"/>
                      <w:szCs w:val="18"/>
                      <w:lang w:val="en-US" w:eastAsia="zh-CN"/>
                    </w:rPr>
                    <w:t>（</w:t>
                  </w:r>
                  <w:r>
                    <w:rPr>
                      <w:rFonts w:hint="default"/>
                      <w:bCs/>
                      <w:color w:val="auto"/>
                      <w:sz w:val="18"/>
                      <w:szCs w:val="18"/>
                      <w:lang w:val="en-US" w:eastAsia="zh-CN"/>
                    </w:rPr>
                    <w:t>p·</w:t>
                  </w:r>
                  <w:r>
                    <w:rPr>
                      <w:rFonts w:hint="eastAsia"/>
                      <w:bCs/>
                      <w:color w:val="auto"/>
                      <w:sz w:val="18"/>
                      <w:szCs w:val="18"/>
                      <w:lang w:val="en-US" w:eastAsia="zh-CN"/>
                    </w:rPr>
                    <w:t>班）</w:t>
                  </w:r>
                </w:p>
              </w:tc>
              <w:tc>
                <w:tcPr>
                  <w:tcW w:w="653" w:type="pct"/>
                  <w:tcBorders>
                    <w:tl2br w:val="nil"/>
                    <w:tr2bl w:val="nil"/>
                  </w:tcBorders>
                  <w:vAlign w:val="center"/>
                </w:tcPr>
                <w:p w14:paraId="328C832D">
                  <w:pPr>
                    <w:jc w:val="center"/>
                    <w:rPr>
                      <w:rFonts w:hint="eastAsia"/>
                      <w:bCs/>
                      <w:color w:val="auto"/>
                      <w:sz w:val="18"/>
                      <w:szCs w:val="18"/>
                      <w:lang w:val="en-US" w:eastAsia="zh-CN"/>
                    </w:rPr>
                  </w:pPr>
                  <w:r>
                    <w:rPr>
                      <w:rFonts w:hint="eastAsia"/>
                      <w:bCs/>
                      <w:color w:val="auto"/>
                      <w:sz w:val="18"/>
                      <w:szCs w:val="18"/>
                      <w:lang w:val="en-US" w:eastAsia="zh-CN"/>
                    </w:rPr>
                    <w:t>96人</w:t>
                  </w:r>
                </w:p>
              </w:tc>
              <w:tc>
                <w:tcPr>
                  <w:tcW w:w="490" w:type="pct"/>
                  <w:tcBorders>
                    <w:tl2br w:val="nil"/>
                    <w:tr2bl w:val="nil"/>
                  </w:tcBorders>
                  <w:vAlign w:val="center"/>
                </w:tcPr>
                <w:p w14:paraId="694F395C">
                  <w:pPr>
                    <w:jc w:val="center"/>
                    <w:rPr>
                      <w:rFonts w:hint="default"/>
                      <w:color w:val="auto"/>
                      <w:sz w:val="18"/>
                      <w:szCs w:val="18"/>
                      <w:lang w:val="en-US" w:eastAsia="zh-CN"/>
                    </w:rPr>
                  </w:pPr>
                  <w:r>
                    <w:rPr>
                      <w:rFonts w:hint="eastAsia"/>
                      <w:color w:val="auto"/>
                      <w:sz w:val="18"/>
                      <w:szCs w:val="18"/>
                      <w:lang w:val="en-US" w:eastAsia="zh-CN"/>
                    </w:rPr>
                    <w:t>7.68</w:t>
                  </w:r>
                </w:p>
              </w:tc>
              <w:tc>
                <w:tcPr>
                  <w:tcW w:w="552" w:type="pct"/>
                  <w:tcBorders>
                    <w:tl2br w:val="nil"/>
                    <w:tr2bl w:val="nil"/>
                  </w:tcBorders>
                  <w:vAlign w:val="center"/>
                </w:tcPr>
                <w:p w14:paraId="16EF436C">
                  <w:pPr>
                    <w:jc w:val="center"/>
                    <w:rPr>
                      <w:rFonts w:hint="default"/>
                      <w:color w:val="auto"/>
                      <w:sz w:val="18"/>
                      <w:szCs w:val="18"/>
                      <w:lang w:val="en-US" w:eastAsia="zh-CN"/>
                    </w:rPr>
                  </w:pPr>
                  <w:r>
                    <w:rPr>
                      <w:rFonts w:hint="eastAsia"/>
                      <w:color w:val="auto"/>
                      <w:sz w:val="18"/>
                      <w:szCs w:val="18"/>
                      <w:lang w:val="en-US" w:eastAsia="zh-CN"/>
                    </w:rPr>
                    <w:t>2304</w:t>
                  </w:r>
                </w:p>
              </w:tc>
              <w:tc>
                <w:tcPr>
                  <w:tcW w:w="490" w:type="pct"/>
                  <w:tcBorders>
                    <w:tl2br w:val="nil"/>
                    <w:tr2bl w:val="nil"/>
                  </w:tcBorders>
                  <w:vAlign w:val="center"/>
                </w:tcPr>
                <w:p w14:paraId="011BFA33">
                  <w:pPr>
                    <w:jc w:val="center"/>
                    <w:rPr>
                      <w:rFonts w:hint="default" w:eastAsia="宋体"/>
                      <w:color w:val="auto"/>
                      <w:sz w:val="18"/>
                      <w:szCs w:val="18"/>
                      <w:lang w:val="en-US" w:eastAsia="zh-CN"/>
                    </w:rPr>
                  </w:pPr>
                  <w:r>
                    <w:rPr>
                      <w:rFonts w:hint="eastAsia"/>
                      <w:color w:val="auto"/>
                      <w:sz w:val="18"/>
                      <w:szCs w:val="18"/>
                      <w:lang w:val="en-US" w:eastAsia="zh-CN"/>
                    </w:rPr>
                    <w:t>6.14</w:t>
                  </w:r>
                </w:p>
              </w:tc>
              <w:tc>
                <w:tcPr>
                  <w:tcW w:w="614" w:type="pct"/>
                  <w:tcBorders>
                    <w:tl2br w:val="nil"/>
                    <w:tr2bl w:val="nil"/>
                  </w:tcBorders>
                  <w:vAlign w:val="center"/>
                </w:tcPr>
                <w:p w14:paraId="31385C33">
                  <w:pPr>
                    <w:jc w:val="center"/>
                    <w:rPr>
                      <w:rFonts w:hint="default" w:eastAsia="宋体"/>
                      <w:color w:val="auto"/>
                      <w:sz w:val="18"/>
                      <w:szCs w:val="18"/>
                      <w:lang w:val="en-US" w:eastAsia="zh-CN"/>
                    </w:rPr>
                  </w:pPr>
                  <w:r>
                    <w:rPr>
                      <w:rFonts w:hint="eastAsia"/>
                      <w:color w:val="auto"/>
                      <w:sz w:val="18"/>
                      <w:szCs w:val="18"/>
                      <w:lang w:val="en-US" w:eastAsia="zh-CN"/>
                    </w:rPr>
                    <w:t>1843.2</w:t>
                  </w:r>
                </w:p>
              </w:tc>
              <w:tc>
                <w:tcPr>
                  <w:tcW w:w="1055" w:type="pct"/>
                  <w:vMerge w:val="continue"/>
                  <w:tcBorders>
                    <w:tl2br w:val="nil"/>
                    <w:tr2bl w:val="nil"/>
                  </w:tcBorders>
                  <w:vAlign w:val="center"/>
                </w:tcPr>
                <w:p w14:paraId="036A75A7">
                  <w:pPr>
                    <w:jc w:val="center"/>
                    <w:rPr>
                      <w:rFonts w:hint="eastAsia"/>
                      <w:color w:val="auto"/>
                      <w:sz w:val="18"/>
                      <w:szCs w:val="18"/>
                      <w:lang w:val="en-US" w:eastAsia="zh-CN"/>
                    </w:rPr>
                  </w:pPr>
                </w:p>
              </w:tc>
            </w:tr>
            <w:tr w14:paraId="05E6E0F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07" w:type="pct"/>
                  <w:tcBorders>
                    <w:tl2br w:val="nil"/>
                    <w:tr2bl w:val="nil"/>
                  </w:tcBorders>
                  <w:vAlign w:val="center"/>
                </w:tcPr>
                <w:p w14:paraId="75C3B321">
                  <w:pPr>
                    <w:jc w:val="center"/>
                    <w:rPr>
                      <w:rFonts w:hint="default"/>
                      <w:color w:val="auto"/>
                      <w:sz w:val="18"/>
                      <w:szCs w:val="18"/>
                      <w:vertAlign w:val="baseline"/>
                      <w:lang w:val="en-US" w:eastAsia="zh-CN"/>
                    </w:rPr>
                  </w:pPr>
                  <w:r>
                    <w:rPr>
                      <w:rFonts w:hint="eastAsia"/>
                      <w:color w:val="auto"/>
                      <w:sz w:val="18"/>
                      <w:szCs w:val="18"/>
                      <w:vertAlign w:val="baseline"/>
                      <w:lang w:val="en-US" w:eastAsia="zh-CN"/>
                    </w:rPr>
                    <w:t>特殊医疗</w:t>
                  </w:r>
                </w:p>
              </w:tc>
              <w:tc>
                <w:tcPr>
                  <w:tcW w:w="736" w:type="pct"/>
                  <w:tcBorders>
                    <w:tl2br w:val="nil"/>
                    <w:tr2bl w:val="nil"/>
                  </w:tcBorders>
                  <w:vAlign w:val="center"/>
                </w:tcPr>
                <w:p w14:paraId="4525A79B">
                  <w:pPr>
                    <w:jc w:val="center"/>
                    <w:rPr>
                      <w:rFonts w:hint="eastAsia" w:eastAsia="宋体"/>
                      <w:color w:val="auto"/>
                      <w:sz w:val="18"/>
                      <w:szCs w:val="18"/>
                      <w:lang w:val="en-US" w:eastAsia="zh-CN"/>
                    </w:rPr>
                  </w:pPr>
                  <w:r>
                    <w:rPr>
                      <w:rFonts w:hint="default"/>
                      <w:bCs/>
                      <w:color w:val="auto"/>
                      <w:sz w:val="18"/>
                      <w:szCs w:val="18"/>
                      <w:lang w:val="en-US" w:eastAsia="zh-CN"/>
                    </w:rPr>
                    <w:t>0.</w:t>
                  </w:r>
                  <w:r>
                    <w:rPr>
                      <w:rFonts w:hint="eastAsia"/>
                      <w:bCs/>
                      <w:color w:val="auto"/>
                      <w:sz w:val="18"/>
                      <w:szCs w:val="18"/>
                      <w:lang w:val="en-US" w:eastAsia="zh-CN"/>
                    </w:rPr>
                    <w:t>2</w:t>
                  </w:r>
                  <w:r>
                    <w:rPr>
                      <w:rFonts w:hint="default"/>
                      <w:bCs/>
                      <w:color w:val="auto"/>
                      <w:sz w:val="18"/>
                      <w:szCs w:val="18"/>
                      <w:lang w:val="en-US" w:eastAsia="zh-CN"/>
                    </w:rPr>
                    <w:t>m</w:t>
                  </w:r>
                  <w:r>
                    <w:rPr>
                      <w:rFonts w:hint="default"/>
                      <w:bCs/>
                      <w:color w:val="auto"/>
                      <w:sz w:val="18"/>
                      <w:szCs w:val="18"/>
                      <w:vertAlign w:val="superscript"/>
                      <w:lang w:val="en-US" w:eastAsia="zh-CN"/>
                    </w:rPr>
                    <w:t>3</w:t>
                  </w:r>
                  <w:r>
                    <w:rPr>
                      <w:rFonts w:hint="default"/>
                      <w:bCs/>
                      <w:color w:val="auto"/>
                      <w:sz w:val="18"/>
                      <w:szCs w:val="18"/>
                      <w:lang w:val="en-US" w:eastAsia="zh-CN"/>
                    </w:rPr>
                    <w:t>/d</w:t>
                  </w:r>
                </w:p>
              </w:tc>
              <w:tc>
                <w:tcPr>
                  <w:tcW w:w="653" w:type="pct"/>
                  <w:tcBorders>
                    <w:tl2br w:val="nil"/>
                    <w:tr2bl w:val="nil"/>
                  </w:tcBorders>
                  <w:vAlign w:val="center"/>
                </w:tcPr>
                <w:p w14:paraId="5C78B745">
                  <w:pPr>
                    <w:jc w:val="center"/>
                    <w:rPr>
                      <w:rFonts w:hint="default"/>
                      <w:color w:val="auto"/>
                      <w:sz w:val="18"/>
                      <w:szCs w:val="18"/>
                      <w:lang w:val="en-US" w:eastAsia="zh-CN"/>
                    </w:rPr>
                  </w:pPr>
                  <w:r>
                    <w:rPr>
                      <w:rFonts w:hint="eastAsia"/>
                      <w:color w:val="auto"/>
                      <w:sz w:val="18"/>
                      <w:szCs w:val="18"/>
                      <w:lang w:val="en-US" w:eastAsia="zh-CN"/>
                    </w:rPr>
                    <w:t>//</w:t>
                  </w:r>
                </w:p>
              </w:tc>
              <w:tc>
                <w:tcPr>
                  <w:tcW w:w="490" w:type="pct"/>
                  <w:tcBorders>
                    <w:tl2br w:val="nil"/>
                    <w:tr2bl w:val="nil"/>
                  </w:tcBorders>
                  <w:vAlign w:val="center"/>
                </w:tcPr>
                <w:p w14:paraId="7835ABB8">
                  <w:pPr>
                    <w:jc w:val="center"/>
                    <w:rPr>
                      <w:rFonts w:hint="default"/>
                      <w:color w:val="auto"/>
                      <w:sz w:val="18"/>
                      <w:szCs w:val="18"/>
                      <w:lang w:val="en-US" w:eastAsia="zh-CN"/>
                    </w:rPr>
                  </w:pPr>
                  <w:r>
                    <w:rPr>
                      <w:rFonts w:hint="eastAsia"/>
                      <w:color w:val="auto"/>
                      <w:sz w:val="18"/>
                      <w:szCs w:val="18"/>
                      <w:lang w:val="en-US" w:eastAsia="zh-CN"/>
                    </w:rPr>
                    <w:t>0.2</w:t>
                  </w:r>
                </w:p>
              </w:tc>
              <w:tc>
                <w:tcPr>
                  <w:tcW w:w="552" w:type="pct"/>
                  <w:tcBorders>
                    <w:tl2br w:val="nil"/>
                    <w:tr2bl w:val="nil"/>
                  </w:tcBorders>
                  <w:vAlign w:val="center"/>
                </w:tcPr>
                <w:p w14:paraId="4641DC08">
                  <w:pPr>
                    <w:jc w:val="center"/>
                    <w:rPr>
                      <w:rFonts w:hint="default"/>
                      <w:color w:val="auto"/>
                      <w:sz w:val="18"/>
                      <w:szCs w:val="18"/>
                      <w:lang w:val="en-US" w:eastAsia="zh-CN"/>
                    </w:rPr>
                  </w:pPr>
                  <w:r>
                    <w:rPr>
                      <w:rFonts w:hint="eastAsia"/>
                      <w:color w:val="auto"/>
                      <w:sz w:val="18"/>
                      <w:szCs w:val="18"/>
                      <w:lang w:val="en-US" w:eastAsia="zh-CN"/>
                    </w:rPr>
                    <w:t>73</w:t>
                  </w:r>
                </w:p>
              </w:tc>
              <w:tc>
                <w:tcPr>
                  <w:tcW w:w="490" w:type="pct"/>
                  <w:tcBorders>
                    <w:tl2br w:val="nil"/>
                    <w:tr2bl w:val="nil"/>
                  </w:tcBorders>
                  <w:vAlign w:val="center"/>
                </w:tcPr>
                <w:p w14:paraId="48C014DA">
                  <w:pPr>
                    <w:jc w:val="center"/>
                    <w:rPr>
                      <w:rFonts w:hint="default" w:eastAsia="宋体"/>
                      <w:color w:val="auto"/>
                      <w:sz w:val="18"/>
                      <w:szCs w:val="18"/>
                      <w:lang w:val="en-US" w:eastAsia="zh-CN"/>
                    </w:rPr>
                  </w:pPr>
                  <w:r>
                    <w:rPr>
                      <w:rFonts w:hint="eastAsia"/>
                      <w:color w:val="auto"/>
                      <w:sz w:val="18"/>
                      <w:szCs w:val="18"/>
                      <w:lang w:val="en-US" w:eastAsia="zh-CN"/>
                    </w:rPr>
                    <w:t>0.16</w:t>
                  </w:r>
                </w:p>
              </w:tc>
              <w:tc>
                <w:tcPr>
                  <w:tcW w:w="614" w:type="pct"/>
                  <w:tcBorders>
                    <w:tl2br w:val="nil"/>
                    <w:tr2bl w:val="nil"/>
                  </w:tcBorders>
                  <w:vAlign w:val="center"/>
                </w:tcPr>
                <w:p w14:paraId="0B68AAE3">
                  <w:pPr>
                    <w:jc w:val="center"/>
                    <w:rPr>
                      <w:rFonts w:hint="default" w:eastAsia="宋体"/>
                      <w:color w:val="auto"/>
                      <w:sz w:val="18"/>
                      <w:szCs w:val="18"/>
                      <w:lang w:val="en-US" w:eastAsia="zh-CN"/>
                    </w:rPr>
                  </w:pPr>
                  <w:r>
                    <w:rPr>
                      <w:rFonts w:hint="eastAsia"/>
                      <w:color w:val="auto"/>
                      <w:sz w:val="18"/>
                      <w:szCs w:val="18"/>
                      <w:lang w:val="en-US" w:eastAsia="zh-CN"/>
                    </w:rPr>
                    <w:t>58.4</w:t>
                  </w:r>
                </w:p>
              </w:tc>
              <w:tc>
                <w:tcPr>
                  <w:tcW w:w="1055" w:type="pct"/>
                  <w:tcBorders>
                    <w:tl2br w:val="nil"/>
                    <w:tr2bl w:val="nil"/>
                  </w:tcBorders>
                  <w:vAlign w:val="center"/>
                </w:tcPr>
                <w:p w14:paraId="2048E269">
                  <w:pPr>
                    <w:jc w:val="center"/>
                    <w:rPr>
                      <w:rFonts w:hint="default"/>
                      <w:color w:val="auto"/>
                      <w:sz w:val="18"/>
                      <w:szCs w:val="18"/>
                      <w:lang w:val="en-US" w:eastAsia="zh-CN"/>
                    </w:rPr>
                  </w:pPr>
                  <w:r>
                    <w:rPr>
                      <w:rFonts w:hint="eastAsia"/>
                      <w:color w:val="auto"/>
                      <w:sz w:val="18"/>
                      <w:szCs w:val="18"/>
                      <w:lang w:val="en-US" w:eastAsia="zh-CN"/>
                    </w:rPr>
                    <w:t>预处理后进入污水处理站</w:t>
                  </w:r>
                </w:p>
              </w:tc>
            </w:tr>
            <w:tr w14:paraId="2794445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07" w:type="pct"/>
                  <w:tcBorders>
                    <w:tl2br w:val="nil"/>
                    <w:tr2bl w:val="nil"/>
                  </w:tcBorders>
                  <w:vAlign w:val="center"/>
                </w:tcPr>
                <w:p w14:paraId="5EE3BBD0">
                  <w:pPr>
                    <w:jc w:val="center"/>
                    <w:rPr>
                      <w:rFonts w:hint="default"/>
                      <w:color w:val="auto"/>
                      <w:sz w:val="18"/>
                      <w:szCs w:val="18"/>
                      <w:vertAlign w:val="baseline"/>
                      <w:lang w:val="en-US" w:eastAsia="zh-CN"/>
                    </w:rPr>
                  </w:pPr>
                  <w:r>
                    <w:rPr>
                      <w:rFonts w:hint="eastAsia"/>
                      <w:color w:val="auto"/>
                      <w:sz w:val="18"/>
                      <w:szCs w:val="18"/>
                      <w:vertAlign w:val="baseline"/>
                      <w:lang w:val="en-US" w:eastAsia="zh-CN"/>
                    </w:rPr>
                    <w:t>食堂</w:t>
                  </w:r>
                </w:p>
              </w:tc>
              <w:tc>
                <w:tcPr>
                  <w:tcW w:w="736" w:type="pct"/>
                  <w:tcBorders>
                    <w:tl2br w:val="nil"/>
                    <w:tr2bl w:val="nil"/>
                  </w:tcBorders>
                  <w:vAlign w:val="center"/>
                </w:tcPr>
                <w:p w14:paraId="2DF8116D">
                  <w:pPr>
                    <w:jc w:val="center"/>
                    <w:rPr>
                      <w:rFonts w:hint="eastAsia" w:eastAsia="宋体"/>
                      <w:color w:val="auto"/>
                      <w:sz w:val="18"/>
                      <w:szCs w:val="18"/>
                      <w:lang w:val="en-US" w:eastAsia="zh-CN"/>
                    </w:rPr>
                  </w:pPr>
                  <w:r>
                    <w:rPr>
                      <w:rFonts w:hint="default"/>
                      <w:bCs/>
                      <w:color w:val="auto"/>
                      <w:sz w:val="18"/>
                      <w:szCs w:val="18"/>
                      <w:lang w:val="en-US" w:eastAsia="zh-CN"/>
                    </w:rPr>
                    <w:t>25L/</w:t>
                  </w:r>
                  <w:r>
                    <w:rPr>
                      <w:rFonts w:hint="eastAsia"/>
                      <w:bCs/>
                      <w:color w:val="auto"/>
                      <w:sz w:val="18"/>
                      <w:szCs w:val="18"/>
                      <w:lang w:val="en-US" w:eastAsia="zh-CN"/>
                    </w:rPr>
                    <w:t>（</w:t>
                  </w:r>
                  <w:r>
                    <w:rPr>
                      <w:rFonts w:hint="default"/>
                      <w:bCs/>
                      <w:color w:val="auto"/>
                      <w:sz w:val="18"/>
                      <w:szCs w:val="18"/>
                      <w:lang w:val="en-US" w:eastAsia="zh-CN"/>
                    </w:rPr>
                    <w:t>p·</w:t>
                  </w:r>
                  <w:r>
                    <w:rPr>
                      <w:rFonts w:hint="eastAsia"/>
                      <w:bCs/>
                      <w:color w:val="auto"/>
                      <w:sz w:val="18"/>
                      <w:szCs w:val="18"/>
                      <w:lang w:val="en-US" w:eastAsia="zh-CN"/>
                    </w:rPr>
                    <w:t>次）</w:t>
                  </w:r>
                </w:p>
              </w:tc>
              <w:tc>
                <w:tcPr>
                  <w:tcW w:w="653" w:type="pct"/>
                  <w:tcBorders>
                    <w:tl2br w:val="nil"/>
                    <w:tr2bl w:val="nil"/>
                  </w:tcBorders>
                  <w:vAlign w:val="center"/>
                </w:tcPr>
                <w:p w14:paraId="788A406F">
                  <w:pPr>
                    <w:jc w:val="center"/>
                    <w:rPr>
                      <w:rFonts w:hint="eastAsia"/>
                      <w:color w:val="auto"/>
                      <w:sz w:val="18"/>
                      <w:szCs w:val="18"/>
                      <w:lang w:val="en-US" w:eastAsia="zh-CN"/>
                    </w:rPr>
                  </w:pPr>
                  <w:r>
                    <w:rPr>
                      <w:rFonts w:hint="default"/>
                      <w:bCs/>
                      <w:color w:val="auto"/>
                      <w:sz w:val="18"/>
                      <w:szCs w:val="18"/>
                      <w:lang w:val="en-US" w:eastAsia="zh-CN"/>
                    </w:rPr>
                    <w:t>200</w:t>
                  </w:r>
                  <w:r>
                    <w:rPr>
                      <w:rFonts w:hint="eastAsia"/>
                      <w:bCs/>
                      <w:color w:val="auto"/>
                      <w:sz w:val="18"/>
                      <w:szCs w:val="18"/>
                      <w:lang w:val="en-US" w:eastAsia="zh-CN"/>
                    </w:rPr>
                    <w:t>人</w:t>
                  </w:r>
                </w:p>
              </w:tc>
              <w:tc>
                <w:tcPr>
                  <w:tcW w:w="490" w:type="pct"/>
                  <w:tcBorders>
                    <w:tl2br w:val="nil"/>
                    <w:tr2bl w:val="nil"/>
                  </w:tcBorders>
                  <w:vAlign w:val="center"/>
                </w:tcPr>
                <w:p w14:paraId="160DABA8">
                  <w:pPr>
                    <w:jc w:val="center"/>
                    <w:rPr>
                      <w:rFonts w:hint="default"/>
                      <w:color w:val="auto"/>
                      <w:sz w:val="18"/>
                      <w:szCs w:val="18"/>
                      <w:lang w:val="en-US" w:eastAsia="zh-CN"/>
                    </w:rPr>
                  </w:pPr>
                  <w:r>
                    <w:rPr>
                      <w:rFonts w:hint="eastAsia"/>
                      <w:color w:val="auto"/>
                      <w:sz w:val="18"/>
                      <w:szCs w:val="18"/>
                      <w:lang w:val="en-US" w:eastAsia="zh-CN"/>
                    </w:rPr>
                    <w:t>5.0</w:t>
                  </w:r>
                </w:p>
              </w:tc>
              <w:tc>
                <w:tcPr>
                  <w:tcW w:w="552" w:type="pct"/>
                  <w:tcBorders>
                    <w:tl2br w:val="nil"/>
                    <w:tr2bl w:val="nil"/>
                  </w:tcBorders>
                  <w:vAlign w:val="center"/>
                </w:tcPr>
                <w:p w14:paraId="4B0F604B">
                  <w:pPr>
                    <w:jc w:val="center"/>
                    <w:rPr>
                      <w:rFonts w:hint="default"/>
                      <w:color w:val="auto"/>
                      <w:sz w:val="18"/>
                      <w:szCs w:val="18"/>
                      <w:lang w:val="en-US" w:eastAsia="zh-CN"/>
                    </w:rPr>
                  </w:pPr>
                  <w:r>
                    <w:rPr>
                      <w:rFonts w:hint="eastAsia"/>
                      <w:color w:val="auto"/>
                      <w:sz w:val="18"/>
                      <w:szCs w:val="18"/>
                      <w:lang w:val="en-US" w:eastAsia="zh-CN"/>
                    </w:rPr>
                    <w:t>1825</w:t>
                  </w:r>
                </w:p>
              </w:tc>
              <w:tc>
                <w:tcPr>
                  <w:tcW w:w="490" w:type="pct"/>
                  <w:tcBorders>
                    <w:tl2br w:val="nil"/>
                    <w:tr2bl w:val="nil"/>
                  </w:tcBorders>
                  <w:vAlign w:val="center"/>
                </w:tcPr>
                <w:p w14:paraId="7FA0445F">
                  <w:pPr>
                    <w:jc w:val="center"/>
                    <w:rPr>
                      <w:rFonts w:hint="default" w:eastAsia="宋体"/>
                      <w:color w:val="auto"/>
                      <w:sz w:val="18"/>
                      <w:szCs w:val="18"/>
                      <w:lang w:val="en-US" w:eastAsia="zh-CN"/>
                    </w:rPr>
                  </w:pPr>
                  <w:r>
                    <w:rPr>
                      <w:rFonts w:hint="eastAsia"/>
                      <w:color w:val="auto"/>
                      <w:sz w:val="18"/>
                      <w:szCs w:val="18"/>
                      <w:lang w:val="en-US" w:eastAsia="zh-CN"/>
                    </w:rPr>
                    <w:t>4.0</w:t>
                  </w:r>
                </w:p>
              </w:tc>
              <w:tc>
                <w:tcPr>
                  <w:tcW w:w="614" w:type="pct"/>
                  <w:tcBorders>
                    <w:tl2br w:val="nil"/>
                    <w:tr2bl w:val="nil"/>
                  </w:tcBorders>
                  <w:vAlign w:val="center"/>
                </w:tcPr>
                <w:p w14:paraId="1011FE10">
                  <w:pPr>
                    <w:jc w:val="center"/>
                    <w:rPr>
                      <w:rFonts w:hint="default" w:eastAsia="宋体"/>
                      <w:color w:val="auto"/>
                      <w:sz w:val="18"/>
                      <w:szCs w:val="18"/>
                      <w:lang w:val="en-US" w:eastAsia="zh-CN"/>
                    </w:rPr>
                  </w:pPr>
                  <w:r>
                    <w:rPr>
                      <w:rFonts w:hint="eastAsia"/>
                      <w:color w:val="auto"/>
                      <w:sz w:val="18"/>
                      <w:szCs w:val="18"/>
                      <w:lang w:val="en-US" w:eastAsia="zh-CN"/>
                    </w:rPr>
                    <w:t>1460</w:t>
                  </w:r>
                </w:p>
              </w:tc>
              <w:tc>
                <w:tcPr>
                  <w:tcW w:w="1055" w:type="pct"/>
                  <w:tcBorders>
                    <w:tl2br w:val="nil"/>
                    <w:tr2bl w:val="nil"/>
                  </w:tcBorders>
                  <w:vAlign w:val="center"/>
                </w:tcPr>
                <w:p w14:paraId="3C7C2E0D">
                  <w:pPr>
                    <w:jc w:val="center"/>
                    <w:rPr>
                      <w:rFonts w:hint="default"/>
                      <w:color w:val="auto"/>
                      <w:sz w:val="18"/>
                      <w:szCs w:val="18"/>
                      <w:lang w:val="en-US" w:eastAsia="zh-CN"/>
                    </w:rPr>
                  </w:pPr>
                  <w:r>
                    <w:rPr>
                      <w:rFonts w:hint="eastAsia"/>
                      <w:color w:val="auto"/>
                      <w:sz w:val="18"/>
                      <w:szCs w:val="18"/>
                      <w:lang w:val="en-US" w:eastAsia="zh-CN"/>
                    </w:rPr>
                    <w:t>经隔油处理后进入化粪池</w:t>
                  </w:r>
                </w:p>
              </w:tc>
            </w:tr>
            <w:tr w14:paraId="6D82F57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07" w:type="pct"/>
                  <w:tcBorders>
                    <w:tl2br w:val="nil"/>
                    <w:tr2bl w:val="nil"/>
                  </w:tcBorders>
                  <w:vAlign w:val="center"/>
                </w:tcPr>
                <w:p w14:paraId="75A7BECF">
                  <w:pPr>
                    <w:jc w:val="center"/>
                    <w:rPr>
                      <w:rFonts w:hint="default"/>
                      <w:color w:val="auto"/>
                      <w:sz w:val="18"/>
                      <w:szCs w:val="18"/>
                      <w:vertAlign w:val="baseline"/>
                      <w:lang w:val="en-US" w:eastAsia="zh-CN"/>
                    </w:rPr>
                  </w:pPr>
                  <w:r>
                    <w:rPr>
                      <w:rFonts w:hint="eastAsia"/>
                      <w:color w:val="auto"/>
                      <w:sz w:val="18"/>
                      <w:szCs w:val="18"/>
                      <w:vertAlign w:val="baseline"/>
                      <w:lang w:val="en-US" w:eastAsia="zh-CN"/>
                    </w:rPr>
                    <w:t>地面清洁</w:t>
                  </w:r>
                </w:p>
              </w:tc>
              <w:tc>
                <w:tcPr>
                  <w:tcW w:w="736" w:type="pct"/>
                  <w:tcBorders>
                    <w:tl2br w:val="nil"/>
                    <w:tr2bl w:val="nil"/>
                  </w:tcBorders>
                  <w:vAlign w:val="center"/>
                </w:tcPr>
                <w:p w14:paraId="45FD6480">
                  <w:pPr>
                    <w:jc w:val="center"/>
                    <w:rPr>
                      <w:rFonts w:hint="default" w:eastAsia="宋体"/>
                      <w:color w:val="auto"/>
                      <w:sz w:val="18"/>
                      <w:szCs w:val="18"/>
                      <w:lang w:val="en-US" w:eastAsia="zh-CN"/>
                    </w:rPr>
                  </w:pPr>
                  <w:r>
                    <w:rPr>
                      <w:rFonts w:hint="eastAsia"/>
                      <w:color w:val="auto"/>
                      <w:sz w:val="18"/>
                      <w:szCs w:val="18"/>
                      <w:lang w:val="en-US" w:eastAsia="zh-CN"/>
                    </w:rPr>
                    <w:t>0.1L/m</w:t>
                  </w:r>
                  <w:r>
                    <w:rPr>
                      <w:rFonts w:hint="eastAsia"/>
                      <w:color w:val="auto"/>
                      <w:sz w:val="18"/>
                      <w:szCs w:val="18"/>
                      <w:vertAlign w:val="superscript"/>
                      <w:lang w:val="en-US" w:eastAsia="zh-CN"/>
                    </w:rPr>
                    <w:t>2</w:t>
                  </w:r>
                  <w:r>
                    <w:rPr>
                      <w:rFonts w:hint="eastAsia"/>
                      <w:color w:val="auto"/>
                      <w:sz w:val="18"/>
                      <w:szCs w:val="18"/>
                      <w:lang w:val="en-US" w:eastAsia="zh-CN"/>
                    </w:rPr>
                    <w:t>·d</w:t>
                  </w:r>
                </w:p>
              </w:tc>
              <w:tc>
                <w:tcPr>
                  <w:tcW w:w="653" w:type="pct"/>
                  <w:tcBorders>
                    <w:tl2br w:val="nil"/>
                    <w:tr2bl w:val="nil"/>
                  </w:tcBorders>
                  <w:vAlign w:val="center"/>
                </w:tcPr>
                <w:p w14:paraId="0933DE10">
                  <w:pPr>
                    <w:jc w:val="center"/>
                    <w:rPr>
                      <w:rFonts w:hint="default"/>
                      <w:color w:val="auto"/>
                      <w:sz w:val="18"/>
                      <w:szCs w:val="18"/>
                      <w:lang w:val="en-US" w:eastAsia="zh-CN"/>
                    </w:rPr>
                  </w:pPr>
                  <w:r>
                    <w:rPr>
                      <w:rFonts w:hint="eastAsia"/>
                      <w:color w:val="auto"/>
                      <w:sz w:val="18"/>
                      <w:szCs w:val="18"/>
                      <w:lang w:val="en-US" w:eastAsia="zh-CN"/>
                    </w:rPr>
                    <w:t>113851m</w:t>
                  </w:r>
                  <w:r>
                    <w:rPr>
                      <w:rFonts w:hint="eastAsia"/>
                      <w:color w:val="auto"/>
                      <w:sz w:val="18"/>
                      <w:szCs w:val="18"/>
                      <w:vertAlign w:val="superscript"/>
                      <w:lang w:val="en-US" w:eastAsia="zh-CN"/>
                    </w:rPr>
                    <w:t>2</w:t>
                  </w:r>
                </w:p>
              </w:tc>
              <w:tc>
                <w:tcPr>
                  <w:tcW w:w="490" w:type="pct"/>
                  <w:tcBorders>
                    <w:tl2br w:val="nil"/>
                    <w:tr2bl w:val="nil"/>
                  </w:tcBorders>
                  <w:vAlign w:val="center"/>
                </w:tcPr>
                <w:p w14:paraId="002EE21E">
                  <w:pPr>
                    <w:jc w:val="center"/>
                    <w:rPr>
                      <w:rFonts w:hint="default"/>
                      <w:color w:val="auto"/>
                      <w:sz w:val="18"/>
                      <w:szCs w:val="18"/>
                      <w:lang w:val="en-US" w:eastAsia="zh-CN"/>
                    </w:rPr>
                  </w:pPr>
                  <w:r>
                    <w:rPr>
                      <w:rFonts w:hint="eastAsia"/>
                      <w:color w:val="auto"/>
                      <w:sz w:val="18"/>
                      <w:szCs w:val="18"/>
                      <w:lang w:val="en-US" w:eastAsia="zh-CN"/>
                    </w:rPr>
                    <w:t>11.39</w:t>
                  </w:r>
                </w:p>
              </w:tc>
              <w:tc>
                <w:tcPr>
                  <w:tcW w:w="552" w:type="pct"/>
                  <w:tcBorders>
                    <w:tl2br w:val="nil"/>
                    <w:tr2bl w:val="nil"/>
                  </w:tcBorders>
                  <w:vAlign w:val="center"/>
                </w:tcPr>
                <w:p w14:paraId="0BA77506">
                  <w:pPr>
                    <w:jc w:val="center"/>
                    <w:rPr>
                      <w:rFonts w:hint="default"/>
                      <w:color w:val="auto"/>
                      <w:sz w:val="18"/>
                      <w:szCs w:val="18"/>
                      <w:lang w:val="en-US" w:eastAsia="zh-CN"/>
                    </w:rPr>
                  </w:pPr>
                  <w:r>
                    <w:rPr>
                      <w:rFonts w:hint="eastAsia"/>
                      <w:color w:val="auto"/>
                      <w:sz w:val="18"/>
                      <w:szCs w:val="18"/>
                      <w:lang w:val="en-US" w:eastAsia="zh-CN"/>
                    </w:rPr>
                    <w:t>4156</w:t>
                  </w:r>
                </w:p>
              </w:tc>
              <w:tc>
                <w:tcPr>
                  <w:tcW w:w="490" w:type="pct"/>
                  <w:tcBorders>
                    <w:tl2br w:val="nil"/>
                    <w:tr2bl w:val="nil"/>
                  </w:tcBorders>
                  <w:shd w:val="clear" w:color="auto" w:fill="auto"/>
                  <w:vAlign w:val="center"/>
                </w:tcPr>
                <w:p w14:paraId="4933C6C9">
                  <w:pPr>
                    <w:jc w:val="center"/>
                    <w:rPr>
                      <w:rFonts w:hint="default" w:ascii="Times New Roman" w:hAnsi="Times New Roman" w:eastAsia="宋体" w:cs="Times New Roman"/>
                      <w:color w:val="auto"/>
                      <w:kern w:val="2"/>
                      <w:sz w:val="18"/>
                      <w:szCs w:val="18"/>
                      <w:vertAlign w:val="baseline"/>
                      <w:lang w:val="en-US" w:eastAsia="zh-CN" w:bidi="ar-SA"/>
                    </w:rPr>
                  </w:pPr>
                  <w:r>
                    <w:rPr>
                      <w:rFonts w:hint="eastAsia"/>
                      <w:color w:val="auto"/>
                      <w:sz w:val="18"/>
                      <w:szCs w:val="18"/>
                      <w:lang w:val="en-US" w:eastAsia="zh-CN"/>
                    </w:rPr>
                    <w:t>9.11</w:t>
                  </w:r>
                </w:p>
              </w:tc>
              <w:tc>
                <w:tcPr>
                  <w:tcW w:w="614" w:type="pct"/>
                  <w:tcBorders>
                    <w:tl2br w:val="nil"/>
                    <w:tr2bl w:val="nil"/>
                  </w:tcBorders>
                  <w:shd w:val="clear" w:color="auto" w:fill="auto"/>
                  <w:vAlign w:val="center"/>
                </w:tcPr>
                <w:p w14:paraId="2E27D339">
                  <w:pPr>
                    <w:jc w:val="center"/>
                    <w:rPr>
                      <w:rFonts w:hint="default"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3325</w:t>
                  </w:r>
                </w:p>
              </w:tc>
              <w:tc>
                <w:tcPr>
                  <w:tcW w:w="1055" w:type="pct"/>
                  <w:tcBorders>
                    <w:tl2br w:val="nil"/>
                    <w:tr2bl w:val="nil"/>
                  </w:tcBorders>
                  <w:vAlign w:val="center"/>
                </w:tcPr>
                <w:p w14:paraId="0DE149B4">
                  <w:pPr>
                    <w:jc w:val="center"/>
                    <w:rPr>
                      <w:rFonts w:hint="default"/>
                      <w:color w:val="auto"/>
                      <w:sz w:val="18"/>
                      <w:szCs w:val="18"/>
                      <w:lang w:val="en-US" w:eastAsia="zh-CN"/>
                    </w:rPr>
                  </w:pPr>
                  <w:r>
                    <w:rPr>
                      <w:rFonts w:hint="eastAsia"/>
                      <w:color w:val="auto"/>
                      <w:sz w:val="18"/>
                      <w:szCs w:val="18"/>
                      <w:lang w:val="en-US" w:eastAsia="zh-CN"/>
                    </w:rPr>
                    <w:t>化粪池</w:t>
                  </w:r>
                </w:p>
              </w:tc>
            </w:tr>
            <w:tr w14:paraId="0703C5D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07" w:type="pct"/>
                  <w:tcBorders>
                    <w:tl2br w:val="nil"/>
                    <w:tr2bl w:val="nil"/>
                  </w:tcBorders>
                  <w:vAlign w:val="center"/>
                </w:tcPr>
                <w:p w14:paraId="7BF3BAA0">
                  <w:pPr>
                    <w:jc w:val="center"/>
                    <w:rPr>
                      <w:rFonts w:hint="eastAsia" w:ascii="Times New Roman" w:hAnsi="Times New Roman" w:eastAsia="宋体"/>
                      <w:color w:val="auto"/>
                      <w:sz w:val="18"/>
                      <w:szCs w:val="18"/>
                      <w:vertAlign w:val="baseline"/>
                      <w:lang w:val="en-US" w:eastAsia="zh-CN"/>
                    </w:rPr>
                  </w:pPr>
                  <w:r>
                    <w:rPr>
                      <w:rFonts w:hint="eastAsia"/>
                      <w:color w:val="auto"/>
                      <w:sz w:val="18"/>
                      <w:szCs w:val="18"/>
                      <w:vertAlign w:val="baseline"/>
                      <w:lang w:val="en-US" w:eastAsia="zh-CN"/>
                    </w:rPr>
                    <w:t>绿化</w:t>
                  </w:r>
                </w:p>
              </w:tc>
              <w:tc>
                <w:tcPr>
                  <w:tcW w:w="736" w:type="pct"/>
                  <w:tcBorders>
                    <w:tl2br w:val="nil"/>
                    <w:tr2bl w:val="nil"/>
                  </w:tcBorders>
                  <w:vAlign w:val="center"/>
                </w:tcPr>
                <w:p w14:paraId="23013C12">
                  <w:pPr>
                    <w:jc w:val="center"/>
                    <w:rPr>
                      <w:rFonts w:ascii="Times New Roman" w:hAnsi="Times New Roman"/>
                      <w:color w:val="auto"/>
                      <w:sz w:val="18"/>
                      <w:szCs w:val="18"/>
                      <w:vertAlign w:val="baseline"/>
                    </w:rPr>
                  </w:pPr>
                  <w:r>
                    <w:rPr>
                      <w:rFonts w:hint="default"/>
                      <w:bCs/>
                      <w:color w:val="auto"/>
                      <w:sz w:val="18"/>
                      <w:szCs w:val="18"/>
                      <w:lang w:val="en-US" w:eastAsia="zh-CN"/>
                    </w:rPr>
                    <w:t>0.28m</w:t>
                  </w:r>
                  <w:r>
                    <w:rPr>
                      <w:rFonts w:hint="default"/>
                      <w:bCs/>
                      <w:color w:val="auto"/>
                      <w:sz w:val="18"/>
                      <w:szCs w:val="18"/>
                      <w:vertAlign w:val="superscript"/>
                      <w:lang w:val="en-US" w:eastAsia="zh-CN"/>
                    </w:rPr>
                    <w:t>3</w:t>
                  </w:r>
                  <w:r>
                    <w:rPr>
                      <w:rFonts w:hint="default"/>
                      <w:bCs/>
                      <w:color w:val="auto"/>
                      <w:sz w:val="18"/>
                      <w:szCs w:val="18"/>
                      <w:lang w:val="en-US" w:eastAsia="zh-CN"/>
                    </w:rPr>
                    <w:t xml:space="preserve"> /(m</w:t>
                  </w:r>
                  <w:r>
                    <w:rPr>
                      <w:rFonts w:hint="default"/>
                      <w:bCs/>
                      <w:color w:val="auto"/>
                      <w:sz w:val="18"/>
                      <w:szCs w:val="18"/>
                      <w:vertAlign w:val="superscript"/>
                      <w:lang w:val="en-US" w:eastAsia="zh-CN"/>
                    </w:rPr>
                    <w:t>2</w:t>
                  </w:r>
                  <w:r>
                    <w:rPr>
                      <w:rFonts w:hint="default"/>
                      <w:bCs/>
                      <w:color w:val="auto"/>
                      <w:sz w:val="18"/>
                      <w:szCs w:val="18"/>
                      <w:lang w:val="en-US" w:eastAsia="zh-CN"/>
                    </w:rPr>
                    <w:t>·a)</w:t>
                  </w:r>
                </w:p>
              </w:tc>
              <w:tc>
                <w:tcPr>
                  <w:tcW w:w="653" w:type="pct"/>
                  <w:tcBorders>
                    <w:tl2br w:val="nil"/>
                    <w:tr2bl w:val="nil"/>
                  </w:tcBorders>
                  <w:vAlign w:val="center"/>
                </w:tcPr>
                <w:p w14:paraId="3FAD776E">
                  <w:pPr>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14000m</w:t>
                  </w:r>
                  <w:r>
                    <w:rPr>
                      <w:rFonts w:hint="eastAsia" w:cs="Times New Roman"/>
                      <w:color w:val="auto"/>
                      <w:kern w:val="2"/>
                      <w:sz w:val="18"/>
                      <w:szCs w:val="18"/>
                      <w:vertAlign w:val="superscript"/>
                      <w:lang w:val="en-US" w:eastAsia="zh-CN" w:bidi="ar-SA"/>
                    </w:rPr>
                    <w:t>2</w:t>
                  </w:r>
                </w:p>
              </w:tc>
              <w:tc>
                <w:tcPr>
                  <w:tcW w:w="490" w:type="pct"/>
                  <w:tcBorders>
                    <w:tl2br w:val="nil"/>
                    <w:tr2bl w:val="nil"/>
                  </w:tcBorders>
                  <w:vAlign w:val="center"/>
                </w:tcPr>
                <w:p w14:paraId="1439D3B8">
                  <w:pPr>
                    <w:jc w:val="center"/>
                    <w:rPr>
                      <w:rFonts w:ascii="Times New Roman" w:hAnsi="Times New Roman"/>
                      <w:color w:val="auto"/>
                      <w:sz w:val="18"/>
                      <w:szCs w:val="18"/>
                      <w:vertAlign w:val="baseline"/>
                    </w:rPr>
                  </w:pPr>
                  <w:r>
                    <w:rPr>
                      <w:rFonts w:hint="eastAsia"/>
                      <w:color w:val="auto"/>
                      <w:sz w:val="18"/>
                      <w:szCs w:val="18"/>
                      <w:lang w:val="en-US" w:eastAsia="zh-CN"/>
                    </w:rPr>
                    <w:t>19.6</w:t>
                  </w:r>
                </w:p>
              </w:tc>
              <w:tc>
                <w:tcPr>
                  <w:tcW w:w="552" w:type="pct"/>
                  <w:tcBorders>
                    <w:tl2br w:val="nil"/>
                    <w:tr2bl w:val="nil"/>
                  </w:tcBorders>
                  <w:vAlign w:val="center"/>
                </w:tcPr>
                <w:p w14:paraId="32BA21E3">
                  <w:pPr>
                    <w:jc w:val="center"/>
                    <w:rPr>
                      <w:rFonts w:hint="default"/>
                      <w:color w:val="auto"/>
                      <w:sz w:val="18"/>
                      <w:szCs w:val="18"/>
                      <w:lang w:val="en-US"/>
                    </w:rPr>
                  </w:pPr>
                  <w:r>
                    <w:rPr>
                      <w:rFonts w:hint="eastAsia"/>
                      <w:color w:val="auto"/>
                      <w:sz w:val="18"/>
                      <w:szCs w:val="18"/>
                      <w:lang w:val="en-US" w:eastAsia="zh-CN"/>
                    </w:rPr>
                    <w:t>3920</w:t>
                  </w:r>
                </w:p>
              </w:tc>
              <w:tc>
                <w:tcPr>
                  <w:tcW w:w="490" w:type="pct"/>
                  <w:tcBorders>
                    <w:tl2br w:val="nil"/>
                    <w:tr2bl w:val="nil"/>
                  </w:tcBorders>
                  <w:vAlign w:val="center"/>
                </w:tcPr>
                <w:p w14:paraId="40213226">
                  <w:pPr>
                    <w:jc w:val="center"/>
                    <w:rPr>
                      <w:rFonts w:ascii="Times New Roman" w:hAnsi="Times New Roman"/>
                      <w:color w:val="auto"/>
                      <w:sz w:val="18"/>
                      <w:szCs w:val="18"/>
                      <w:vertAlign w:val="baseline"/>
                    </w:rPr>
                  </w:pPr>
                  <w:r>
                    <w:rPr>
                      <w:rFonts w:hint="eastAsia"/>
                      <w:color w:val="auto"/>
                      <w:sz w:val="18"/>
                      <w:szCs w:val="18"/>
                    </w:rPr>
                    <w:t>//</w:t>
                  </w:r>
                </w:p>
              </w:tc>
              <w:tc>
                <w:tcPr>
                  <w:tcW w:w="614" w:type="pct"/>
                  <w:tcBorders>
                    <w:tl2br w:val="nil"/>
                    <w:tr2bl w:val="nil"/>
                  </w:tcBorders>
                  <w:vAlign w:val="center"/>
                </w:tcPr>
                <w:p w14:paraId="663EFF52">
                  <w:pPr>
                    <w:jc w:val="center"/>
                    <w:rPr>
                      <w:color w:val="auto"/>
                      <w:sz w:val="18"/>
                      <w:szCs w:val="18"/>
                    </w:rPr>
                  </w:pPr>
                  <w:r>
                    <w:rPr>
                      <w:rFonts w:hint="eastAsia"/>
                      <w:color w:val="auto"/>
                      <w:sz w:val="18"/>
                      <w:szCs w:val="18"/>
                    </w:rPr>
                    <w:t>//</w:t>
                  </w:r>
                </w:p>
              </w:tc>
              <w:tc>
                <w:tcPr>
                  <w:tcW w:w="1055" w:type="pct"/>
                  <w:tcBorders>
                    <w:tl2br w:val="nil"/>
                    <w:tr2bl w:val="nil"/>
                  </w:tcBorders>
                  <w:vAlign w:val="center"/>
                </w:tcPr>
                <w:p w14:paraId="03699D2A">
                  <w:pPr>
                    <w:jc w:val="center"/>
                    <w:rPr>
                      <w:rFonts w:hint="eastAsia"/>
                      <w:color w:val="auto"/>
                      <w:sz w:val="18"/>
                      <w:szCs w:val="18"/>
                      <w:lang w:val="en-US" w:eastAsia="zh-CN"/>
                    </w:rPr>
                  </w:pPr>
                  <w:r>
                    <w:rPr>
                      <w:rFonts w:hint="eastAsia"/>
                      <w:color w:val="auto"/>
                      <w:sz w:val="18"/>
                      <w:szCs w:val="18"/>
                      <w:lang w:val="en-US" w:eastAsia="zh-CN"/>
                    </w:rPr>
                    <w:t>自然</w:t>
                  </w:r>
                </w:p>
                <w:p w14:paraId="39C50F0B">
                  <w:pPr>
                    <w:jc w:val="center"/>
                    <w:rPr>
                      <w:rFonts w:hint="default" w:ascii="Times New Roman" w:hAnsi="Times New Roman"/>
                      <w:color w:val="auto"/>
                      <w:sz w:val="18"/>
                      <w:szCs w:val="18"/>
                      <w:vertAlign w:val="baseline"/>
                      <w:lang w:val="en-US"/>
                    </w:rPr>
                  </w:pPr>
                  <w:r>
                    <w:rPr>
                      <w:rFonts w:hint="eastAsia"/>
                      <w:color w:val="auto"/>
                      <w:sz w:val="18"/>
                      <w:szCs w:val="18"/>
                      <w:lang w:val="en-US" w:eastAsia="zh-CN"/>
                    </w:rPr>
                    <w:t>蒸发</w:t>
                  </w:r>
                </w:p>
              </w:tc>
            </w:tr>
            <w:tr w14:paraId="454E960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07" w:type="pct"/>
                  <w:vMerge w:val="restart"/>
                  <w:tcBorders>
                    <w:tl2br w:val="nil"/>
                    <w:tr2bl w:val="nil"/>
                  </w:tcBorders>
                  <w:vAlign w:val="center"/>
                </w:tcPr>
                <w:p w14:paraId="0304ACBF">
                  <w:pPr>
                    <w:jc w:val="center"/>
                    <w:rPr>
                      <w:rFonts w:ascii="Times New Roman" w:hAnsi="Times New Roman"/>
                      <w:color w:val="auto"/>
                      <w:sz w:val="18"/>
                      <w:szCs w:val="18"/>
                      <w:vertAlign w:val="baseline"/>
                    </w:rPr>
                  </w:pPr>
                  <w:r>
                    <w:rPr>
                      <w:color w:val="auto"/>
                      <w:sz w:val="18"/>
                      <w:szCs w:val="18"/>
                    </w:rPr>
                    <w:t>总计</w:t>
                  </w:r>
                </w:p>
              </w:tc>
              <w:tc>
                <w:tcPr>
                  <w:tcW w:w="736" w:type="pct"/>
                  <w:vMerge w:val="restart"/>
                  <w:tcBorders>
                    <w:tl2br w:val="nil"/>
                    <w:tr2bl w:val="nil"/>
                  </w:tcBorders>
                  <w:vAlign w:val="center"/>
                </w:tcPr>
                <w:p w14:paraId="71A09918">
                  <w:pPr>
                    <w:pStyle w:val="77"/>
                    <w:snapToGrid/>
                    <w:spacing w:line="240" w:lineRule="exact"/>
                    <w:ind w:left="0" w:leftChars="0" w:firstLine="0" w:firstLineChars="0"/>
                    <w:jc w:val="center"/>
                    <w:rPr>
                      <w:rFonts w:hint="default" w:ascii="Times New Roman" w:hAnsi="Times New Roman" w:eastAsia="宋体"/>
                      <w:color w:val="auto"/>
                      <w:sz w:val="18"/>
                      <w:szCs w:val="18"/>
                      <w:vertAlign w:val="baseline"/>
                      <w:lang w:val="en-US" w:eastAsia="zh-CN"/>
                    </w:rPr>
                  </w:pPr>
                  <w:r>
                    <w:rPr>
                      <w:rFonts w:hint="eastAsia" w:ascii="Times New Roman" w:hAnsi="Times New Roman"/>
                      <w:color w:val="auto"/>
                      <w:sz w:val="18"/>
                      <w:szCs w:val="18"/>
                      <w:vertAlign w:val="baseline"/>
                      <w:lang w:val="en-US" w:eastAsia="zh-CN"/>
                    </w:rPr>
                    <w:t>//</w:t>
                  </w:r>
                </w:p>
              </w:tc>
              <w:tc>
                <w:tcPr>
                  <w:tcW w:w="653" w:type="pct"/>
                  <w:vMerge w:val="restart"/>
                  <w:tcBorders>
                    <w:tl2br w:val="nil"/>
                    <w:tr2bl w:val="nil"/>
                  </w:tcBorders>
                  <w:vAlign w:val="center"/>
                </w:tcPr>
                <w:p w14:paraId="5B71F4F4">
                  <w:pPr>
                    <w:pStyle w:val="77"/>
                    <w:snapToGrid/>
                    <w:spacing w:line="240" w:lineRule="exact"/>
                    <w:ind w:left="0" w:leftChars="0" w:firstLine="0" w:firstLineChars="0"/>
                    <w:jc w:val="center"/>
                    <w:rPr>
                      <w:rFonts w:hint="default" w:ascii="Times New Roman" w:hAnsi="Times New Roman" w:eastAsia="宋体"/>
                      <w:color w:val="auto"/>
                      <w:sz w:val="18"/>
                      <w:szCs w:val="18"/>
                      <w:vertAlign w:val="baseline"/>
                      <w:lang w:val="en-US" w:eastAsia="zh-CN"/>
                    </w:rPr>
                  </w:pPr>
                  <w:r>
                    <w:rPr>
                      <w:rFonts w:hint="eastAsia" w:ascii="Times New Roman" w:hAnsi="Times New Roman"/>
                      <w:color w:val="auto"/>
                      <w:sz w:val="18"/>
                      <w:szCs w:val="18"/>
                      <w:vertAlign w:val="baseline"/>
                      <w:lang w:val="en-US" w:eastAsia="zh-CN"/>
                    </w:rPr>
                    <w:t>//</w:t>
                  </w:r>
                </w:p>
              </w:tc>
              <w:tc>
                <w:tcPr>
                  <w:tcW w:w="490" w:type="pct"/>
                  <w:tcBorders>
                    <w:tl2br w:val="nil"/>
                    <w:tr2bl w:val="nil"/>
                  </w:tcBorders>
                  <w:vAlign w:val="center"/>
                </w:tcPr>
                <w:p w14:paraId="2247418D">
                  <w:pPr>
                    <w:jc w:val="center"/>
                    <w:rPr>
                      <w:rFonts w:hint="default" w:ascii="Times New Roman" w:hAnsi="Times New Roman" w:eastAsia="宋体"/>
                      <w:color w:val="auto"/>
                      <w:sz w:val="18"/>
                      <w:szCs w:val="18"/>
                      <w:vertAlign w:val="baseline"/>
                      <w:lang w:val="en-US" w:eastAsia="zh-CN"/>
                    </w:rPr>
                  </w:pPr>
                  <w:r>
                    <w:rPr>
                      <w:rFonts w:hint="eastAsia"/>
                      <w:color w:val="auto"/>
                      <w:sz w:val="18"/>
                      <w:szCs w:val="18"/>
                      <w:vertAlign w:val="baseline"/>
                      <w:lang w:val="en-US" w:eastAsia="zh-CN"/>
                    </w:rPr>
                    <w:t>232.39</w:t>
                  </w:r>
                </w:p>
              </w:tc>
              <w:tc>
                <w:tcPr>
                  <w:tcW w:w="552" w:type="pct"/>
                  <w:tcBorders>
                    <w:tl2br w:val="nil"/>
                    <w:tr2bl w:val="nil"/>
                  </w:tcBorders>
                  <w:vAlign w:val="center"/>
                </w:tcPr>
                <w:p w14:paraId="45B151B4">
                  <w:pPr>
                    <w:jc w:val="center"/>
                    <w:rPr>
                      <w:rFonts w:hint="default" w:eastAsia="宋体"/>
                      <w:color w:val="auto"/>
                      <w:sz w:val="18"/>
                      <w:szCs w:val="18"/>
                      <w:lang w:val="en-US" w:eastAsia="zh-CN"/>
                    </w:rPr>
                  </w:pPr>
                </w:p>
              </w:tc>
              <w:tc>
                <w:tcPr>
                  <w:tcW w:w="490" w:type="pct"/>
                  <w:tcBorders>
                    <w:tl2br w:val="nil"/>
                    <w:tr2bl w:val="nil"/>
                  </w:tcBorders>
                  <w:vAlign w:val="center"/>
                </w:tcPr>
                <w:p w14:paraId="424BCF88">
                  <w:pPr>
                    <w:jc w:val="center"/>
                    <w:rPr>
                      <w:rFonts w:hint="default" w:ascii="Times New Roman" w:hAnsi="Times New Roman" w:eastAsia="宋体"/>
                      <w:color w:val="auto"/>
                      <w:sz w:val="18"/>
                      <w:szCs w:val="18"/>
                      <w:vertAlign w:val="baseline"/>
                      <w:lang w:val="en-US" w:eastAsia="zh-CN"/>
                    </w:rPr>
                  </w:pPr>
                  <w:r>
                    <w:rPr>
                      <w:rFonts w:hint="eastAsia"/>
                      <w:color w:val="auto"/>
                      <w:sz w:val="18"/>
                      <w:szCs w:val="18"/>
                      <w:vertAlign w:val="baseline"/>
                      <w:lang w:val="en-US" w:eastAsia="zh-CN"/>
                    </w:rPr>
                    <w:t>176.47</w:t>
                  </w:r>
                </w:p>
              </w:tc>
              <w:tc>
                <w:tcPr>
                  <w:tcW w:w="614" w:type="pct"/>
                  <w:tcBorders>
                    <w:tl2br w:val="nil"/>
                    <w:tr2bl w:val="nil"/>
                  </w:tcBorders>
                  <w:vAlign w:val="center"/>
                </w:tcPr>
                <w:p w14:paraId="2EB2A6E3">
                  <w:pPr>
                    <w:jc w:val="center"/>
                    <w:rPr>
                      <w:color w:val="auto"/>
                      <w:sz w:val="18"/>
                      <w:szCs w:val="18"/>
                    </w:rPr>
                  </w:pPr>
                </w:p>
              </w:tc>
              <w:tc>
                <w:tcPr>
                  <w:tcW w:w="1055" w:type="pct"/>
                  <w:tcBorders>
                    <w:tl2br w:val="nil"/>
                    <w:tr2bl w:val="nil"/>
                  </w:tcBorders>
                  <w:vAlign w:val="center"/>
                </w:tcPr>
                <w:p w14:paraId="18675CD4">
                  <w:pPr>
                    <w:jc w:val="center"/>
                    <w:rPr>
                      <w:rFonts w:hint="eastAsia" w:ascii="Times New Roman" w:hAnsi="Times New Roman" w:eastAsia="宋体"/>
                      <w:color w:val="auto"/>
                      <w:sz w:val="18"/>
                      <w:szCs w:val="18"/>
                      <w:vertAlign w:val="baseline"/>
                      <w:lang w:val="en-US" w:eastAsia="zh-CN"/>
                    </w:rPr>
                  </w:pPr>
                  <w:r>
                    <w:rPr>
                      <w:rFonts w:hint="eastAsia"/>
                      <w:color w:val="auto"/>
                      <w:spacing w:val="-11"/>
                      <w:sz w:val="18"/>
                      <w:szCs w:val="18"/>
                      <w:vertAlign w:val="baseline"/>
                      <w:lang w:val="en-US" w:eastAsia="zh-CN"/>
                    </w:rPr>
                    <w:t>非采暖期</w:t>
                  </w:r>
                </w:p>
              </w:tc>
            </w:tr>
            <w:tr w14:paraId="2DD9579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07" w:type="pct"/>
                  <w:vMerge w:val="continue"/>
                  <w:tcBorders>
                    <w:tl2br w:val="nil"/>
                    <w:tr2bl w:val="nil"/>
                  </w:tcBorders>
                  <w:vAlign w:val="center"/>
                </w:tcPr>
                <w:p w14:paraId="24B14F21">
                  <w:pPr>
                    <w:jc w:val="center"/>
                    <w:rPr>
                      <w:color w:val="auto"/>
                      <w:sz w:val="18"/>
                      <w:szCs w:val="18"/>
                    </w:rPr>
                  </w:pPr>
                </w:p>
              </w:tc>
              <w:tc>
                <w:tcPr>
                  <w:tcW w:w="736" w:type="pct"/>
                  <w:vMerge w:val="continue"/>
                  <w:tcBorders>
                    <w:tl2br w:val="nil"/>
                    <w:tr2bl w:val="nil"/>
                  </w:tcBorders>
                  <w:vAlign w:val="center"/>
                </w:tcPr>
                <w:p w14:paraId="29BAC1ED">
                  <w:pPr>
                    <w:pStyle w:val="77"/>
                    <w:snapToGrid/>
                    <w:spacing w:line="240" w:lineRule="exact"/>
                    <w:jc w:val="center"/>
                    <w:rPr>
                      <w:rFonts w:hint="eastAsia" w:ascii="Times New Roman" w:hAnsi="Times New Roman"/>
                      <w:color w:val="auto"/>
                      <w:sz w:val="18"/>
                      <w:szCs w:val="18"/>
                      <w:vertAlign w:val="baseline"/>
                      <w:lang w:val="en-US" w:eastAsia="zh-CN"/>
                    </w:rPr>
                  </w:pPr>
                </w:p>
              </w:tc>
              <w:tc>
                <w:tcPr>
                  <w:tcW w:w="653" w:type="pct"/>
                  <w:vMerge w:val="continue"/>
                  <w:tcBorders>
                    <w:tl2br w:val="nil"/>
                    <w:tr2bl w:val="nil"/>
                  </w:tcBorders>
                  <w:vAlign w:val="center"/>
                </w:tcPr>
                <w:p w14:paraId="42746F22">
                  <w:pPr>
                    <w:pStyle w:val="77"/>
                    <w:snapToGrid/>
                    <w:spacing w:line="240" w:lineRule="exact"/>
                    <w:jc w:val="center"/>
                    <w:rPr>
                      <w:rFonts w:hint="eastAsia" w:ascii="Times New Roman" w:hAnsi="Times New Roman"/>
                      <w:color w:val="auto"/>
                      <w:sz w:val="18"/>
                      <w:szCs w:val="18"/>
                      <w:vertAlign w:val="baseline"/>
                      <w:lang w:val="en-US" w:eastAsia="zh-CN"/>
                    </w:rPr>
                  </w:pPr>
                </w:p>
              </w:tc>
              <w:tc>
                <w:tcPr>
                  <w:tcW w:w="490" w:type="pct"/>
                  <w:tcBorders>
                    <w:tl2br w:val="nil"/>
                    <w:tr2bl w:val="nil"/>
                  </w:tcBorders>
                  <w:vAlign w:val="center"/>
                </w:tcPr>
                <w:p w14:paraId="57ED7E9F">
                  <w:pPr>
                    <w:jc w:val="center"/>
                    <w:rPr>
                      <w:rFonts w:hint="default"/>
                      <w:color w:val="auto"/>
                      <w:sz w:val="18"/>
                      <w:szCs w:val="18"/>
                      <w:vertAlign w:val="baseline"/>
                      <w:lang w:val="en-US" w:eastAsia="zh-CN"/>
                    </w:rPr>
                  </w:pPr>
                  <w:r>
                    <w:rPr>
                      <w:rFonts w:hint="eastAsia"/>
                      <w:color w:val="auto"/>
                      <w:sz w:val="18"/>
                      <w:szCs w:val="18"/>
                      <w:vertAlign w:val="baseline"/>
                      <w:lang w:val="en-US" w:eastAsia="zh-CN"/>
                    </w:rPr>
                    <w:t>212.79</w:t>
                  </w:r>
                </w:p>
              </w:tc>
              <w:tc>
                <w:tcPr>
                  <w:tcW w:w="552" w:type="pct"/>
                  <w:tcBorders>
                    <w:tl2br w:val="nil"/>
                    <w:tr2bl w:val="nil"/>
                  </w:tcBorders>
                  <w:vAlign w:val="center"/>
                </w:tcPr>
                <w:p w14:paraId="0CBF088C">
                  <w:pPr>
                    <w:jc w:val="center"/>
                    <w:rPr>
                      <w:color w:val="auto"/>
                      <w:sz w:val="18"/>
                      <w:szCs w:val="18"/>
                    </w:rPr>
                  </w:pPr>
                </w:p>
              </w:tc>
              <w:tc>
                <w:tcPr>
                  <w:tcW w:w="490" w:type="pct"/>
                  <w:tcBorders>
                    <w:tl2br w:val="nil"/>
                    <w:tr2bl w:val="nil"/>
                  </w:tcBorders>
                  <w:vAlign w:val="center"/>
                </w:tcPr>
                <w:p w14:paraId="45B12493">
                  <w:pPr>
                    <w:jc w:val="center"/>
                    <w:rPr>
                      <w:rFonts w:hint="default" w:ascii="Times New Roman" w:hAnsi="Times New Roman"/>
                      <w:color w:val="auto"/>
                      <w:sz w:val="18"/>
                      <w:szCs w:val="18"/>
                      <w:vertAlign w:val="baseline"/>
                      <w:lang w:val="en-US"/>
                    </w:rPr>
                  </w:pPr>
                  <w:r>
                    <w:rPr>
                      <w:rFonts w:hint="eastAsia"/>
                      <w:color w:val="auto"/>
                      <w:sz w:val="18"/>
                      <w:szCs w:val="18"/>
                      <w:vertAlign w:val="baseline"/>
                      <w:lang w:val="en-US" w:eastAsia="zh-CN"/>
                    </w:rPr>
                    <w:t>176.47</w:t>
                  </w:r>
                </w:p>
              </w:tc>
              <w:tc>
                <w:tcPr>
                  <w:tcW w:w="614" w:type="pct"/>
                  <w:tcBorders>
                    <w:tl2br w:val="nil"/>
                    <w:tr2bl w:val="nil"/>
                  </w:tcBorders>
                  <w:vAlign w:val="center"/>
                </w:tcPr>
                <w:p w14:paraId="40948B43">
                  <w:pPr>
                    <w:jc w:val="center"/>
                    <w:rPr>
                      <w:color w:val="auto"/>
                      <w:sz w:val="18"/>
                      <w:szCs w:val="18"/>
                    </w:rPr>
                  </w:pPr>
                </w:p>
              </w:tc>
              <w:tc>
                <w:tcPr>
                  <w:tcW w:w="1055" w:type="pct"/>
                  <w:tcBorders>
                    <w:tl2br w:val="nil"/>
                    <w:tr2bl w:val="nil"/>
                  </w:tcBorders>
                  <w:vAlign w:val="center"/>
                </w:tcPr>
                <w:p w14:paraId="7B58D1D5">
                  <w:pPr>
                    <w:jc w:val="center"/>
                    <w:rPr>
                      <w:rFonts w:hint="eastAsia" w:ascii="Times New Roman" w:hAnsi="Times New Roman" w:eastAsia="宋体"/>
                      <w:color w:val="auto"/>
                      <w:sz w:val="18"/>
                      <w:szCs w:val="18"/>
                      <w:vertAlign w:val="baseline"/>
                      <w:lang w:val="en-US" w:eastAsia="zh-CN"/>
                    </w:rPr>
                  </w:pPr>
                  <w:r>
                    <w:rPr>
                      <w:rFonts w:hint="eastAsia"/>
                      <w:color w:val="auto"/>
                      <w:sz w:val="18"/>
                      <w:szCs w:val="18"/>
                      <w:vertAlign w:val="baseline"/>
                      <w:lang w:val="en-US" w:eastAsia="zh-CN"/>
                    </w:rPr>
                    <w:t>采暖期</w:t>
                  </w:r>
                </w:p>
              </w:tc>
            </w:tr>
          </w:tbl>
          <w:p w14:paraId="6DDEDB7C">
            <w:pPr>
              <w:pStyle w:val="77"/>
              <w:snapToGrid/>
              <w:spacing w:line="240" w:lineRule="exact"/>
              <w:ind w:firstLine="361"/>
              <w:jc w:val="center"/>
              <w:rPr>
                <w:rFonts w:ascii="Times New Roman" w:hAnsi="Times New Roman"/>
                <w:color w:val="auto"/>
                <w:sz w:val="18"/>
                <w:szCs w:val="18"/>
              </w:rPr>
            </w:pPr>
            <w:r>
              <w:rPr>
                <w:sz w:val="21"/>
              </w:rPr>
              <w:pict>
                <v:group id="_x0000_s2599" o:spid="_x0000_s2599" o:spt="203" style="position:absolute;left:0pt;margin-left:19pt;margin-top:4.15pt;height:470.85pt;width:347.65pt;z-index:251672576;mso-width-relative:page;mso-height-relative:page;" coordorigin="3720,223794" coordsize="6953,9417">
                  <o:lock v:ext="edit" aspectratio="f"/>
                  <v:rect id="_x0000_s2070" o:spid="_x0000_s2070" o:spt="1" style="position:absolute;left:3720;top:224274;height:800;width:976;" filled="f" stroked="f" coordsize="21600,21600">
                    <v:path/>
                    <v:fill on="f" focussize="0,0"/>
                    <v:stroke on="f"/>
                    <v:imagedata o:title=""/>
                    <o:lock v:ext="edit" aspectratio="f"/>
                    <v:textbox>
                      <w:txbxContent>
                        <w:p w14:paraId="69E74D02">
                          <w:pPr>
                            <w:jc w:val="center"/>
                            <w:rPr>
                              <w:rFonts w:hint="eastAsia"/>
                              <w:sz w:val="18"/>
                              <w:szCs w:val="18"/>
                            </w:rPr>
                          </w:pPr>
                          <w:r>
                            <w:rPr>
                              <w:rFonts w:hint="eastAsia"/>
                              <w:sz w:val="18"/>
                              <w:szCs w:val="18"/>
                            </w:rPr>
                            <w:t>新</w:t>
                          </w:r>
                          <w:r>
                            <w:rPr>
                              <w:rFonts w:hint="eastAsia"/>
                              <w:sz w:val="18"/>
                              <w:szCs w:val="18"/>
                              <w:lang w:val="en-US" w:eastAsia="zh-CN"/>
                            </w:rPr>
                            <w:t>鲜</w:t>
                          </w:r>
                          <w:r>
                            <w:rPr>
                              <w:rFonts w:hint="eastAsia"/>
                              <w:sz w:val="18"/>
                              <w:szCs w:val="18"/>
                            </w:rPr>
                            <w:t>水</w:t>
                          </w:r>
                        </w:p>
                        <w:p w14:paraId="49A06443">
                          <w:pPr>
                            <w:jc w:val="center"/>
                            <w:rPr>
                              <w:rFonts w:hint="default" w:eastAsia="宋体"/>
                              <w:sz w:val="18"/>
                              <w:szCs w:val="18"/>
                              <w:lang w:val="en-US" w:eastAsia="zh-CN"/>
                            </w:rPr>
                          </w:pPr>
                          <w:r>
                            <w:rPr>
                              <w:rFonts w:hint="eastAsia"/>
                              <w:sz w:val="18"/>
                              <w:szCs w:val="18"/>
                              <w:lang w:val="en-US" w:eastAsia="zh-CN"/>
                            </w:rPr>
                            <w:t>240.19</w:t>
                          </w:r>
                        </w:p>
                      </w:txbxContent>
                    </v:textbox>
                  </v:rect>
                  <v:shape id="_x0000_s2071" o:spid="_x0000_s2071" o:spt="32" type="#_x0000_t32" style="position:absolute;left:4518;top:224298;height:0;width:739;" filled="f" stroked="t" coordsize="21600,21600">
                    <v:path arrowok="t"/>
                    <v:fill on="f" focussize="0,0"/>
                    <v:stroke color="#000000" endarrow="block"/>
                    <v:imagedata o:title=""/>
                    <o:lock v:ext="edit" aspectratio="f"/>
                  </v:shape>
                  <v:rect id="_x0000_s2072" o:spid="_x0000_s2072" o:spt="1" style="position:absolute;left:5255;top:224147;height:388;width:1164;" fillcolor="#FFFFFF" filled="t" stroked="t" coordsize="21600,21600">
                    <v:path/>
                    <v:fill on="t" color2="#FFFFFF" focussize="0,0"/>
                    <v:stroke color="#000000" joinstyle="miter"/>
                    <v:imagedata o:title=""/>
                    <o:lock v:ext="edit" aspectratio="f"/>
                    <v:textbox>
                      <w:txbxContent>
                        <w:p w14:paraId="27D48A70">
                          <w:pPr>
                            <w:jc w:val="center"/>
                            <w:rPr>
                              <w:rFonts w:hint="default" w:eastAsia="宋体"/>
                              <w:sz w:val="18"/>
                              <w:szCs w:val="18"/>
                              <w:lang w:val="en-US" w:eastAsia="zh-CN"/>
                            </w:rPr>
                          </w:pPr>
                          <w:r>
                            <w:rPr>
                              <w:rFonts w:hint="eastAsia"/>
                              <w:sz w:val="18"/>
                              <w:szCs w:val="18"/>
                              <w:lang w:val="en-US" w:eastAsia="zh-CN"/>
                            </w:rPr>
                            <w:t>住院病房</w:t>
                          </w:r>
                        </w:p>
                      </w:txbxContent>
                    </v:textbox>
                  </v:rect>
                  <v:shape id="_x0000_s2074" o:spid="_x0000_s2074" o:spt="38" type="#_x0000_t38" style="position:absolute;left:5741;top:223968;flip:y;height:167;width:255;" filled="f" stroked="t" coordsize="21600,21600" adj="10758">
                    <v:path arrowok="t"/>
                    <v:fill on="f" focussize="0,0"/>
                    <v:stroke color="#000000" endarrow="block"/>
                    <v:imagedata o:title=""/>
                    <o:lock v:ext="edit" aspectratio="f"/>
                  </v:shape>
                  <v:shape id="_x0000_s2081" o:spid="_x0000_s2081" o:spt="32" type="#_x0000_t32" style="position:absolute;left:4514;top:224291;flip:x;height:7129;width:1;" filled="f" stroked="t" coordsize="21600,21600">
                    <v:path arrowok="t"/>
                    <v:fill on="f" focussize="0,0"/>
                    <v:stroke color="#000000"/>
                    <v:imagedata o:title=""/>
                    <o:lock v:ext="edit" aspectratio="f"/>
                  </v:shape>
                  <v:shape id="_x0000_s2075" o:spid="_x0000_s2075" o:spt="32" type="#_x0000_t32" style="position:absolute;left:6419;top:224288;flip:y;height:10;width:3130;" filled="f" stroked="t" coordsize="21600,21600">
                    <v:path arrowok="t"/>
                    <v:fill on="f" focussize="0,0"/>
                    <v:stroke color="#000000" endarrow="block"/>
                    <v:imagedata o:title=""/>
                    <o:lock v:ext="edit" aspectratio="f"/>
                  </v:shape>
                  <v:rect id="_x0000_s2077" o:spid="_x0000_s2077" o:spt="1" style="position:absolute;left:6630;top:224008;height:364;width:625;" filled="f" stroked="f" coordsize="21600,21600">
                    <v:path/>
                    <v:fill on="f" focussize="0,0"/>
                    <v:stroke on="f"/>
                    <v:imagedata o:title=""/>
                    <o:lock v:ext="edit" aspectratio="f"/>
                    <v:textbox>
                      <w:txbxContent>
                        <w:p w14:paraId="02E3B126">
                          <w:pPr>
                            <w:jc w:val="center"/>
                            <w:rPr>
                              <w:rFonts w:hint="default" w:eastAsia="宋体"/>
                              <w:sz w:val="18"/>
                              <w:szCs w:val="18"/>
                              <w:lang w:val="en-US" w:eastAsia="zh-CN"/>
                            </w:rPr>
                          </w:pPr>
                          <w:r>
                            <w:rPr>
                              <w:rFonts w:hint="eastAsia"/>
                              <w:sz w:val="18"/>
                              <w:szCs w:val="18"/>
                              <w:lang w:val="en-US" w:eastAsia="zh-CN"/>
                            </w:rPr>
                            <w:t>94.4</w:t>
                          </w:r>
                        </w:p>
                      </w:txbxContent>
                    </v:textbox>
                  </v:rect>
                  <v:rect id="_x0000_s2078" o:spid="_x0000_s2078" o:spt="1" style="position:absolute;left:4498;top:223995;height:363;width:764;" filled="f" stroked="f" coordsize="21600,21600">
                    <v:path/>
                    <v:fill on="f" focussize="0,0"/>
                    <v:stroke on="f"/>
                    <v:imagedata o:title=""/>
                    <o:lock v:ext="edit" aspectratio="f"/>
                    <v:textbox>
                      <w:txbxContent>
                        <w:p w14:paraId="29289D89">
                          <w:pPr>
                            <w:jc w:val="center"/>
                            <w:rPr>
                              <w:rFonts w:hint="default" w:eastAsia="宋体"/>
                              <w:sz w:val="18"/>
                              <w:szCs w:val="18"/>
                              <w:lang w:val="en-US" w:eastAsia="zh-CN"/>
                            </w:rPr>
                          </w:pPr>
                          <w:r>
                            <w:rPr>
                              <w:rFonts w:hint="eastAsia"/>
                              <w:sz w:val="18"/>
                              <w:szCs w:val="18"/>
                              <w:lang w:val="en-US" w:eastAsia="zh-CN"/>
                            </w:rPr>
                            <w:t>118</w:t>
                          </w:r>
                        </w:p>
                      </w:txbxContent>
                    </v:textbox>
                  </v:rect>
                  <v:rect id="_x0000_s2267" o:spid="_x0000_s2267" o:spt="1" style="position:absolute;left:4501;top:224873;height:363;width:764;" filled="f" stroked="f" coordsize="21600,21600">
                    <v:path/>
                    <v:fill on="f" focussize="0,0"/>
                    <v:stroke on="f"/>
                    <v:imagedata o:title=""/>
                    <o:lock v:ext="edit" aspectratio="f"/>
                    <v:textbox>
                      <w:txbxContent>
                        <w:p w14:paraId="4FF20AC5">
                          <w:pPr>
                            <w:jc w:val="center"/>
                            <w:rPr>
                              <w:rFonts w:hint="default" w:eastAsia="宋体"/>
                              <w:sz w:val="18"/>
                              <w:szCs w:val="18"/>
                              <w:lang w:val="en-US" w:eastAsia="zh-CN"/>
                            </w:rPr>
                          </w:pPr>
                          <w:r>
                            <w:rPr>
                              <w:rFonts w:hint="eastAsia"/>
                              <w:sz w:val="18"/>
                              <w:szCs w:val="18"/>
                              <w:lang w:val="en-US" w:eastAsia="zh-CN"/>
                            </w:rPr>
                            <w:t>3.0</w:t>
                          </w:r>
                        </w:p>
                      </w:txbxContent>
                    </v:textbox>
                  </v:rect>
                  <v:shape id="_x0000_s2092" o:spid="_x0000_s2092" o:spt="32" type="#_x0000_t32" style="position:absolute;left:4506;top:225176;height:0;width:739;" filled="f" stroked="t" coordsize="21600,21600">
                    <v:path arrowok="t"/>
                    <v:fill on="f" focussize="0,0"/>
                    <v:stroke color="#000000" endarrow="block"/>
                    <v:imagedata o:title=""/>
                    <o:lock v:ext="edit" aspectratio="f"/>
                  </v:shape>
                  <v:rect id="_x0000_s2091" o:spid="_x0000_s2091" o:spt="1" style="position:absolute;left:5243;top:225025;height:388;width:1164;" fillcolor="#FFFFFF" filled="t" stroked="t" coordsize="21600,21600">
                    <v:path/>
                    <v:fill on="t" color2="#FFFFFF" focussize="0,0"/>
                    <v:stroke color="#000000" joinstyle="miter"/>
                    <v:imagedata o:title=""/>
                    <o:lock v:ext="edit" aspectratio="f"/>
                    <v:textbox>
                      <w:txbxContent>
                        <w:p w14:paraId="44F9EB6D">
                          <w:pPr>
                            <w:jc w:val="center"/>
                            <w:rPr>
                              <w:rFonts w:hint="default" w:eastAsia="宋体"/>
                              <w:sz w:val="18"/>
                              <w:szCs w:val="18"/>
                              <w:lang w:val="en-US" w:eastAsia="zh-CN"/>
                            </w:rPr>
                          </w:pPr>
                          <w:r>
                            <w:rPr>
                              <w:rFonts w:hint="eastAsia"/>
                              <w:sz w:val="18"/>
                              <w:szCs w:val="18"/>
                              <w:lang w:val="en-US" w:eastAsia="zh-CN"/>
                            </w:rPr>
                            <w:t>门诊</w:t>
                          </w:r>
                        </w:p>
                      </w:txbxContent>
                    </v:textbox>
                  </v:rect>
                  <v:rect id="_x0000_s2057" o:spid="_x0000_s2057" o:spt="1" style="position:absolute;left:5863;top:224647;height:325;width:647;" filled="f" stroked="f" coordsize="21600,21600">
                    <v:path/>
                    <v:fill on="f" focussize="0,0"/>
                    <v:stroke on="f"/>
                    <v:imagedata o:title=""/>
                    <o:lock v:ext="edit" aspectratio="f"/>
                    <v:textbox>
                      <w:txbxContent>
                        <w:p w14:paraId="0DC24BE0">
                          <w:pPr>
                            <w:jc w:val="center"/>
                            <w:rPr>
                              <w:rFonts w:hint="default" w:eastAsia="宋体"/>
                              <w:sz w:val="18"/>
                              <w:szCs w:val="18"/>
                              <w:lang w:val="en-US" w:eastAsia="zh-CN"/>
                            </w:rPr>
                          </w:pPr>
                          <w:r>
                            <w:rPr>
                              <w:rFonts w:hint="eastAsia"/>
                              <w:sz w:val="18"/>
                              <w:szCs w:val="18"/>
                              <w:lang w:val="en-US" w:eastAsia="zh-CN"/>
                            </w:rPr>
                            <w:t>0.6</w:t>
                          </w:r>
                        </w:p>
                      </w:txbxContent>
                    </v:textbox>
                  </v:rect>
                  <v:shape id="_x0000_s2056" o:spid="_x0000_s2056" o:spt="38" type="#_x0000_t38" style="position:absolute;left:5729;top:224845;flip:y;height:167;width:255;" filled="f" stroked="t" coordsize="21600,21600" adj="10758">
                    <v:path arrowok="t"/>
                    <v:fill on="f" focussize="0,0"/>
                    <v:stroke color="#000000" endarrow="block"/>
                    <v:imagedata o:title=""/>
                    <o:lock v:ext="edit" aspectratio="f"/>
                  </v:shape>
                  <v:shape id="_x0000_s2068" o:spid="_x0000_s2068" o:spt="32" type="#_x0000_t32" style="position:absolute;left:6407;top:225172;flip:y;height:4;width:3030;" filled="f" stroked="t" coordsize="21600,21600">
                    <v:path arrowok="t"/>
                    <v:fill on="f" focussize="0,0"/>
                    <v:stroke color="#000000" endarrow="block"/>
                    <v:imagedata o:title=""/>
                    <o:lock v:ext="edit" aspectratio="f"/>
                  </v:shape>
                  <v:rect id="_x0000_s2050" o:spid="_x0000_s2050" o:spt="1" style="position:absolute;left:6618;top:224885;height:364;width:625;" filled="f" stroked="f" coordsize="21600,21600">
                    <v:path/>
                    <v:fill on="f" focussize="0,0"/>
                    <v:stroke on="f"/>
                    <v:imagedata o:title=""/>
                    <o:lock v:ext="edit" aspectratio="f"/>
                    <v:textbox>
                      <w:txbxContent>
                        <w:p w14:paraId="14B238D6">
                          <w:pPr>
                            <w:jc w:val="center"/>
                            <w:rPr>
                              <w:rFonts w:hint="default" w:eastAsia="宋体"/>
                              <w:sz w:val="18"/>
                              <w:szCs w:val="18"/>
                              <w:lang w:val="en-US" w:eastAsia="zh-CN"/>
                            </w:rPr>
                          </w:pPr>
                          <w:r>
                            <w:rPr>
                              <w:rFonts w:hint="eastAsia"/>
                              <w:sz w:val="18"/>
                              <w:szCs w:val="18"/>
                              <w:lang w:val="en-US" w:eastAsia="zh-CN"/>
                            </w:rPr>
                            <w:t>2.4</w:t>
                          </w:r>
                        </w:p>
                      </w:txbxContent>
                    </v:textbox>
                  </v:rect>
                  <v:shape id="_x0000_s2114" o:spid="_x0000_s2114" o:spt="32" type="#_x0000_t32" style="position:absolute;left:4567;top:226091;height:0;width:739;" filled="f" stroked="t" coordsize="21600,21600">
                    <v:path arrowok="t"/>
                    <v:fill on="f" focussize="0,0"/>
                    <v:stroke color="#000000" endarrow="block"/>
                    <v:imagedata o:title=""/>
                    <o:lock v:ext="edit" aspectratio="f"/>
                  </v:shape>
                  <v:rect id="_x0000_s2103" o:spid="_x0000_s2103" o:spt="1" style="position:absolute;left:5304;top:225940;height:388;width:1164;" fillcolor="#FFFFFF" filled="t" stroked="t" coordsize="21600,21600">
                    <v:path/>
                    <v:fill on="t" color2="#FFFFFF" focussize="0,0"/>
                    <v:stroke color="#000000" joinstyle="miter"/>
                    <v:imagedata o:title=""/>
                    <o:lock v:ext="edit" aspectratio="f"/>
                    <v:textbox>
                      <w:txbxContent>
                        <w:p w14:paraId="2E8962D7">
                          <w:pPr>
                            <w:jc w:val="center"/>
                            <w:rPr>
                              <w:rFonts w:hint="default" w:eastAsia="宋体"/>
                              <w:sz w:val="18"/>
                              <w:szCs w:val="18"/>
                              <w:lang w:val="en-US" w:eastAsia="zh-CN"/>
                            </w:rPr>
                          </w:pPr>
                          <w:r>
                            <w:rPr>
                              <w:rFonts w:hint="eastAsia"/>
                              <w:sz w:val="18"/>
                              <w:szCs w:val="18"/>
                              <w:lang w:val="en-US" w:eastAsia="zh-CN"/>
                            </w:rPr>
                            <w:t>护理康养</w:t>
                          </w:r>
                        </w:p>
                      </w:txbxContent>
                    </v:textbox>
                  </v:rect>
                  <v:rect id="_x0000_s2093" o:spid="_x0000_s2093" o:spt="1" style="position:absolute;left:6069;top:225514;height:325;width:671;" filled="f" stroked="f" coordsize="21600,21600">
                    <v:path/>
                    <v:fill on="f" focussize="0,0"/>
                    <v:stroke on="f"/>
                    <v:imagedata o:title=""/>
                    <o:lock v:ext="edit" aspectratio="f"/>
                    <v:textbox>
                      <w:txbxContent>
                        <w:p w14:paraId="164DAF68">
                          <w:pPr>
                            <w:rPr>
                              <w:rFonts w:hint="default" w:eastAsia="宋体"/>
                              <w:sz w:val="18"/>
                              <w:szCs w:val="18"/>
                              <w:lang w:val="en-US" w:eastAsia="zh-CN"/>
                            </w:rPr>
                          </w:pPr>
                          <w:r>
                            <w:rPr>
                              <w:rFonts w:hint="eastAsia"/>
                              <w:sz w:val="18"/>
                              <w:szCs w:val="18"/>
                              <w:lang w:val="en-US" w:eastAsia="zh-CN"/>
                            </w:rPr>
                            <w:t>7.46</w:t>
                          </w:r>
                        </w:p>
                      </w:txbxContent>
                    </v:textbox>
                  </v:rect>
                  <v:shape id="_x0000_s2096" o:spid="_x0000_s2096" o:spt="38" type="#_x0000_t38" style="position:absolute;left:5790;top:225760;flip:y;height:167;width:255;" filled="f" stroked="t" coordsize="21600,21600" adj="10758">
                    <v:path arrowok="t"/>
                    <v:fill on="f" focussize="0,0"/>
                    <v:stroke color="#000000" endarrow="block"/>
                    <v:imagedata o:title=""/>
                    <o:lock v:ext="edit" aspectratio="f"/>
                  </v:shape>
                  <v:shape id="_x0000_s2140" o:spid="_x0000_s2140" o:spt="32" type="#_x0000_t32" style="position:absolute;left:6468;top:226091;height:12;width:1037;" filled="f" stroked="t" coordsize="21600,21600">
                    <v:path arrowok="t"/>
                    <v:fill on="f" focussize="0,0"/>
                    <v:stroke color="#000000" endarrow="block"/>
                    <v:imagedata o:title=""/>
                    <o:lock v:ext="edit" aspectratio="f"/>
                  </v:shape>
                  <v:rect id="_x0000_s2094" o:spid="_x0000_s2094" o:spt="1" style="position:absolute;left:6679;top:225800;height:364;width:703;" filled="f" stroked="f" coordsize="21600,21600">
                    <v:path/>
                    <v:fill on="f" focussize="0,0"/>
                    <v:stroke on="f"/>
                    <v:imagedata o:title=""/>
                    <o:lock v:ext="edit" aspectratio="f"/>
                    <v:textbox>
                      <w:txbxContent>
                        <w:p w14:paraId="46A7AF26">
                          <w:pPr>
                            <w:jc w:val="center"/>
                            <w:rPr>
                              <w:rFonts w:hint="default" w:eastAsia="宋体"/>
                              <w:sz w:val="18"/>
                              <w:szCs w:val="18"/>
                              <w:lang w:val="en-US" w:eastAsia="zh-CN"/>
                            </w:rPr>
                          </w:pPr>
                          <w:r>
                            <w:rPr>
                              <w:rFonts w:hint="eastAsia"/>
                              <w:sz w:val="18"/>
                              <w:szCs w:val="18"/>
                              <w:lang w:val="en-US" w:eastAsia="zh-CN"/>
                            </w:rPr>
                            <w:t>29.86</w:t>
                          </w:r>
                        </w:p>
                      </w:txbxContent>
                    </v:textbox>
                  </v:rect>
                  <v:rect id="_x0000_s2095" o:spid="_x0000_s2095" o:spt="1" style="position:absolute;left:4538;top:225787;height:363;width:764;" filled="f" stroked="f" coordsize="21600,21600">
                    <v:path/>
                    <v:fill on="f" focussize="0,0"/>
                    <v:stroke on="f"/>
                    <v:imagedata o:title=""/>
                    <o:lock v:ext="edit" aspectratio="f"/>
                    <v:textbox>
                      <w:txbxContent>
                        <w:p w14:paraId="6B41A2B4">
                          <w:pPr>
                            <w:jc w:val="center"/>
                            <w:rPr>
                              <w:rFonts w:hint="default" w:eastAsia="宋体"/>
                              <w:sz w:val="18"/>
                              <w:szCs w:val="18"/>
                              <w:lang w:val="en-US" w:eastAsia="zh-CN"/>
                            </w:rPr>
                          </w:pPr>
                          <w:r>
                            <w:rPr>
                              <w:rFonts w:hint="eastAsia"/>
                              <w:sz w:val="18"/>
                              <w:szCs w:val="18"/>
                              <w:lang w:val="en-US" w:eastAsia="zh-CN"/>
                            </w:rPr>
                            <w:t>37.32</w:t>
                          </w:r>
                        </w:p>
                      </w:txbxContent>
                    </v:textbox>
                  </v:rect>
                  <v:shape id="_x0000_s2180" o:spid="_x0000_s2180" o:spt="32" type="#_x0000_t32" style="position:absolute;left:4518;top:226981;height:0;width:739;" filled="f" stroked="t" coordsize="21600,21600">
                    <v:path arrowok="t"/>
                    <v:fill on="f" focussize="0,0"/>
                    <v:stroke color="#000000" endarrow="block"/>
                    <v:imagedata o:title=""/>
                    <o:lock v:ext="edit" aspectratio="f"/>
                  </v:shape>
                  <v:rect id="_x0000_s2171" o:spid="_x0000_s2171" o:spt="1" style="position:absolute;left:5255;top:226830;height:388;width:1164;" fillcolor="#FFFFFF" filled="t" stroked="t" coordsize="21600,21600">
                    <v:path/>
                    <v:fill on="t" color2="#FFFFFF" focussize="0,0"/>
                    <v:stroke color="#000000" joinstyle="miter"/>
                    <v:imagedata o:title=""/>
                    <o:lock v:ext="edit" aspectratio="f"/>
                    <v:textbox>
                      <w:txbxContent>
                        <w:p w14:paraId="2FFBF5E8">
                          <w:pPr>
                            <w:jc w:val="center"/>
                            <w:rPr>
                              <w:rFonts w:hint="default" w:eastAsia="宋体"/>
                              <w:sz w:val="18"/>
                              <w:szCs w:val="18"/>
                              <w:lang w:val="en-US" w:eastAsia="zh-CN"/>
                            </w:rPr>
                          </w:pPr>
                          <w:r>
                            <w:rPr>
                              <w:rFonts w:hint="eastAsia"/>
                              <w:sz w:val="18"/>
                              <w:szCs w:val="18"/>
                              <w:lang w:val="en-US" w:eastAsia="zh-CN"/>
                            </w:rPr>
                            <w:t>医护办公</w:t>
                          </w:r>
                        </w:p>
                      </w:txbxContent>
                    </v:textbox>
                  </v:rect>
                  <v:rect id="_x0000_s2164" o:spid="_x0000_s2164" o:spt="1" style="position:absolute;left:6020;top:226404;height:325;width:536;" filled="f" stroked="f" coordsize="21600,21600">
                    <v:path/>
                    <v:fill on="f" focussize="0,0"/>
                    <v:stroke on="f"/>
                    <v:imagedata o:title=""/>
                    <o:lock v:ext="edit" aspectratio="f"/>
                    <v:textbox>
                      <w:txbxContent>
                        <w:p w14:paraId="07252F40">
                          <w:pPr>
                            <w:rPr>
                              <w:rFonts w:hint="default" w:eastAsia="宋体"/>
                              <w:sz w:val="18"/>
                              <w:szCs w:val="18"/>
                              <w:lang w:val="en-US" w:eastAsia="zh-CN"/>
                            </w:rPr>
                          </w:pPr>
                          <w:r>
                            <w:rPr>
                              <w:rFonts w:hint="eastAsia"/>
                              <w:sz w:val="18"/>
                              <w:szCs w:val="18"/>
                              <w:lang w:val="en-US" w:eastAsia="zh-CN"/>
                            </w:rPr>
                            <w:t>7.6</w:t>
                          </w:r>
                        </w:p>
                      </w:txbxContent>
                    </v:textbox>
                  </v:rect>
                  <v:shape id="_x0000_s2166" o:spid="_x0000_s2166" o:spt="38" type="#_x0000_t38" style="position:absolute;left:5741;top:226650;flip:y;height:167;width:255;" filled="f" stroked="t" coordsize="21600,21600" adj="10758">
                    <v:path arrowok="t"/>
                    <v:fill on="f" focussize="0,0"/>
                    <v:stroke color="#000000" endarrow="block"/>
                    <v:imagedata o:title=""/>
                    <o:lock v:ext="edit" aspectratio="f"/>
                  </v:shape>
                  <v:shape id="_x0000_s2179" o:spid="_x0000_s2179" o:spt="32" type="#_x0000_t32" style="position:absolute;left:6419;top:226981;height:12;width:1037;" filled="f" stroked="t" coordsize="21600,21600">
                    <v:path arrowok="t"/>
                    <v:fill on="f" focussize="0,0"/>
                    <v:stroke color="#000000" endarrow="block"/>
                    <v:imagedata o:title=""/>
                    <o:lock v:ext="edit" aspectratio="f"/>
                  </v:shape>
                  <v:rect id="_x0000_s2167" o:spid="_x0000_s2167" o:spt="1" style="position:absolute;left:6630;top:226690;height:364;width:625;" filled="f" stroked="f" coordsize="21600,21600">
                    <v:path/>
                    <v:fill on="f" focussize="0,0"/>
                    <v:stroke on="f"/>
                    <v:imagedata o:title=""/>
                    <o:lock v:ext="edit" aspectratio="f"/>
                    <v:textbox>
                      <w:txbxContent>
                        <w:p w14:paraId="7B466FA0">
                          <w:pPr>
                            <w:jc w:val="center"/>
                            <w:rPr>
                              <w:rFonts w:hint="default" w:eastAsia="宋体"/>
                              <w:sz w:val="18"/>
                              <w:szCs w:val="18"/>
                              <w:lang w:val="en-US" w:eastAsia="zh-CN"/>
                            </w:rPr>
                          </w:pPr>
                          <w:r>
                            <w:rPr>
                              <w:rFonts w:hint="eastAsia"/>
                              <w:sz w:val="18"/>
                              <w:szCs w:val="18"/>
                              <w:lang w:val="en-US" w:eastAsia="zh-CN"/>
                            </w:rPr>
                            <w:t>30.4</w:t>
                          </w:r>
                        </w:p>
                      </w:txbxContent>
                    </v:textbox>
                  </v:rect>
                  <v:rect id="_x0000_s2170" o:spid="_x0000_s2170" o:spt="1" style="position:absolute;left:4543;top:226677;height:363;width:764;" filled="f" stroked="f" coordsize="21600,21600">
                    <v:path/>
                    <v:fill on="f" focussize="0,0"/>
                    <v:stroke on="f"/>
                    <v:imagedata o:title=""/>
                    <o:lock v:ext="edit" aspectratio="f"/>
                    <v:textbox>
                      <w:txbxContent>
                        <w:p w14:paraId="010C4B3E">
                          <w:pPr>
                            <w:jc w:val="center"/>
                            <w:rPr>
                              <w:rFonts w:hint="default" w:eastAsia="宋体"/>
                              <w:sz w:val="18"/>
                              <w:szCs w:val="18"/>
                              <w:lang w:val="en-US" w:eastAsia="zh-CN"/>
                            </w:rPr>
                          </w:pPr>
                          <w:r>
                            <w:rPr>
                              <w:rFonts w:hint="eastAsia"/>
                              <w:sz w:val="18"/>
                              <w:szCs w:val="18"/>
                              <w:lang w:val="en-US" w:eastAsia="zh-CN"/>
                            </w:rPr>
                            <w:t>38</w:t>
                          </w:r>
                        </w:p>
                      </w:txbxContent>
                    </v:textbox>
                  </v:rect>
                  <v:shape id="_x0000_s2187" o:spid="_x0000_s2187" o:spt="32" type="#_x0000_t32" style="position:absolute;left:4509;top:227864;height:0;width:739;" filled="f" stroked="t" coordsize="21600,21600">
                    <v:path arrowok="t"/>
                    <v:fill on="f" focussize="0,0"/>
                    <v:stroke color="#000000" endarrow="block"/>
                    <v:imagedata o:title=""/>
                    <o:lock v:ext="edit" aspectratio="f"/>
                  </v:shape>
                  <v:rect id="_x0000_s2188" o:spid="_x0000_s2188" o:spt="1" style="position:absolute;left:5246;top:227713;height:388;width:1164;" fillcolor="#FFFFFF" filled="t" stroked="t" coordsize="21600,21600">
                    <v:path/>
                    <v:fill on="t" color2="#FFFFFF" focussize="0,0"/>
                    <v:stroke color="#000000" joinstyle="miter"/>
                    <v:imagedata o:title=""/>
                    <o:lock v:ext="edit" aspectratio="f"/>
                    <v:textbox>
                      <w:txbxContent>
                        <w:p w14:paraId="2A67A910">
                          <w:pPr>
                            <w:jc w:val="center"/>
                            <w:rPr>
                              <w:rFonts w:hint="default" w:eastAsia="宋体"/>
                              <w:sz w:val="18"/>
                              <w:szCs w:val="18"/>
                              <w:lang w:val="en-US" w:eastAsia="zh-CN"/>
                            </w:rPr>
                          </w:pPr>
                          <w:r>
                            <w:rPr>
                              <w:rFonts w:hint="eastAsia"/>
                              <w:sz w:val="18"/>
                              <w:szCs w:val="18"/>
                              <w:lang w:val="en-US" w:eastAsia="zh-CN"/>
                            </w:rPr>
                            <w:t>行政办公</w:t>
                          </w:r>
                        </w:p>
                      </w:txbxContent>
                    </v:textbox>
                  </v:rect>
                  <v:rect id="_x0000_s2181" o:spid="_x0000_s2181" o:spt="1" style="position:absolute;left:6011;top:227287;height:325;width:619;" filled="f" stroked="f" coordsize="21600,21600">
                    <v:path/>
                    <v:fill on="f" focussize="0,0"/>
                    <v:stroke on="f"/>
                    <v:imagedata o:title=""/>
                    <o:lock v:ext="edit" aspectratio="f"/>
                    <v:textbox>
                      <w:txbxContent>
                        <w:p w14:paraId="6B76552B">
                          <w:pPr>
                            <w:rPr>
                              <w:rFonts w:hint="default" w:eastAsia="宋体"/>
                              <w:sz w:val="18"/>
                              <w:szCs w:val="18"/>
                              <w:lang w:val="en-US" w:eastAsia="zh-CN"/>
                            </w:rPr>
                          </w:pPr>
                          <w:r>
                            <w:rPr>
                              <w:rFonts w:hint="eastAsia"/>
                              <w:sz w:val="18"/>
                              <w:szCs w:val="18"/>
                              <w:lang w:val="en-US" w:eastAsia="zh-CN"/>
                            </w:rPr>
                            <w:t>1.54</w:t>
                          </w:r>
                        </w:p>
                      </w:txbxContent>
                    </v:textbox>
                  </v:rect>
                  <v:shape id="_x0000_s2182" o:spid="_x0000_s2182" o:spt="38" type="#_x0000_t38" style="position:absolute;left:5732;top:227533;flip:y;height:167;width:255;" filled="f" stroked="t" coordsize="21600,21600" adj="10758">
                    <v:path arrowok="t"/>
                    <v:fill on="f" focussize="0,0"/>
                    <v:stroke color="#000000" endarrow="block"/>
                    <v:imagedata o:title=""/>
                    <o:lock v:ext="edit" aspectratio="f"/>
                  </v:shape>
                  <v:shape id="_x0000_s2185" o:spid="_x0000_s2185" o:spt="32" type="#_x0000_t32" style="position:absolute;left:6410;top:227864;height:12;width:1037;" filled="f" stroked="t" coordsize="21600,21600">
                    <v:path arrowok="t"/>
                    <v:fill on="f" focussize="0,0"/>
                    <v:stroke color="#000000" endarrow="block"/>
                    <v:imagedata o:title=""/>
                    <o:lock v:ext="edit" aspectratio="f"/>
                  </v:shape>
                  <v:rect id="_x0000_s2183" o:spid="_x0000_s2183" o:spt="1" style="position:absolute;left:6621;top:227573;height:364;width:625;" filled="f" stroked="f" coordsize="21600,21600">
                    <v:path/>
                    <v:fill on="f" focussize="0,0"/>
                    <v:stroke on="f"/>
                    <v:imagedata o:title=""/>
                    <o:lock v:ext="edit" aspectratio="f"/>
                    <v:textbox>
                      <w:txbxContent>
                        <w:p w14:paraId="5501FB72">
                          <w:pPr>
                            <w:jc w:val="center"/>
                            <w:rPr>
                              <w:rFonts w:hint="default" w:eastAsia="宋体"/>
                              <w:sz w:val="18"/>
                              <w:szCs w:val="18"/>
                              <w:lang w:val="en-US" w:eastAsia="zh-CN"/>
                            </w:rPr>
                          </w:pPr>
                          <w:r>
                            <w:rPr>
                              <w:rFonts w:hint="eastAsia"/>
                              <w:sz w:val="18"/>
                              <w:szCs w:val="18"/>
                              <w:lang w:val="en-US" w:eastAsia="zh-CN"/>
                            </w:rPr>
                            <w:t>6.14</w:t>
                          </w:r>
                        </w:p>
                      </w:txbxContent>
                    </v:textbox>
                  </v:rect>
                  <v:rect id="_x0000_s2184" o:spid="_x0000_s2184" o:spt="1" style="position:absolute;left:4534;top:227560;height:363;width:764;" filled="f" stroked="f" coordsize="21600,21600">
                    <v:path/>
                    <v:fill on="f" focussize="0,0"/>
                    <v:stroke on="f"/>
                    <v:imagedata o:title=""/>
                    <o:lock v:ext="edit" aspectratio="f"/>
                    <v:textbox>
                      <w:txbxContent>
                        <w:p w14:paraId="6C19C608">
                          <w:pPr>
                            <w:jc w:val="center"/>
                            <w:rPr>
                              <w:rFonts w:hint="default" w:eastAsia="宋体"/>
                              <w:sz w:val="18"/>
                              <w:szCs w:val="18"/>
                              <w:lang w:val="en-US" w:eastAsia="zh-CN"/>
                            </w:rPr>
                          </w:pPr>
                          <w:r>
                            <w:rPr>
                              <w:rFonts w:hint="eastAsia"/>
                              <w:sz w:val="18"/>
                              <w:szCs w:val="18"/>
                              <w:lang w:val="en-US" w:eastAsia="zh-CN"/>
                            </w:rPr>
                            <w:t>7.68</w:t>
                          </w:r>
                        </w:p>
                      </w:txbxContent>
                    </v:textbox>
                  </v:rect>
                  <v:shape id="_x0000_s2196" o:spid="_x0000_s2196" o:spt="32" type="#_x0000_t32" style="position:absolute;left:4576;top:228778;height:0;width:739;" filled="f" stroked="t" coordsize="21600,21600">
                    <v:path arrowok="t"/>
                    <v:fill on="f" focussize="0,0"/>
                    <v:stroke color="#000000" endarrow="block"/>
                    <v:imagedata o:title=""/>
                    <o:lock v:ext="edit" aspectratio="f"/>
                  </v:shape>
                  <v:rect id="_x0000_s2193" o:spid="_x0000_s2193" o:spt="1" style="position:absolute;left:5313;top:228627;height:388;width:1164;" fillcolor="#FFFFFF" filled="t" stroked="t" coordsize="21600,21600">
                    <v:path/>
                    <v:fill on="t" color2="#FFFFFF" focussize="0,0"/>
                    <v:stroke color="#000000" joinstyle="miter"/>
                    <v:imagedata o:title=""/>
                    <o:lock v:ext="edit" aspectratio="f"/>
                    <v:textbox>
                      <w:txbxContent>
                        <w:p w14:paraId="227CC8DE">
                          <w:pPr>
                            <w:jc w:val="center"/>
                            <w:rPr>
                              <w:rFonts w:hint="default" w:eastAsia="宋体"/>
                              <w:sz w:val="18"/>
                              <w:szCs w:val="18"/>
                              <w:lang w:val="en-US" w:eastAsia="zh-CN"/>
                            </w:rPr>
                          </w:pPr>
                          <w:r>
                            <w:rPr>
                              <w:rFonts w:hint="eastAsia"/>
                              <w:sz w:val="18"/>
                              <w:szCs w:val="18"/>
                              <w:lang w:val="en-US" w:eastAsia="zh-CN"/>
                            </w:rPr>
                            <w:t>特殊医疗</w:t>
                          </w:r>
                        </w:p>
                      </w:txbxContent>
                    </v:textbox>
                  </v:rect>
                  <v:rect id="_x0000_s2189" o:spid="_x0000_s2189" o:spt="1" style="position:absolute;left:5977;top:228201;height:325;width:637;" filled="f" stroked="f" coordsize="21600,21600">
                    <v:path/>
                    <v:fill on="f" focussize="0,0"/>
                    <v:stroke on="f"/>
                    <v:imagedata o:title=""/>
                    <o:lock v:ext="edit" aspectratio="f"/>
                    <v:textbox>
                      <w:txbxContent>
                        <w:p w14:paraId="53826F37">
                          <w:pPr>
                            <w:rPr>
                              <w:rFonts w:hint="default" w:eastAsia="宋体"/>
                              <w:sz w:val="18"/>
                              <w:szCs w:val="18"/>
                              <w:lang w:val="en-US" w:eastAsia="zh-CN"/>
                            </w:rPr>
                          </w:pPr>
                          <w:r>
                            <w:rPr>
                              <w:rFonts w:hint="eastAsia"/>
                              <w:sz w:val="18"/>
                              <w:szCs w:val="18"/>
                              <w:lang w:val="en-US" w:eastAsia="zh-CN"/>
                            </w:rPr>
                            <w:t>0.04</w:t>
                          </w:r>
                        </w:p>
                      </w:txbxContent>
                    </v:textbox>
                  </v:rect>
                  <v:shape id="_x0000_s2190" o:spid="_x0000_s2190" o:spt="38" type="#_x0000_t38" style="position:absolute;left:5799;top:228447;flip:y;height:167;width:255;" filled="f" stroked="t" coordsize="21600,21600" adj="10758">
                    <v:path arrowok="t"/>
                    <v:fill on="f" focussize="0,0"/>
                    <v:stroke color="#000000" endarrow="block"/>
                    <v:imagedata o:title=""/>
                    <o:lock v:ext="edit" aspectratio="f"/>
                  </v:shape>
                  <v:shape id="_x0000_s2195" o:spid="_x0000_s2195" o:spt="32" type="#_x0000_t32" style="position:absolute;left:6477;top:228778;height:12;width:1037;" filled="f" stroked="t" coordsize="21600,21600">
                    <v:path arrowok="t"/>
                    <v:fill on="f" focussize="0,0"/>
                    <v:stroke color="#000000" endarrow="block"/>
                    <v:imagedata o:title=""/>
                    <o:lock v:ext="edit" aspectratio="f"/>
                  </v:shape>
                  <v:rect id="_x0000_s2192" o:spid="_x0000_s2192" o:spt="1" style="position:absolute;left:6688;top:228487;height:364;width:625;" filled="f" stroked="f" coordsize="21600,21600">
                    <v:path/>
                    <v:fill on="f" focussize="0,0"/>
                    <v:stroke on="f"/>
                    <v:imagedata o:title=""/>
                    <o:lock v:ext="edit" aspectratio="f"/>
                    <v:textbox>
                      <w:txbxContent>
                        <w:p w14:paraId="64971A86">
                          <w:pPr>
                            <w:jc w:val="center"/>
                            <w:rPr>
                              <w:rFonts w:hint="default" w:eastAsia="宋体"/>
                              <w:sz w:val="18"/>
                              <w:szCs w:val="18"/>
                              <w:lang w:val="en-US" w:eastAsia="zh-CN"/>
                            </w:rPr>
                          </w:pPr>
                          <w:r>
                            <w:rPr>
                              <w:rFonts w:hint="eastAsia"/>
                              <w:sz w:val="18"/>
                              <w:szCs w:val="18"/>
                              <w:lang w:val="en-US" w:eastAsia="zh-CN"/>
                            </w:rPr>
                            <w:t>0.16</w:t>
                          </w:r>
                        </w:p>
                      </w:txbxContent>
                    </v:textbox>
                  </v:rect>
                  <v:rect id="_x0000_s2191" o:spid="_x0000_s2191" o:spt="1" style="position:absolute;left:4547;top:228474;height:363;width:764;" filled="f" stroked="f" coordsize="21600,21600">
                    <v:path/>
                    <v:fill on="f" focussize="0,0"/>
                    <v:stroke on="f"/>
                    <v:imagedata o:title=""/>
                    <o:lock v:ext="edit" aspectratio="f"/>
                    <v:textbox>
                      <w:txbxContent>
                        <w:p w14:paraId="44A21029">
                          <w:pPr>
                            <w:jc w:val="center"/>
                            <w:rPr>
                              <w:rFonts w:hint="default" w:eastAsia="宋体"/>
                              <w:sz w:val="18"/>
                              <w:szCs w:val="18"/>
                              <w:lang w:val="en-US" w:eastAsia="zh-CN"/>
                            </w:rPr>
                          </w:pPr>
                          <w:r>
                            <w:rPr>
                              <w:rFonts w:hint="eastAsia"/>
                              <w:sz w:val="18"/>
                              <w:szCs w:val="18"/>
                              <w:lang w:val="en-US" w:eastAsia="zh-CN"/>
                            </w:rPr>
                            <w:t>0.2</w:t>
                          </w:r>
                        </w:p>
                      </w:txbxContent>
                    </v:textbox>
                  </v:rect>
                  <v:shape id="_x0000_s2203" o:spid="_x0000_s2203" o:spt="32" type="#_x0000_t32" style="position:absolute;left:4527;top:229668;height:0;width:739;" filled="f" stroked="t" coordsize="21600,21600">
                    <v:path arrowok="t"/>
                    <v:fill on="f" focussize="0,0"/>
                    <v:stroke color="#000000" endarrow="block"/>
                    <v:imagedata o:title=""/>
                    <o:lock v:ext="edit" aspectratio="f"/>
                  </v:shape>
                  <v:rect id="_x0000_s2204" o:spid="_x0000_s2204" o:spt="1" style="position:absolute;left:5264;top:229517;height:388;width:1164;" fillcolor="#FFFFFF" filled="t" stroked="t" coordsize="21600,21600">
                    <v:path/>
                    <v:fill on="t" color2="#FFFFFF" focussize="0,0"/>
                    <v:stroke color="#000000" joinstyle="miter"/>
                    <v:imagedata o:title=""/>
                    <o:lock v:ext="edit" aspectratio="f"/>
                    <v:textbox>
                      <w:txbxContent>
                        <w:p w14:paraId="3C1CB8E8">
                          <w:pPr>
                            <w:jc w:val="center"/>
                            <w:rPr>
                              <w:rFonts w:hint="default" w:eastAsia="宋体"/>
                              <w:sz w:val="18"/>
                              <w:szCs w:val="18"/>
                              <w:lang w:val="en-US" w:eastAsia="zh-CN"/>
                            </w:rPr>
                          </w:pPr>
                          <w:r>
                            <w:rPr>
                              <w:rFonts w:hint="eastAsia"/>
                              <w:sz w:val="18"/>
                              <w:szCs w:val="18"/>
                              <w:lang w:val="en-US" w:eastAsia="zh-CN"/>
                            </w:rPr>
                            <w:t>食堂</w:t>
                          </w:r>
                        </w:p>
                      </w:txbxContent>
                    </v:textbox>
                  </v:rect>
                  <v:rect id="_x0000_s2197" o:spid="_x0000_s2197" o:spt="1" style="position:absolute;left:6029;top:229091;height:325;width:536;" filled="f" stroked="f" coordsize="21600,21600">
                    <v:path/>
                    <v:fill on="f" focussize="0,0"/>
                    <v:stroke on="f"/>
                    <v:imagedata o:title=""/>
                    <o:lock v:ext="edit" aspectratio="f"/>
                    <v:textbox>
                      <w:txbxContent>
                        <w:p w14:paraId="7330CAF7">
                          <w:pPr>
                            <w:rPr>
                              <w:rFonts w:hint="default" w:eastAsia="宋体"/>
                              <w:sz w:val="18"/>
                              <w:szCs w:val="18"/>
                              <w:lang w:val="en-US" w:eastAsia="zh-CN"/>
                            </w:rPr>
                          </w:pPr>
                          <w:r>
                            <w:rPr>
                              <w:rFonts w:hint="eastAsia"/>
                              <w:sz w:val="18"/>
                              <w:szCs w:val="18"/>
                              <w:lang w:val="en-US" w:eastAsia="zh-CN"/>
                            </w:rPr>
                            <w:t>1.0</w:t>
                          </w:r>
                        </w:p>
                      </w:txbxContent>
                    </v:textbox>
                  </v:rect>
                  <v:shape id="_x0000_s2199" o:spid="_x0000_s2199" o:spt="38" type="#_x0000_t38" style="position:absolute;left:5750;top:229337;flip:y;height:167;width:255;" filled="f" stroked="t" coordsize="21600,21600" adj="10758">
                    <v:path arrowok="t"/>
                    <v:fill on="f" focussize="0,0"/>
                    <v:stroke color="#000000" endarrow="block"/>
                    <v:imagedata o:title=""/>
                    <o:lock v:ext="edit" aspectratio="f"/>
                  </v:shape>
                  <v:shape id="_x0000_s2202" o:spid="_x0000_s2202" o:spt="32" type="#_x0000_t32" style="position:absolute;left:6428;top:229668;height:12;width:850;" filled="f" stroked="t" coordsize="21600,21600">
                    <v:path arrowok="t"/>
                    <v:fill on="f" focussize="0,0"/>
                    <v:stroke color="#000000" endarrow="block"/>
                    <v:imagedata o:title=""/>
                    <o:lock v:ext="edit" aspectratio="f"/>
                  </v:shape>
                  <v:rect id="_x0000_s2200" o:spid="_x0000_s2200" o:spt="1" style="position:absolute;left:6639;top:229377;height:364;width:533;" filled="f" stroked="f" coordsize="21600,21600">
                    <v:path/>
                    <v:fill on="f" focussize="0,0"/>
                    <v:stroke on="f"/>
                    <v:imagedata o:title=""/>
                    <o:lock v:ext="edit" aspectratio="f"/>
                    <v:textbox>
                      <w:txbxContent>
                        <w:p w14:paraId="1EDBA6B8">
                          <w:pPr>
                            <w:jc w:val="center"/>
                            <w:rPr>
                              <w:rFonts w:hint="default" w:eastAsia="宋体"/>
                              <w:sz w:val="18"/>
                              <w:szCs w:val="18"/>
                              <w:lang w:val="en-US" w:eastAsia="zh-CN"/>
                            </w:rPr>
                          </w:pPr>
                          <w:r>
                            <w:rPr>
                              <w:rFonts w:hint="eastAsia"/>
                              <w:sz w:val="18"/>
                              <w:szCs w:val="18"/>
                              <w:lang w:val="en-US" w:eastAsia="zh-CN"/>
                            </w:rPr>
                            <w:t>4.0</w:t>
                          </w:r>
                        </w:p>
                      </w:txbxContent>
                    </v:textbox>
                  </v:rect>
                  <v:rect id="_x0000_s2201" o:spid="_x0000_s2201" o:spt="1" style="position:absolute;left:4552;top:229364;height:363;width:764;" filled="f" stroked="f" coordsize="21600,21600">
                    <v:path/>
                    <v:fill on="f" focussize="0,0"/>
                    <v:stroke on="f"/>
                    <v:imagedata o:title=""/>
                    <o:lock v:ext="edit" aspectratio="f"/>
                    <v:textbox>
                      <w:txbxContent>
                        <w:p w14:paraId="0163B966">
                          <w:pPr>
                            <w:jc w:val="center"/>
                            <w:rPr>
                              <w:rFonts w:hint="default" w:eastAsia="宋体"/>
                              <w:sz w:val="18"/>
                              <w:szCs w:val="18"/>
                              <w:lang w:val="en-US" w:eastAsia="zh-CN"/>
                            </w:rPr>
                          </w:pPr>
                          <w:r>
                            <w:rPr>
                              <w:rFonts w:hint="eastAsia"/>
                              <w:sz w:val="18"/>
                              <w:szCs w:val="18"/>
                              <w:lang w:val="en-US" w:eastAsia="zh-CN"/>
                            </w:rPr>
                            <w:t>5.0</w:t>
                          </w:r>
                        </w:p>
                      </w:txbxContent>
                    </v:textbox>
                  </v:rect>
                  <v:shape id="_x0000_s2210" o:spid="_x0000_s2210" o:spt="32" type="#_x0000_t32" style="position:absolute;left:4518;top:230552;height:0;width:739;" filled="f" stroked="t" coordsize="21600,21600">
                    <v:path arrowok="t"/>
                    <v:fill on="f" focussize="0,0"/>
                    <v:stroke color="#000000" endarrow="block"/>
                    <v:imagedata o:title=""/>
                    <o:lock v:ext="edit" aspectratio="f"/>
                  </v:shape>
                  <v:rect id="_x0000_s2209" o:spid="_x0000_s2209" o:spt="1" style="position:absolute;left:5255;top:230401;height:388;width:1164;" fillcolor="#FFFFFF" filled="t" stroked="t" coordsize="21600,21600">
                    <v:path/>
                    <v:fill on="t" color2="#FFFFFF" focussize="0,0"/>
                    <v:stroke color="#000000" joinstyle="miter"/>
                    <v:imagedata o:title=""/>
                    <o:lock v:ext="edit" aspectratio="f"/>
                    <v:textbox>
                      <w:txbxContent>
                        <w:p w14:paraId="3B0EA343">
                          <w:pPr>
                            <w:jc w:val="center"/>
                            <w:rPr>
                              <w:rFonts w:hint="default" w:eastAsia="宋体"/>
                              <w:sz w:val="18"/>
                              <w:szCs w:val="18"/>
                              <w:lang w:val="en-US" w:eastAsia="zh-CN"/>
                            </w:rPr>
                          </w:pPr>
                          <w:r>
                            <w:rPr>
                              <w:rFonts w:hint="eastAsia"/>
                              <w:sz w:val="18"/>
                              <w:szCs w:val="18"/>
                              <w:lang w:val="en-US" w:eastAsia="zh-CN"/>
                            </w:rPr>
                            <w:t>地面清洁</w:t>
                          </w:r>
                        </w:p>
                      </w:txbxContent>
                    </v:textbox>
                  </v:rect>
                  <v:rect id="_x0000_s2205" o:spid="_x0000_s2205" o:spt="1" style="position:absolute;left:6020;top:229974;height:325;width:619;" filled="f" stroked="f" coordsize="21600,21600">
                    <v:path/>
                    <v:fill on="f" focussize="0,0"/>
                    <v:stroke on="f"/>
                    <v:imagedata o:title=""/>
                    <o:lock v:ext="edit" aspectratio="f"/>
                    <v:textbox>
                      <w:txbxContent>
                        <w:p w14:paraId="47FC7372">
                          <w:pPr>
                            <w:rPr>
                              <w:rFonts w:hint="default" w:eastAsia="宋体"/>
                              <w:sz w:val="18"/>
                              <w:szCs w:val="18"/>
                              <w:lang w:val="en-US" w:eastAsia="zh-CN"/>
                            </w:rPr>
                          </w:pPr>
                          <w:r>
                            <w:rPr>
                              <w:rFonts w:hint="eastAsia"/>
                              <w:sz w:val="18"/>
                              <w:szCs w:val="18"/>
                              <w:lang w:val="en-US" w:eastAsia="zh-CN"/>
                            </w:rPr>
                            <w:t>2.28</w:t>
                          </w:r>
                        </w:p>
                      </w:txbxContent>
                    </v:textbox>
                  </v:rect>
                  <v:shape id="_x0000_s2206" o:spid="_x0000_s2206" o:spt="38" type="#_x0000_t38" style="position:absolute;left:5741;top:230220;flip:y;height:167;width:255;" filled="f" stroked="t" coordsize="21600,21600" adj="10758">
                    <v:path arrowok="t"/>
                    <v:fill on="f" focussize="0,0"/>
                    <v:stroke color="#000000" endarrow="block"/>
                    <v:imagedata o:title=""/>
                    <o:lock v:ext="edit" aspectratio="f"/>
                  </v:shape>
                  <v:shape id="_x0000_s2211" o:spid="_x0000_s2211" o:spt="32" type="#_x0000_t32" style="position:absolute;left:6419;top:230552;height:12;width:1037;" filled="f" stroked="t" coordsize="21600,21600">
                    <v:path arrowok="t"/>
                    <v:fill on="f" focussize="0,0"/>
                    <v:stroke color="#000000" endarrow="block"/>
                    <v:imagedata o:title=""/>
                    <o:lock v:ext="edit" aspectratio="f"/>
                  </v:shape>
                  <v:rect id="_x0000_s2207" o:spid="_x0000_s2207" o:spt="1" style="position:absolute;left:6630;top:230260;height:364;width:625;" filled="f" stroked="f" coordsize="21600,21600">
                    <v:path/>
                    <v:fill on="f" focussize="0,0"/>
                    <v:stroke on="f"/>
                    <v:imagedata o:title=""/>
                    <o:lock v:ext="edit" aspectratio="f"/>
                    <v:textbox>
                      <w:txbxContent>
                        <w:p w14:paraId="6B4E157F">
                          <w:pPr>
                            <w:jc w:val="center"/>
                            <w:rPr>
                              <w:rFonts w:hint="default" w:eastAsia="宋体"/>
                              <w:sz w:val="18"/>
                              <w:szCs w:val="18"/>
                              <w:lang w:val="en-US" w:eastAsia="zh-CN"/>
                            </w:rPr>
                          </w:pPr>
                          <w:r>
                            <w:rPr>
                              <w:rFonts w:hint="eastAsia"/>
                              <w:sz w:val="18"/>
                              <w:szCs w:val="18"/>
                              <w:lang w:val="en-US" w:eastAsia="zh-CN"/>
                            </w:rPr>
                            <w:t>9.11</w:t>
                          </w:r>
                        </w:p>
                      </w:txbxContent>
                    </v:textbox>
                  </v:rect>
                  <v:rect id="_x0000_s2208" o:spid="_x0000_s2208" o:spt="1" style="position:absolute;left:4543;top:230247;height:363;width:764;" filled="f" stroked="f" coordsize="21600,21600">
                    <v:path/>
                    <v:fill on="f" focussize="0,0"/>
                    <v:stroke on="f"/>
                    <v:imagedata o:title=""/>
                    <o:lock v:ext="edit" aspectratio="f"/>
                    <v:textbox>
                      <w:txbxContent>
                        <w:p w14:paraId="1809D8E9">
                          <w:pPr>
                            <w:jc w:val="center"/>
                            <w:rPr>
                              <w:rFonts w:hint="default" w:eastAsia="宋体"/>
                              <w:sz w:val="18"/>
                              <w:szCs w:val="18"/>
                              <w:lang w:val="en-US" w:eastAsia="zh-CN"/>
                            </w:rPr>
                          </w:pPr>
                          <w:r>
                            <w:rPr>
                              <w:rFonts w:hint="eastAsia"/>
                              <w:sz w:val="18"/>
                              <w:szCs w:val="18"/>
                              <w:lang w:val="en-US" w:eastAsia="zh-CN"/>
                            </w:rPr>
                            <w:t>11.39</w:t>
                          </w:r>
                        </w:p>
                      </w:txbxContent>
                    </v:textbox>
                  </v:rect>
                  <v:rect id="_x0000_s2212" o:spid="_x0000_s2212" o:spt="1" style="position:absolute;left:7512;top:228599;height:388;width:1310;" fillcolor="#FFFFFF" filled="t" stroked="t" coordsize="21600,21600">
                    <v:path/>
                    <v:fill on="t" color2="#FFFFFF" focussize="0,0"/>
                    <v:stroke color="#000000" joinstyle="miter"/>
                    <v:imagedata o:title=""/>
                    <o:lock v:ext="edit" aspectratio="f"/>
                    <v:textbox>
                      <w:txbxContent>
                        <w:p w14:paraId="15D10323">
                          <w:pPr>
                            <w:jc w:val="center"/>
                            <w:rPr>
                              <w:rFonts w:hint="default" w:eastAsia="宋体"/>
                              <w:sz w:val="18"/>
                              <w:szCs w:val="18"/>
                              <w:lang w:val="en-US" w:eastAsia="zh-CN"/>
                            </w:rPr>
                          </w:pPr>
                          <w:r>
                            <w:rPr>
                              <w:rFonts w:hint="eastAsia"/>
                              <w:sz w:val="18"/>
                              <w:szCs w:val="18"/>
                              <w:lang w:val="en-US" w:eastAsia="zh-CN"/>
                            </w:rPr>
                            <w:t>中和预处理</w:t>
                          </w:r>
                        </w:p>
                      </w:txbxContent>
                    </v:textbox>
                  </v:rect>
                  <v:rect id="_x0000_s2213" o:spid="_x0000_s2213" o:spt="1" style="position:absolute;left:7282;top:229465;height:388;width:1769;" fillcolor="#FFFFFF" filled="t" stroked="t" coordsize="21600,21600">
                    <v:path/>
                    <v:fill on="t" color2="#FFFFFF" focussize="0,0"/>
                    <v:stroke color="#000000" joinstyle="miter"/>
                    <v:imagedata o:title=""/>
                    <o:lock v:ext="edit" aspectratio="f"/>
                    <v:textbox>
                      <w:txbxContent>
                        <w:p w14:paraId="4FA39186">
                          <w:pPr>
                            <w:jc w:val="center"/>
                            <w:rPr>
                              <w:rFonts w:hint="default" w:eastAsia="宋体"/>
                              <w:sz w:val="18"/>
                              <w:szCs w:val="18"/>
                              <w:lang w:val="en-US" w:eastAsia="zh-CN"/>
                            </w:rPr>
                          </w:pPr>
                          <w:r>
                            <w:rPr>
                              <w:rFonts w:hint="eastAsia"/>
                              <w:sz w:val="18"/>
                              <w:szCs w:val="18"/>
                              <w:lang w:val="en-US" w:eastAsia="zh-CN"/>
                            </w:rPr>
                            <w:t>隔油处理+化粪池</w:t>
                          </w:r>
                        </w:p>
                      </w:txbxContent>
                    </v:textbox>
                  </v:rect>
                  <v:shape id="_x0000_s2218" o:spid="_x0000_s2218" o:spt="32" type="#_x0000_t32" style="position:absolute;left:4518;top:231426;height:0;width:739;" filled="f" stroked="t" coordsize="21600,21600">
                    <v:path arrowok="t"/>
                    <v:fill on="f" focussize="0,0"/>
                    <v:stroke color="#000000" endarrow="block"/>
                    <v:imagedata o:title=""/>
                    <o:lock v:ext="edit" aspectratio="f"/>
                  </v:shape>
                  <v:rect id="_x0000_s2217" o:spid="_x0000_s2217" o:spt="1" style="position:absolute;left:5255;top:231275;height:388;width:1164;" fillcolor="#FFFFFF" filled="t" stroked="t" coordsize="21600,21600">
                    <v:path/>
                    <v:fill on="t" color2="#FFFFFF" focussize="0,0"/>
                    <v:stroke color="#000000" joinstyle="miter"/>
                    <v:imagedata o:title=""/>
                    <o:lock v:ext="edit" aspectratio="f"/>
                    <v:textbox>
                      <w:txbxContent>
                        <w:p w14:paraId="24F88F35">
                          <w:pPr>
                            <w:jc w:val="center"/>
                            <w:rPr>
                              <w:rFonts w:hint="default" w:eastAsia="宋体"/>
                              <w:sz w:val="18"/>
                              <w:szCs w:val="18"/>
                              <w:lang w:val="en-US" w:eastAsia="zh-CN"/>
                            </w:rPr>
                          </w:pPr>
                          <w:r>
                            <w:rPr>
                              <w:rFonts w:hint="eastAsia"/>
                              <w:sz w:val="18"/>
                              <w:szCs w:val="18"/>
                              <w:lang w:val="en-US" w:eastAsia="zh-CN"/>
                            </w:rPr>
                            <w:t>绿化</w:t>
                          </w:r>
                        </w:p>
                      </w:txbxContent>
                    </v:textbox>
                  </v:rect>
                  <v:rect id="_x0000_s2216" o:spid="_x0000_s2216" o:spt="1" style="position:absolute;left:4543;top:231122;height:363;width:764;" filled="f" stroked="f" coordsize="21600,21600">
                    <v:path/>
                    <v:fill on="f" focussize="0,0"/>
                    <v:stroke on="f"/>
                    <v:imagedata o:title=""/>
                    <o:lock v:ext="edit" aspectratio="f"/>
                    <v:textbox>
                      <w:txbxContent>
                        <w:p w14:paraId="67CABF88">
                          <w:pPr>
                            <w:jc w:val="center"/>
                            <w:rPr>
                              <w:rFonts w:hint="default" w:eastAsia="宋体"/>
                              <w:sz w:val="18"/>
                              <w:szCs w:val="18"/>
                              <w:lang w:val="en-US" w:eastAsia="zh-CN"/>
                            </w:rPr>
                          </w:pPr>
                          <w:r>
                            <w:rPr>
                              <w:rFonts w:hint="eastAsia"/>
                              <w:sz w:val="18"/>
                              <w:szCs w:val="18"/>
                              <w:lang w:val="en-US" w:eastAsia="zh-CN"/>
                            </w:rPr>
                            <w:t>19.6</w:t>
                          </w:r>
                        </w:p>
                      </w:txbxContent>
                    </v:textbox>
                  </v:rect>
                  <v:rect id="_x0000_s2219" o:spid="_x0000_s2219" o:spt="1" style="position:absolute;left:6582;top:231115;height:500;width:1042;" filled="f" stroked="f" coordsize="21600,21600">
                    <v:path/>
                    <v:fill on="f" focussize="0,0"/>
                    <v:stroke on="f"/>
                    <v:imagedata o:title=""/>
                    <o:lock v:ext="edit" aspectratio="f"/>
                    <v:textbox>
                      <w:txbxContent>
                        <w:p w14:paraId="50611C9E">
                          <w:pPr>
                            <w:rPr>
                              <w:rFonts w:hint="default" w:eastAsia="宋体"/>
                              <w:sz w:val="18"/>
                              <w:szCs w:val="18"/>
                              <w:lang w:val="en-US" w:eastAsia="zh-CN"/>
                            </w:rPr>
                          </w:pPr>
                          <w:r>
                            <w:rPr>
                              <w:rFonts w:hint="eastAsia"/>
                              <w:sz w:val="18"/>
                              <w:szCs w:val="18"/>
                              <w:lang w:val="en-US" w:eastAsia="zh-CN"/>
                            </w:rPr>
                            <w:t>自然蒸发</w:t>
                          </w:r>
                        </w:p>
                      </w:txbxContent>
                    </v:textbox>
                  </v:rect>
                  <v:shape id="_x0000_s2220" o:spid="_x0000_s2220" o:spt="38" type="#_x0000_t38" style="position:absolute;left:6404;top:231288;flip:y;height:167;width:255;" filled="f" stroked="t" coordsize="21600,21600" adj="10758">
                    <v:path arrowok="t"/>
                    <v:fill on="f" focussize="0,0"/>
                    <v:stroke color="#000000" endarrow="block"/>
                    <v:imagedata o:title=""/>
                    <o:lock v:ext="edit" aspectratio="f"/>
                  </v:shape>
                  <v:shape id="_x0000_s2223" o:spid="_x0000_s2223" o:spt="32" type="#_x0000_t32" style="position:absolute;left:8889;top:226166;height:0;width:616;" filled="f" stroked="t" coordsize="21600,21600">
                    <v:path arrowok="t"/>
                    <v:fill on="f" focussize="0,0"/>
                    <v:stroke color="#000000" endarrow="block"/>
                    <v:imagedata o:title=""/>
                    <o:lock v:ext="edit" aspectratio="f"/>
                  </v:shape>
                  <v:rect id="_x0000_s2221" o:spid="_x0000_s2221" o:spt="1" style="position:absolute;left:7524;top:225926;height:388;width:1365;" fillcolor="#FFFFFF" filled="t" stroked="t" coordsize="21600,21600">
                    <v:path/>
                    <v:fill on="t" color2="#FFFFFF" focussize="0,0"/>
                    <v:stroke color="#000000" joinstyle="miter"/>
                    <v:imagedata o:title=""/>
                    <o:lock v:ext="edit" aspectratio="f"/>
                    <v:textbox>
                      <w:txbxContent>
                        <w:p w14:paraId="76C76B8C">
                          <w:pPr>
                            <w:jc w:val="center"/>
                            <w:rPr>
                              <w:sz w:val="18"/>
                              <w:szCs w:val="18"/>
                            </w:rPr>
                          </w:pPr>
                          <w:r>
                            <w:rPr>
                              <w:sz w:val="18"/>
                              <w:szCs w:val="18"/>
                            </w:rPr>
                            <w:t>化粪池</w:t>
                          </w:r>
                        </w:p>
                      </w:txbxContent>
                    </v:textbox>
                  </v:rect>
                  <v:rect id="_x0000_s2222" o:spid="_x0000_s2222" o:spt="1" style="position:absolute;left:8667;top:225890;height:364;width:992;" filled="f" stroked="f" coordsize="21600,21600">
                    <v:path/>
                    <v:fill on="f" focussize="0,0"/>
                    <v:stroke on="f"/>
                    <v:imagedata o:title=""/>
                    <o:lock v:ext="edit" aspectratio="f"/>
                    <v:textbox>
                      <w:txbxContent>
                        <w:p w14:paraId="6CC11403">
                          <w:pPr>
                            <w:jc w:val="center"/>
                            <w:rPr>
                              <w:rFonts w:hint="default" w:eastAsia="宋体"/>
                              <w:sz w:val="18"/>
                              <w:szCs w:val="18"/>
                              <w:lang w:val="en-US" w:eastAsia="zh-CN"/>
                            </w:rPr>
                          </w:pPr>
                          <w:r>
                            <w:rPr>
                              <w:rFonts w:hint="eastAsia"/>
                              <w:sz w:val="18"/>
                              <w:szCs w:val="18"/>
                              <w:lang w:val="en-US" w:eastAsia="zh-CN"/>
                            </w:rPr>
                            <w:t>29.86</w:t>
                          </w:r>
                        </w:p>
                      </w:txbxContent>
                    </v:textbox>
                  </v:rect>
                  <v:shape id="_x0000_s2226" o:spid="_x0000_s2226" o:spt="32" type="#_x0000_t32" style="position:absolute;left:8852;top:227031;height:0;width:616;" filled="f" stroked="t" coordsize="21600,21600">
                    <v:path arrowok="t"/>
                    <v:fill on="f" focussize="0,0"/>
                    <v:stroke color="#000000" endarrow="block"/>
                    <v:imagedata o:title=""/>
                    <o:lock v:ext="edit" aspectratio="f"/>
                  </v:shape>
                  <v:rect id="_x0000_s2224" o:spid="_x0000_s2224" o:spt="1" style="position:absolute;left:7487;top:226791;height:388;width:1365;" fillcolor="#FFFFFF" filled="t" stroked="t" coordsize="21600,21600">
                    <v:path/>
                    <v:fill on="t" color2="#FFFFFF" focussize="0,0"/>
                    <v:stroke color="#000000" joinstyle="miter"/>
                    <v:imagedata o:title=""/>
                    <o:lock v:ext="edit" aspectratio="f"/>
                    <v:textbox>
                      <w:txbxContent>
                        <w:p w14:paraId="566BA13A">
                          <w:pPr>
                            <w:jc w:val="center"/>
                            <w:rPr>
                              <w:sz w:val="18"/>
                              <w:szCs w:val="18"/>
                            </w:rPr>
                          </w:pPr>
                          <w:r>
                            <w:rPr>
                              <w:sz w:val="18"/>
                              <w:szCs w:val="18"/>
                            </w:rPr>
                            <w:t>化粪池</w:t>
                          </w:r>
                        </w:p>
                      </w:txbxContent>
                    </v:textbox>
                  </v:rect>
                  <v:rect id="_x0000_s2225" o:spid="_x0000_s2225" o:spt="1" style="position:absolute;left:8630;top:226755;height:364;width:992;" filled="f" stroked="f" coordsize="21600,21600">
                    <v:path/>
                    <v:fill on="f" focussize="0,0"/>
                    <v:stroke on="f"/>
                    <v:imagedata o:title=""/>
                    <o:lock v:ext="edit" aspectratio="f"/>
                    <v:textbox>
                      <w:txbxContent>
                        <w:p w14:paraId="29995B19">
                          <w:pPr>
                            <w:jc w:val="center"/>
                            <w:rPr>
                              <w:rFonts w:hint="default" w:eastAsia="宋体"/>
                              <w:sz w:val="18"/>
                              <w:szCs w:val="18"/>
                              <w:lang w:val="en-US" w:eastAsia="zh-CN"/>
                            </w:rPr>
                          </w:pPr>
                          <w:r>
                            <w:rPr>
                              <w:rFonts w:hint="eastAsia"/>
                              <w:sz w:val="18"/>
                              <w:szCs w:val="18"/>
                              <w:lang w:val="en-US" w:eastAsia="zh-CN"/>
                            </w:rPr>
                            <w:t>30.4</w:t>
                          </w:r>
                        </w:p>
                      </w:txbxContent>
                    </v:textbox>
                  </v:rect>
                  <v:shape id="_x0000_s2238" o:spid="_x0000_s2238" o:spt="32" type="#_x0000_t32" style="position:absolute;left:8852;top:227915;height:0;width:616;" filled="f" stroked="t" coordsize="21600,21600">
                    <v:path arrowok="t"/>
                    <v:fill on="f" focussize="0,0"/>
                    <v:stroke color="#000000" endarrow="block"/>
                    <v:imagedata o:title=""/>
                    <o:lock v:ext="edit" aspectratio="f"/>
                  </v:shape>
                  <v:rect id="_x0000_s2227" o:spid="_x0000_s2227" o:spt="1" style="position:absolute;left:7487;top:227675;height:388;width:1365;" fillcolor="#FFFFFF" filled="t" stroked="t" coordsize="21600,21600">
                    <v:path/>
                    <v:fill on="t" color2="#FFFFFF" focussize="0,0"/>
                    <v:stroke color="#000000" joinstyle="miter"/>
                    <v:imagedata o:title=""/>
                    <o:lock v:ext="edit" aspectratio="f"/>
                    <v:textbox>
                      <w:txbxContent>
                        <w:p w14:paraId="36380B4E">
                          <w:pPr>
                            <w:jc w:val="center"/>
                            <w:rPr>
                              <w:sz w:val="18"/>
                              <w:szCs w:val="18"/>
                            </w:rPr>
                          </w:pPr>
                          <w:r>
                            <w:rPr>
                              <w:sz w:val="18"/>
                              <w:szCs w:val="18"/>
                            </w:rPr>
                            <w:t>化粪池</w:t>
                          </w:r>
                        </w:p>
                      </w:txbxContent>
                    </v:textbox>
                  </v:rect>
                  <v:rect id="_x0000_s2236" o:spid="_x0000_s2236" o:spt="1" style="position:absolute;left:8630;top:227639;height:364;width:992;" filled="f" stroked="f" coordsize="21600,21600">
                    <v:path/>
                    <v:fill on="f" focussize="0,0"/>
                    <v:stroke on="f"/>
                    <v:imagedata o:title=""/>
                    <o:lock v:ext="edit" aspectratio="f"/>
                    <v:textbox>
                      <w:txbxContent>
                        <w:p w14:paraId="4ED27F8C">
                          <w:pPr>
                            <w:jc w:val="center"/>
                            <w:rPr>
                              <w:rFonts w:hint="default" w:eastAsia="宋体"/>
                              <w:sz w:val="18"/>
                              <w:szCs w:val="18"/>
                              <w:lang w:val="en-US" w:eastAsia="zh-CN"/>
                            </w:rPr>
                          </w:pPr>
                          <w:r>
                            <w:rPr>
                              <w:rFonts w:hint="eastAsia"/>
                              <w:sz w:val="18"/>
                              <w:szCs w:val="18"/>
                              <w:lang w:val="en-US" w:eastAsia="zh-CN"/>
                            </w:rPr>
                            <w:t>6.14</w:t>
                          </w:r>
                        </w:p>
                      </w:txbxContent>
                    </v:textbox>
                  </v:rect>
                  <v:shape id="_x0000_s2241" o:spid="_x0000_s2241" o:spt="32" type="#_x0000_t32" style="position:absolute;left:8825;top:230630;flip:y;height:1;width:686;" filled="f" stroked="t" coordsize="21600,21600">
                    <v:path arrowok="t"/>
                    <v:fill on="f" focussize="0,0"/>
                    <v:stroke color="#000000" endarrow="block"/>
                    <v:imagedata o:title=""/>
                    <o:lock v:ext="edit" aspectratio="f"/>
                  </v:shape>
                  <v:rect id="_x0000_s2240" o:spid="_x0000_s2240" o:spt="1" style="position:absolute;left:7460;top:230391;height:388;width:1365;" fillcolor="#FFFFFF" filled="t" stroked="t" coordsize="21600,21600">
                    <v:path/>
                    <v:fill on="t" color2="#FFFFFF" focussize="0,0"/>
                    <v:stroke color="#000000" joinstyle="miter"/>
                    <v:imagedata o:title=""/>
                    <o:lock v:ext="edit" aspectratio="f"/>
                    <v:textbox>
                      <w:txbxContent>
                        <w:p w14:paraId="5B8A08F3">
                          <w:pPr>
                            <w:jc w:val="center"/>
                            <w:rPr>
                              <w:sz w:val="18"/>
                              <w:szCs w:val="18"/>
                            </w:rPr>
                          </w:pPr>
                          <w:r>
                            <w:rPr>
                              <w:sz w:val="18"/>
                              <w:szCs w:val="18"/>
                            </w:rPr>
                            <w:t>化粪池</w:t>
                          </w:r>
                        </w:p>
                      </w:txbxContent>
                    </v:textbox>
                  </v:rect>
                  <v:rect id="_x0000_s2239" o:spid="_x0000_s2239" o:spt="1" style="position:absolute;left:8677;top:230337;height:364;width:992;" filled="f" stroked="f" coordsize="21600,21600">
                    <v:path/>
                    <v:fill on="f" focussize="0,0"/>
                    <v:stroke on="f"/>
                    <v:imagedata o:title=""/>
                    <o:lock v:ext="edit" aspectratio="f"/>
                    <v:textbox>
                      <w:txbxContent>
                        <w:p w14:paraId="08F56C25">
                          <w:pPr>
                            <w:jc w:val="center"/>
                            <w:rPr>
                              <w:rFonts w:hint="default" w:eastAsia="宋体"/>
                              <w:sz w:val="18"/>
                              <w:szCs w:val="18"/>
                              <w:lang w:val="en-US" w:eastAsia="zh-CN"/>
                            </w:rPr>
                          </w:pPr>
                          <w:r>
                            <w:rPr>
                              <w:rFonts w:hint="eastAsia"/>
                              <w:sz w:val="18"/>
                              <w:szCs w:val="18"/>
                              <w:lang w:val="en-US" w:eastAsia="zh-CN"/>
                            </w:rPr>
                            <w:t>9.11</w:t>
                          </w:r>
                        </w:p>
                      </w:txbxContent>
                    </v:textbox>
                  </v:rect>
                  <v:shape id="_x0000_s2243" o:spid="_x0000_s2243" o:spt="32" type="#_x0000_t32" style="position:absolute;left:8862;top:228790;height:0;width:616;" filled="f" stroked="t" coordsize="21600,21600">
                    <v:path arrowok="t"/>
                    <v:fill on="f" focussize="0,0"/>
                    <v:stroke color="#000000" endarrow="block"/>
                    <v:imagedata o:title=""/>
                    <o:lock v:ext="edit" aspectratio="f"/>
                  </v:shape>
                  <v:rect id="_x0000_s2242" o:spid="_x0000_s2242" o:spt="1" style="position:absolute;left:8640;top:228514;height:364;width:992;" filled="f" stroked="f" coordsize="21600,21600">
                    <v:path/>
                    <v:fill on="f" focussize="0,0"/>
                    <v:stroke on="f"/>
                    <v:imagedata o:title=""/>
                    <o:lock v:ext="edit" aspectratio="f"/>
                    <v:textbox>
                      <w:txbxContent>
                        <w:p w14:paraId="42A4F3E0">
                          <w:pPr>
                            <w:jc w:val="center"/>
                            <w:rPr>
                              <w:rFonts w:hint="default" w:eastAsia="宋体"/>
                              <w:sz w:val="18"/>
                              <w:szCs w:val="18"/>
                              <w:lang w:val="en-US" w:eastAsia="zh-CN"/>
                            </w:rPr>
                          </w:pPr>
                          <w:r>
                            <w:rPr>
                              <w:rFonts w:hint="eastAsia"/>
                              <w:sz w:val="18"/>
                              <w:szCs w:val="18"/>
                              <w:lang w:val="en-US" w:eastAsia="zh-CN"/>
                            </w:rPr>
                            <w:t>0.16</w:t>
                          </w:r>
                        </w:p>
                      </w:txbxContent>
                    </v:textbox>
                  </v:rect>
                  <v:shape id="_x0000_s2245" o:spid="_x0000_s2245" o:spt="32" type="#_x0000_t32" style="position:absolute;left:9064;top:229691;height:0;width:465;" filled="f" stroked="t" coordsize="21600,21600">
                    <v:path arrowok="t"/>
                    <v:fill on="f" focussize="0,0"/>
                    <v:stroke color="#000000" endarrow="block"/>
                    <v:imagedata o:title=""/>
                    <o:lock v:ext="edit" aspectratio="f"/>
                  </v:shape>
                  <v:rect id="_x0000_s2244" o:spid="_x0000_s2244" o:spt="1" style="position:absolute;left:9018;top:229388;height:364;width:560;" filled="f" stroked="f" coordsize="21600,21600">
                    <v:path/>
                    <v:fill on="f" focussize="0,0"/>
                    <v:stroke on="f"/>
                    <v:imagedata o:title=""/>
                    <o:lock v:ext="edit" aspectratio="f"/>
                    <v:textbox>
                      <w:txbxContent>
                        <w:p w14:paraId="449ABD3B">
                          <w:pPr>
                            <w:jc w:val="center"/>
                            <w:rPr>
                              <w:rFonts w:hint="default" w:eastAsia="宋体"/>
                              <w:sz w:val="18"/>
                              <w:szCs w:val="18"/>
                              <w:lang w:val="en-US" w:eastAsia="zh-CN"/>
                            </w:rPr>
                          </w:pPr>
                          <w:r>
                            <w:rPr>
                              <w:rFonts w:hint="eastAsia"/>
                              <w:sz w:val="18"/>
                              <w:szCs w:val="18"/>
                              <w:lang w:val="en-US" w:eastAsia="zh-CN"/>
                            </w:rPr>
                            <w:t>4.0</w:t>
                          </w:r>
                        </w:p>
                      </w:txbxContent>
                    </v:textbox>
                  </v:rect>
                  <v:shape id="_x0000_s2247" o:spid="_x0000_s2247" o:spt="32" type="#_x0000_t32" style="position:absolute;left:9511;top:224300;flip:x;height:6350;width:1;" filled="f" stroked="t" coordsize="21600,21600">
                    <v:path arrowok="t"/>
                    <v:fill on="f" focussize="0,0"/>
                    <v:stroke color="#000000"/>
                    <v:imagedata o:title=""/>
                    <o:lock v:ext="edit" aspectratio="f"/>
                  </v:shape>
                  <v:shape id="_x0000_s2248" o:spid="_x0000_s2248" o:spt="32" type="#_x0000_t32" style="position:absolute;left:9499;top:227295;flip:y;height:3;width:354;" filled="f" stroked="t" coordsize="21600,21600">
                    <v:path arrowok="t"/>
                    <v:fill on="f" focussize="0,0"/>
                    <v:stroke color="#000000"/>
                    <v:imagedata o:title=""/>
                    <o:lock v:ext="edit" aspectratio="f"/>
                  </v:shape>
                  <v:shape id="_x0000_s2249" o:spid="_x0000_s2249" o:spt="32" type="#_x0000_t32" style="position:absolute;left:9845;top:227308;height:3617;width:10;" filled="f" stroked="t" coordsize="21600,21600">
                    <v:path arrowok="t"/>
                    <v:fill on="f" focussize="0,0"/>
                    <v:stroke color="#000000" endarrow="block"/>
                    <v:imagedata o:title=""/>
                    <o:lock v:ext="edit" aspectratio="f"/>
                  </v:shape>
                  <v:rect id="_x0000_s2250" o:spid="_x0000_s2250" o:spt="1" style="position:absolute;left:9045;top:230957;height:388;width:1589;" fillcolor="#FFFFFF" filled="t" stroked="t" coordsize="21600,21600">
                    <v:path/>
                    <v:fill on="t" color2="#FFFFFF" focussize="0,0"/>
                    <v:stroke color="#000000" joinstyle="miter"/>
                    <v:imagedata o:title=""/>
                    <o:lock v:ext="edit" aspectratio="f"/>
                    <v:textbox>
                      <w:txbxContent>
                        <w:p w14:paraId="26E90AF5">
                          <w:pPr>
                            <w:jc w:val="center"/>
                            <w:rPr>
                              <w:rFonts w:hint="default" w:eastAsia="宋体"/>
                              <w:sz w:val="18"/>
                              <w:szCs w:val="18"/>
                              <w:lang w:val="en-US" w:eastAsia="zh-CN"/>
                            </w:rPr>
                          </w:pPr>
                          <w:r>
                            <w:rPr>
                              <w:rFonts w:hint="eastAsia"/>
                              <w:sz w:val="18"/>
                              <w:szCs w:val="18"/>
                              <w:lang w:val="en-US" w:eastAsia="zh-CN"/>
                            </w:rPr>
                            <w:t>污水处理站</w:t>
                          </w:r>
                        </w:p>
                      </w:txbxContent>
                    </v:textbox>
                  </v:rect>
                  <v:shape id="_x0000_s2251" o:spid="_x0000_s2251" o:spt="32" type="#_x0000_t32" style="position:absolute;left:9868;top:231341;height:453;width:2;" filled="f" stroked="t" coordsize="21600,21600">
                    <v:path arrowok="t"/>
                    <v:fill on="f" focussize="0,0"/>
                    <v:stroke color="#000000" endarrow="block"/>
                    <v:imagedata o:title=""/>
                    <o:lock v:ext="edit" aspectratio="f"/>
                  </v:shape>
                  <v:rect id="_x0000_s2252" o:spid="_x0000_s2252" o:spt="1" style="position:absolute;left:9124;top:231795;height:500;width:1533;" filled="f" stroked="f" coordsize="21600,21600">
                    <v:path/>
                    <v:fill on="f" focussize="0,0"/>
                    <v:stroke on="f"/>
                    <v:imagedata o:title=""/>
                    <o:lock v:ext="edit" aspectratio="f"/>
                    <v:textbox>
                      <w:txbxContent>
                        <w:p w14:paraId="0F8A326F">
                          <w:pPr>
                            <w:jc w:val="center"/>
                            <w:rPr>
                              <w:rFonts w:hint="default" w:eastAsia="宋体"/>
                              <w:sz w:val="18"/>
                              <w:szCs w:val="18"/>
                              <w:lang w:val="en-US" w:eastAsia="zh-CN"/>
                            </w:rPr>
                          </w:pPr>
                          <w:r>
                            <w:rPr>
                              <w:rFonts w:hint="eastAsia"/>
                              <w:sz w:val="18"/>
                              <w:szCs w:val="18"/>
                              <w:lang w:val="en-US" w:eastAsia="zh-CN"/>
                            </w:rPr>
                            <w:t>园区污水管网</w:t>
                          </w:r>
                        </w:p>
                      </w:txbxContent>
                    </v:textbox>
                  </v:rect>
                  <v:shape id="_x0000_s2253" o:spid="_x0000_s2253" o:spt="32" type="#_x0000_t32" style="position:absolute;left:9885;top:232103;height:453;width:2;" filled="f" stroked="t" coordsize="21600,21600">
                    <v:path arrowok="t"/>
                    <v:fill on="f" focussize="0,0"/>
                    <v:stroke color="#000000" endarrow="block"/>
                    <v:imagedata o:title=""/>
                    <o:lock v:ext="edit" aspectratio="f"/>
                  </v:shape>
                  <v:rect id="_x0000_s2254" o:spid="_x0000_s2254" o:spt="1" style="position:absolute;left:9141;top:232557;height:655;width:1533;" filled="f" stroked="f" coordsize="21600,21600">
                    <v:path/>
                    <v:fill on="f" focussize="0,0"/>
                    <v:stroke on="f"/>
                    <v:imagedata o:title=""/>
                    <o:lock v:ext="edit" aspectratio="f"/>
                    <v:textbox>
                      <w:txbxContent>
                        <w:p w14:paraId="280A6F12">
                          <w:pPr>
                            <w:jc w:val="center"/>
                            <w:rPr>
                              <w:rFonts w:hint="default" w:eastAsia="宋体"/>
                              <w:sz w:val="18"/>
                              <w:szCs w:val="18"/>
                              <w:lang w:val="en-US" w:eastAsia="zh-CN"/>
                            </w:rPr>
                          </w:pPr>
                          <w:r>
                            <w:rPr>
                              <w:rFonts w:hint="eastAsia"/>
                              <w:sz w:val="18"/>
                              <w:szCs w:val="18"/>
                              <w:lang w:val="en-US" w:eastAsia="zh-CN"/>
                            </w:rPr>
                            <w:t>大同市开发区污水处理厂</w:t>
                          </w:r>
                        </w:p>
                      </w:txbxContent>
                    </v:textbox>
                  </v:rect>
                  <v:rect id="_x0000_s2362" o:spid="_x0000_s2362" o:spt="1" style="position:absolute;left:9441;top:226894;height:364;width:992;" filled="f" stroked="f" coordsize="21600,21600">
                    <v:path/>
                    <v:fill on="f" focussize="0,0"/>
                    <v:stroke on="f"/>
                    <v:imagedata o:title=""/>
                    <o:lock v:ext="edit" aspectratio="f"/>
                    <v:textbox>
                      <w:txbxContent>
                        <w:p w14:paraId="396A40EA">
                          <w:pPr>
                            <w:jc w:val="center"/>
                            <w:rPr>
                              <w:rFonts w:hint="default" w:eastAsia="宋体"/>
                              <w:sz w:val="18"/>
                              <w:szCs w:val="18"/>
                              <w:lang w:val="en-US" w:eastAsia="zh-CN"/>
                            </w:rPr>
                          </w:pPr>
                          <w:r>
                            <w:rPr>
                              <w:rFonts w:hint="eastAsia"/>
                              <w:sz w:val="18"/>
                              <w:szCs w:val="18"/>
                              <w:lang w:val="en-US" w:eastAsia="zh-CN"/>
                            </w:rPr>
                            <w:t>176.47</w:t>
                          </w:r>
                        </w:p>
                      </w:txbxContent>
                    </v:textbox>
                  </v:rect>
                  <v:rect id="_x0000_s2073" o:spid="_x0000_s2073" o:spt="1" style="position:absolute;left:5861;top:223794;height:325;width:633;" filled="f" stroked="f" coordsize="21600,21600">
                    <v:path/>
                    <v:fill on="f" focussize="0,0"/>
                    <v:stroke on="f"/>
                    <v:imagedata o:title=""/>
                    <o:lock v:ext="edit" aspectratio="f"/>
                    <v:textbox>
                      <w:txbxContent>
                        <w:p w14:paraId="5B0B8B43">
                          <w:pPr>
                            <w:jc w:val="center"/>
                            <w:rPr>
                              <w:rFonts w:hint="default" w:eastAsia="宋体"/>
                              <w:sz w:val="18"/>
                              <w:szCs w:val="18"/>
                              <w:lang w:val="en-US" w:eastAsia="zh-CN"/>
                            </w:rPr>
                          </w:pPr>
                          <w:r>
                            <w:rPr>
                              <w:rFonts w:hint="eastAsia"/>
                              <w:sz w:val="18"/>
                              <w:szCs w:val="18"/>
                              <w:lang w:val="en-US" w:eastAsia="zh-CN"/>
                            </w:rPr>
                            <w:t>23.6</w:t>
                          </w:r>
                        </w:p>
                      </w:txbxContent>
                    </v:textbox>
                  </v:rect>
                </v:group>
              </w:pict>
            </w:r>
          </w:p>
          <w:p w14:paraId="2ADB8529">
            <w:pPr>
              <w:spacing w:line="360" w:lineRule="auto"/>
              <w:ind w:firstLine="420" w:firstLineChars="200"/>
              <w:rPr>
                <w:color w:val="auto"/>
                <w:szCs w:val="21"/>
              </w:rPr>
            </w:pPr>
          </w:p>
          <w:p w14:paraId="16EC2B61">
            <w:pPr>
              <w:spacing w:line="360" w:lineRule="auto"/>
              <w:ind w:firstLine="420" w:firstLineChars="200"/>
              <w:rPr>
                <w:color w:val="auto"/>
                <w:szCs w:val="21"/>
              </w:rPr>
            </w:pPr>
          </w:p>
          <w:p w14:paraId="6BB62AD5">
            <w:pPr>
              <w:spacing w:line="360" w:lineRule="auto"/>
              <w:ind w:firstLine="420" w:firstLineChars="200"/>
              <w:rPr>
                <w:color w:val="auto"/>
                <w:szCs w:val="21"/>
              </w:rPr>
            </w:pPr>
          </w:p>
          <w:p w14:paraId="71901927">
            <w:pPr>
              <w:snapToGrid w:val="0"/>
              <w:jc w:val="center"/>
              <w:rPr>
                <w:rFonts w:hAnsiTheme="minorEastAsia" w:eastAsiaTheme="minorEastAsia"/>
                <w:b/>
                <w:color w:val="auto"/>
                <w:sz w:val="18"/>
                <w:szCs w:val="18"/>
              </w:rPr>
            </w:pPr>
          </w:p>
          <w:p w14:paraId="54E1A4C4">
            <w:pPr>
              <w:snapToGrid w:val="0"/>
              <w:jc w:val="center"/>
              <w:rPr>
                <w:rFonts w:hAnsiTheme="minorEastAsia" w:eastAsiaTheme="minorEastAsia"/>
                <w:b/>
                <w:color w:val="auto"/>
                <w:sz w:val="18"/>
                <w:szCs w:val="18"/>
              </w:rPr>
            </w:pPr>
            <w:r>
              <w:rPr>
                <w:sz w:val="18"/>
              </w:rPr>
              <w:pict>
                <v:rect id="_x0000_s2051" o:spid="_x0000_s2051" o:spt="1" style="position:absolute;left:0pt;margin-left:4.65pt;margin-top:0.9pt;height:18.15pt;width:38.2pt;z-index:251671552;mso-width-relative:page;mso-height-relative:page;" filled="f" stroked="f" coordsize="21600,21600">
                  <v:path/>
                  <v:fill on="f" focussize="0,0"/>
                  <v:stroke on="f"/>
                  <v:imagedata o:title=""/>
                  <o:lock v:ext="edit" aspectratio="f"/>
                  <v:textbox>
                    <w:txbxContent>
                      <w:p w14:paraId="761CAEF0">
                        <w:pPr>
                          <w:jc w:val="both"/>
                          <w:rPr>
                            <w:rFonts w:hint="default" w:eastAsia="宋体"/>
                            <w:sz w:val="18"/>
                            <w:szCs w:val="18"/>
                            <w:lang w:val="en-US" w:eastAsia="zh-CN"/>
                          </w:rPr>
                        </w:pPr>
                      </w:p>
                    </w:txbxContent>
                  </v:textbox>
                </v:rect>
              </w:pict>
            </w:r>
          </w:p>
          <w:p w14:paraId="3519B044">
            <w:pPr>
              <w:snapToGrid w:val="0"/>
              <w:jc w:val="center"/>
              <w:rPr>
                <w:rFonts w:hAnsiTheme="minorEastAsia" w:eastAsiaTheme="minorEastAsia"/>
                <w:b/>
                <w:color w:val="auto"/>
                <w:sz w:val="18"/>
                <w:szCs w:val="18"/>
              </w:rPr>
            </w:pPr>
          </w:p>
          <w:p w14:paraId="4B175D9F">
            <w:pPr>
              <w:snapToGrid w:val="0"/>
              <w:jc w:val="center"/>
              <w:rPr>
                <w:rFonts w:hAnsiTheme="minorEastAsia" w:eastAsiaTheme="minorEastAsia"/>
                <w:b/>
                <w:color w:val="auto"/>
                <w:sz w:val="18"/>
                <w:szCs w:val="18"/>
              </w:rPr>
            </w:pPr>
          </w:p>
          <w:p w14:paraId="1123F7F1">
            <w:pPr>
              <w:snapToGrid w:val="0"/>
              <w:jc w:val="center"/>
              <w:rPr>
                <w:rFonts w:hAnsiTheme="minorEastAsia" w:eastAsiaTheme="minorEastAsia"/>
                <w:b/>
                <w:color w:val="auto"/>
                <w:sz w:val="18"/>
                <w:szCs w:val="18"/>
              </w:rPr>
            </w:pPr>
          </w:p>
          <w:p w14:paraId="70A6958B">
            <w:pPr>
              <w:snapToGrid w:val="0"/>
              <w:jc w:val="center"/>
              <w:rPr>
                <w:rFonts w:hAnsiTheme="minorEastAsia" w:eastAsiaTheme="minorEastAsia"/>
                <w:b/>
                <w:color w:val="auto"/>
                <w:sz w:val="18"/>
                <w:szCs w:val="18"/>
              </w:rPr>
            </w:pPr>
          </w:p>
          <w:p w14:paraId="02781E46">
            <w:pPr>
              <w:snapToGrid w:val="0"/>
              <w:jc w:val="center"/>
              <w:rPr>
                <w:rFonts w:hAnsiTheme="minorEastAsia" w:eastAsiaTheme="minorEastAsia"/>
                <w:b/>
                <w:color w:val="auto"/>
                <w:sz w:val="18"/>
                <w:szCs w:val="18"/>
              </w:rPr>
            </w:pPr>
          </w:p>
          <w:p w14:paraId="2505BCF5">
            <w:pPr>
              <w:snapToGrid w:val="0"/>
              <w:jc w:val="center"/>
              <w:rPr>
                <w:rFonts w:hAnsiTheme="minorEastAsia" w:eastAsiaTheme="minorEastAsia"/>
                <w:b/>
                <w:color w:val="auto"/>
                <w:sz w:val="18"/>
                <w:szCs w:val="18"/>
              </w:rPr>
            </w:pPr>
          </w:p>
          <w:p w14:paraId="0C36B81B">
            <w:pPr>
              <w:snapToGrid w:val="0"/>
              <w:jc w:val="center"/>
              <w:rPr>
                <w:rFonts w:hAnsiTheme="minorEastAsia" w:eastAsiaTheme="minorEastAsia"/>
                <w:b/>
                <w:color w:val="auto"/>
                <w:sz w:val="18"/>
                <w:szCs w:val="18"/>
              </w:rPr>
            </w:pPr>
          </w:p>
          <w:p w14:paraId="2297D472">
            <w:pPr>
              <w:snapToGrid w:val="0"/>
              <w:jc w:val="center"/>
              <w:rPr>
                <w:rFonts w:hAnsiTheme="minorEastAsia" w:eastAsiaTheme="minorEastAsia"/>
                <w:b/>
                <w:color w:val="auto"/>
                <w:sz w:val="18"/>
                <w:szCs w:val="18"/>
              </w:rPr>
            </w:pPr>
          </w:p>
          <w:p w14:paraId="3BD218B3">
            <w:pPr>
              <w:snapToGrid w:val="0"/>
              <w:jc w:val="center"/>
              <w:rPr>
                <w:rFonts w:hAnsiTheme="minorEastAsia" w:eastAsiaTheme="minorEastAsia"/>
                <w:b/>
                <w:color w:val="auto"/>
                <w:sz w:val="18"/>
                <w:szCs w:val="18"/>
              </w:rPr>
            </w:pPr>
          </w:p>
          <w:p w14:paraId="4199147F">
            <w:pPr>
              <w:snapToGrid w:val="0"/>
              <w:jc w:val="center"/>
              <w:rPr>
                <w:rFonts w:hAnsiTheme="minorEastAsia" w:eastAsiaTheme="minorEastAsia"/>
                <w:b/>
                <w:color w:val="auto"/>
                <w:sz w:val="18"/>
                <w:szCs w:val="18"/>
              </w:rPr>
            </w:pPr>
          </w:p>
          <w:p w14:paraId="1FA06464">
            <w:pPr>
              <w:snapToGrid w:val="0"/>
              <w:jc w:val="center"/>
              <w:rPr>
                <w:rFonts w:hAnsiTheme="minorEastAsia" w:eastAsiaTheme="minorEastAsia"/>
                <w:b/>
                <w:color w:val="auto"/>
                <w:sz w:val="18"/>
                <w:szCs w:val="18"/>
              </w:rPr>
            </w:pPr>
          </w:p>
          <w:p w14:paraId="6A72FA50">
            <w:pPr>
              <w:snapToGrid w:val="0"/>
              <w:jc w:val="center"/>
              <w:rPr>
                <w:rFonts w:hAnsiTheme="minorEastAsia" w:eastAsiaTheme="minorEastAsia"/>
                <w:b/>
                <w:color w:val="auto"/>
                <w:sz w:val="18"/>
                <w:szCs w:val="18"/>
              </w:rPr>
            </w:pPr>
          </w:p>
          <w:p w14:paraId="6ACE3656">
            <w:pPr>
              <w:snapToGrid w:val="0"/>
              <w:jc w:val="center"/>
              <w:rPr>
                <w:rFonts w:hAnsiTheme="minorEastAsia" w:eastAsiaTheme="minorEastAsia"/>
                <w:b/>
                <w:color w:val="auto"/>
                <w:sz w:val="18"/>
                <w:szCs w:val="18"/>
              </w:rPr>
            </w:pPr>
          </w:p>
          <w:p w14:paraId="6B3B8E69">
            <w:pPr>
              <w:snapToGrid w:val="0"/>
              <w:jc w:val="center"/>
              <w:rPr>
                <w:rFonts w:hAnsiTheme="minorEastAsia" w:eastAsiaTheme="minorEastAsia"/>
                <w:b/>
                <w:color w:val="auto"/>
                <w:sz w:val="18"/>
                <w:szCs w:val="18"/>
              </w:rPr>
            </w:pPr>
          </w:p>
          <w:p w14:paraId="45AF0969">
            <w:pPr>
              <w:snapToGrid w:val="0"/>
              <w:jc w:val="center"/>
              <w:rPr>
                <w:rFonts w:hAnsiTheme="minorEastAsia" w:eastAsiaTheme="minorEastAsia"/>
                <w:b/>
                <w:color w:val="auto"/>
                <w:sz w:val="18"/>
                <w:szCs w:val="18"/>
              </w:rPr>
            </w:pPr>
          </w:p>
          <w:p w14:paraId="568C4730">
            <w:pPr>
              <w:snapToGrid w:val="0"/>
              <w:jc w:val="center"/>
              <w:rPr>
                <w:rFonts w:hAnsiTheme="minorEastAsia" w:eastAsiaTheme="minorEastAsia"/>
                <w:b/>
                <w:color w:val="auto"/>
                <w:sz w:val="18"/>
                <w:szCs w:val="18"/>
              </w:rPr>
            </w:pPr>
          </w:p>
          <w:p w14:paraId="323973CA">
            <w:pPr>
              <w:snapToGrid w:val="0"/>
              <w:jc w:val="center"/>
              <w:rPr>
                <w:rFonts w:hAnsiTheme="minorEastAsia" w:eastAsiaTheme="minorEastAsia"/>
                <w:b/>
                <w:color w:val="auto"/>
                <w:sz w:val="18"/>
                <w:szCs w:val="18"/>
              </w:rPr>
            </w:pPr>
          </w:p>
          <w:p w14:paraId="196FDCBF">
            <w:pPr>
              <w:snapToGrid w:val="0"/>
              <w:jc w:val="center"/>
              <w:rPr>
                <w:rFonts w:hAnsiTheme="minorEastAsia" w:eastAsiaTheme="minorEastAsia"/>
                <w:b/>
                <w:color w:val="auto"/>
                <w:sz w:val="18"/>
                <w:szCs w:val="18"/>
              </w:rPr>
            </w:pPr>
          </w:p>
          <w:p w14:paraId="1AE4F389">
            <w:pPr>
              <w:snapToGrid w:val="0"/>
              <w:jc w:val="center"/>
              <w:rPr>
                <w:rFonts w:hAnsiTheme="minorEastAsia" w:eastAsiaTheme="minorEastAsia"/>
                <w:b/>
                <w:color w:val="auto"/>
                <w:sz w:val="18"/>
                <w:szCs w:val="18"/>
              </w:rPr>
            </w:pPr>
          </w:p>
          <w:p w14:paraId="6BD3A4A9">
            <w:pPr>
              <w:snapToGrid w:val="0"/>
              <w:jc w:val="center"/>
              <w:rPr>
                <w:rFonts w:hAnsiTheme="minorEastAsia" w:eastAsiaTheme="minorEastAsia"/>
                <w:b/>
                <w:color w:val="auto"/>
                <w:sz w:val="18"/>
                <w:szCs w:val="18"/>
              </w:rPr>
            </w:pPr>
          </w:p>
          <w:p w14:paraId="0B8B7366">
            <w:pPr>
              <w:snapToGrid w:val="0"/>
              <w:jc w:val="center"/>
              <w:rPr>
                <w:rFonts w:hAnsiTheme="minorEastAsia" w:eastAsiaTheme="minorEastAsia"/>
                <w:b/>
                <w:color w:val="auto"/>
                <w:sz w:val="18"/>
                <w:szCs w:val="18"/>
              </w:rPr>
            </w:pPr>
          </w:p>
          <w:p w14:paraId="25A5BBCB">
            <w:pPr>
              <w:snapToGrid w:val="0"/>
              <w:jc w:val="center"/>
              <w:rPr>
                <w:rFonts w:hAnsiTheme="minorEastAsia" w:eastAsiaTheme="minorEastAsia"/>
                <w:b/>
                <w:color w:val="auto"/>
                <w:sz w:val="18"/>
                <w:szCs w:val="18"/>
              </w:rPr>
            </w:pPr>
          </w:p>
          <w:p w14:paraId="68FA584A">
            <w:pPr>
              <w:snapToGrid w:val="0"/>
              <w:jc w:val="center"/>
              <w:rPr>
                <w:rFonts w:hAnsiTheme="minorEastAsia" w:eastAsiaTheme="minorEastAsia"/>
                <w:b/>
                <w:color w:val="auto"/>
                <w:sz w:val="18"/>
                <w:szCs w:val="18"/>
              </w:rPr>
            </w:pPr>
          </w:p>
          <w:p w14:paraId="19D31C61">
            <w:pPr>
              <w:snapToGrid w:val="0"/>
              <w:jc w:val="center"/>
              <w:rPr>
                <w:rFonts w:hAnsiTheme="minorEastAsia" w:eastAsiaTheme="minorEastAsia"/>
                <w:b/>
                <w:color w:val="auto"/>
                <w:sz w:val="18"/>
                <w:szCs w:val="18"/>
              </w:rPr>
            </w:pPr>
          </w:p>
          <w:p w14:paraId="30CE4518">
            <w:pPr>
              <w:snapToGrid w:val="0"/>
              <w:jc w:val="center"/>
              <w:rPr>
                <w:rFonts w:hAnsiTheme="minorEastAsia" w:eastAsiaTheme="minorEastAsia"/>
                <w:b/>
                <w:color w:val="auto"/>
                <w:sz w:val="18"/>
                <w:szCs w:val="18"/>
              </w:rPr>
            </w:pPr>
          </w:p>
          <w:p w14:paraId="58083A68">
            <w:pPr>
              <w:snapToGrid w:val="0"/>
              <w:jc w:val="center"/>
              <w:rPr>
                <w:rFonts w:hAnsiTheme="minorEastAsia" w:eastAsiaTheme="minorEastAsia"/>
                <w:b/>
                <w:color w:val="auto"/>
                <w:sz w:val="18"/>
                <w:szCs w:val="18"/>
              </w:rPr>
            </w:pPr>
          </w:p>
          <w:p w14:paraId="08ECD229">
            <w:pPr>
              <w:snapToGrid w:val="0"/>
              <w:jc w:val="center"/>
              <w:rPr>
                <w:rFonts w:hAnsiTheme="minorEastAsia" w:eastAsiaTheme="minorEastAsia"/>
                <w:b/>
                <w:color w:val="auto"/>
                <w:sz w:val="18"/>
                <w:szCs w:val="18"/>
              </w:rPr>
            </w:pPr>
          </w:p>
          <w:p w14:paraId="68C82F4E">
            <w:pPr>
              <w:snapToGrid w:val="0"/>
              <w:jc w:val="center"/>
              <w:rPr>
                <w:rFonts w:hAnsiTheme="minorEastAsia" w:eastAsiaTheme="minorEastAsia"/>
                <w:b/>
                <w:color w:val="auto"/>
                <w:sz w:val="18"/>
                <w:szCs w:val="18"/>
              </w:rPr>
            </w:pPr>
          </w:p>
          <w:p w14:paraId="0AD35D3A">
            <w:pPr>
              <w:snapToGrid w:val="0"/>
              <w:jc w:val="center"/>
              <w:rPr>
                <w:rFonts w:hAnsiTheme="minorEastAsia" w:eastAsiaTheme="minorEastAsia"/>
                <w:b/>
                <w:color w:val="auto"/>
                <w:sz w:val="18"/>
                <w:szCs w:val="18"/>
              </w:rPr>
            </w:pPr>
          </w:p>
          <w:p w14:paraId="21522BFC">
            <w:pPr>
              <w:snapToGrid w:val="0"/>
              <w:jc w:val="center"/>
              <w:rPr>
                <w:rFonts w:hAnsiTheme="minorEastAsia" w:eastAsiaTheme="minorEastAsia"/>
                <w:b/>
                <w:color w:val="auto"/>
                <w:sz w:val="18"/>
                <w:szCs w:val="18"/>
              </w:rPr>
            </w:pPr>
          </w:p>
          <w:p w14:paraId="7BF12F03">
            <w:pPr>
              <w:snapToGrid w:val="0"/>
              <w:jc w:val="center"/>
              <w:rPr>
                <w:rFonts w:hAnsiTheme="minorEastAsia" w:eastAsiaTheme="minorEastAsia"/>
                <w:b/>
                <w:color w:val="auto"/>
                <w:sz w:val="18"/>
                <w:szCs w:val="18"/>
              </w:rPr>
            </w:pPr>
          </w:p>
          <w:p w14:paraId="45A45C51">
            <w:pPr>
              <w:snapToGrid w:val="0"/>
              <w:jc w:val="center"/>
              <w:rPr>
                <w:rFonts w:hAnsiTheme="minorEastAsia" w:eastAsiaTheme="minorEastAsia"/>
                <w:b/>
                <w:color w:val="auto"/>
                <w:sz w:val="18"/>
                <w:szCs w:val="18"/>
              </w:rPr>
            </w:pPr>
          </w:p>
          <w:p w14:paraId="0E1473FE">
            <w:pPr>
              <w:snapToGrid w:val="0"/>
              <w:jc w:val="center"/>
              <w:rPr>
                <w:rFonts w:hAnsiTheme="minorEastAsia" w:eastAsiaTheme="minorEastAsia"/>
                <w:b/>
                <w:color w:val="auto"/>
                <w:sz w:val="18"/>
                <w:szCs w:val="18"/>
              </w:rPr>
            </w:pPr>
          </w:p>
          <w:p w14:paraId="0EDD74EA">
            <w:pPr>
              <w:snapToGrid w:val="0"/>
              <w:jc w:val="center"/>
              <w:rPr>
                <w:rFonts w:hAnsiTheme="minorEastAsia" w:eastAsiaTheme="minorEastAsia"/>
                <w:b/>
                <w:color w:val="auto"/>
                <w:sz w:val="18"/>
                <w:szCs w:val="18"/>
              </w:rPr>
            </w:pPr>
          </w:p>
          <w:p w14:paraId="597343BF">
            <w:pPr>
              <w:snapToGrid w:val="0"/>
              <w:jc w:val="center"/>
              <w:rPr>
                <w:rFonts w:hAnsiTheme="minorEastAsia" w:eastAsiaTheme="minorEastAsia"/>
                <w:b/>
                <w:color w:val="auto"/>
                <w:sz w:val="18"/>
                <w:szCs w:val="18"/>
              </w:rPr>
            </w:pPr>
          </w:p>
          <w:p w14:paraId="550D8CDF">
            <w:pPr>
              <w:snapToGrid w:val="0"/>
              <w:jc w:val="center"/>
              <w:rPr>
                <w:rFonts w:hAnsiTheme="minorEastAsia" w:eastAsiaTheme="minorEastAsia"/>
                <w:b/>
                <w:color w:val="auto"/>
                <w:sz w:val="18"/>
                <w:szCs w:val="18"/>
              </w:rPr>
            </w:pPr>
          </w:p>
          <w:p w14:paraId="3A9C175E">
            <w:pPr>
              <w:snapToGrid w:val="0"/>
              <w:jc w:val="center"/>
              <w:rPr>
                <w:rFonts w:hAnsiTheme="minorEastAsia" w:eastAsiaTheme="minorEastAsia"/>
                <w:b/>
                <w:color w:val="auto"/>
                <w:sz w:val="18"/>
                <w:szCs w:val="18"/>
              </w:rPr>
            </w:pPr>
          </w:p>
          <w:p w14:paraId="270E7FC4">
            <w:pPr>
              <w:snapToGrid w:val="0"/>
              <w:jc w:val="center"/>
              <w:rPr>
                <w:rFonts w:hAnsiTheme="minorEastAsia" w:eastAsiaTheme="minorEastAsia"/>
                <w:b/>
                <w:color w:val="auto"/>
                <w:sz w:val="18"/>
                <w:szCs w:val="18"/>
              </w:rPr>
            </w:pPr>
            <w:r>
              <w:rPr>
                <w:rFonts w:hAnsiTheme="minorEastAsia" w:eastAsiaTheme="minorEastAsia"/>
                <w:b/>
                <w:color w:val="auto"/>
                <w:sz w:val="18"/>
                <w:szCs w:val="18"/>
              </w:rPr>
              <w:t>图</w:t>
            </w:r>
            <w:r>
              <w:rPr>
                <w:rFonts w:eastAsiaTheme="minorEastAsia"/>
                <w:b/>
                <w:color w:val="auto"/>
                <w:sz w:val="18"/>
                <w:szCs w:val="18"/>
              </w:rPr>
              <w:t xml:space="preserve">2-1  </w:t>
            </w:r>
            <w:r>
              <w:rPr>
                <w:rFonts w:hint="eastAsia" w:eastAsiaTheme="minorEastAsia"/>
                <w:b/>
                <w:color w:val="auto"/>
                <w:sz w:val="18"/>
                <w:szCs w:val="18"/>
              </w:rPr>
              <w:t xml:space="preserve">  </w:t>
            </w:r>
            <w:r>
              <w:rPr>
                <w:rFonts w:hAnsiTheme="minorEastAsia" w:eastAsiaTheme="minorEastAsia"/>
                <w:b/>
                <w:color w:val="auto"/>
                <w:sz w:val="18"/>
                <w:szCs w:val="18"/>
              </w:rPr>
              <w:t>本项目非采暖期水平衡图（</w:t>
            </w:r>
            <w:r>
              <w:rPr>
                <w:rFonts w:eastAsiaTheme="minorEastAsia"/>
                <w:b/>
                <w:color w:val="auto"/>
                <w:sz w:val="18"/>
                <w:szCs w:val="18"/>
              </w:rPr>
              <w:t>m</w:t>
            </w:r>
            <w:r>
              <w:rPr>
                <w:rFonts w:eastAsiaTheme="minorEastAsia"/>
                <w:b/>
                <w:color w:val="auto"/>
                <w:sz w:val="18"/>
                <w:szCs w:val="18"/>
                <w:vertAlign w:val="superscript"/>
              </w:rPr>
              <w:t>3</w:t>
            </w:r>
            <w:r>
              <w:rPr>
                <w:rFonts w:eastAsiaTheme="minorEastAsia"/>
                <w:b/>
                <w:color w:val="auto"/>
                <w:sz w:val="18"/>
                <w:szCs w:val="18"/>
              </w:rPr>
              <w:t>/d</w:t>
            </w:r>
            <w:r>
              <w:rPr>
                <w:rFonts w:hAnsiTheme="minorEastAsia" w:eastAsiaTheme="minorEastAsia"/>
                <w:b/>
                <w:color w:val="auto"/>
                <w:sz w:val="18"/>
                <w:szCs w:val="18"/>
              </w:rPr>
              <w:t>）</w:t>
            </w:r>
          </w:p>
          <w:p w14:paraId="48AE2266">
            <w:pPr>
              <w:snapToGrid w:val="0"/>
              <w:jc w:val="both"/>
              <w:rPr>
                <w:rFonts w:hAnsiTheme="minorEastAsia" w:eastAsiaTheme="minorEastAsia"/>
                <w:b/>
                <w:color w:val="auto"/>
                <w:sz w:val="18"/>
                <w:szCs w:val="18"/>
              </w:rPr>
            </w:pPr>
          </w:p>
          <w:p w14:paraId="6751A445">
            <w:pPr>
              <w:snapToGrid w:val="0"/>
              <w:jc w:val="both"/>
              <w:rPr>
                <w:rFonts w:hAnsiTheme="minorEastAsia" w:eastAsiaTheme="minorEastAsia"/>
                <w:b/>
                <w:color w:val="auto"/>
                <w:sz w:val="18"/>
                <w:szCs w:val="18"/>
              </w:rPr>
            </w:pPr>
          </w:p>
          <w:p w14:paraId="7100268D">
            <w:pPr>
              <w:snapToGrid w:val="0"/>
              <w:jc w:val="both"/>
              <w:rPr>
                <w:rFonts w:hAnsiTheme="minorEastAsia" w:eastAsiaTheme="minorEastAsia"/>
                <w:b/>
                <w:color w:val="auto"/>
                <w:sz w:val="18"/>
                <w:szCs w:val="18"/>
              </w:rPr>
            </w:pPr>
          </w:p>
          <w:p w14:paraId="556F445F">
            <w:pPr>
              <w:snapToGrid w:val="0"/>
              <w:jc w:val="both"/>
              <w:rPr>
                <w:rFonts w:hAnsiTheme="minorEastAsia" w:eastAsiaTheme="minorEastAsia"/>
                <w:b/>
                <w:color w:val="auto"/>
                <w:sz w:val="18"/>
                <w:szCs w:val="18"/>
              </w:rPr>
            </w:pPr>
          </w:p>
          <w:p w14:paraId="56FEFB43">
            <w:pPr>
              <w:snapToGrid w:val="0"/>
              <w:jc w:val="both"/>
              <w:rPr>
                <w:rFonts w:hAnsiTheme="minorEastAsia" w:eastAsiaTheme="minorEastAsia"/>
                <w:b/>
                <w:color w:val="auto"/>
                <w:sz w:val="18"/>
                <w:szCs w:val="18"/>
              </w:rPr>
            </w:pPr>
          </w:p>
          <w:p w14:paraId="732BD8DE">
            <w:pPr>
              <w:snapToGrid w:val="0"/>
              <w:jc w:val="both"/>
              <w:rPr>
                <w:rFonts w:hAnsiTheme="minorEastAsia" w:eastAsiaTheme="minorEastAsia"/>
                <w:b/>
                <w:color w:val="auto"/>
                <w:sz w:val="18"/>
                <w:szCs w:val="18"/>
              </w:rPr>
            </w:pPr>
          </w:p>
          <w:p w14:paraId="41671B16">
            <w:pPr>
              <w:snapToGrid w:val="0"/>
              <w:jc w:val="both"/>
              <w:rPr>
                <w:rFonts w:hAnsiTheme="minorEastAsia" w:eastAsiaTheme="minorEastAsia"/>
                <w:b/>
                <w:color w:val="auto"/>
                <w:sz w:val="18"/>
                <w:szCs w:val="18"/>
              </w:rPr>
            </w:pPr>
          </w:p>
          <w:p w14:paraId="0CC4EC8D">
            <w:pPr>
              <w:snapToGrid w:val="0"/>
              <w:jc w:val="both"/>
              <w:rPr>
                <w:rFonts w:hAnsiTheme="minorEastAsia" w:eastAsiaTheme="minorEastAsia"/>
                <w:b/>
                <w:color w:val="auto"/>
                <w:sz w:val="18"/>
                <w:szCs w:val="18"/>
              </w:rPr>
            </w:pPr>
          </w:p>
          <w:p w14:paraId="025768EF">
            <w:pPr>
              <w:snapToGrid w:val="0"/>
              <w:jc w:val="both"/>
              <w:rPr>
                <w:rFonts w:hAnsiTheme="minorEastAsia" w:eastAsiaTheme="minorEastAsia"/>
                <w:b/>
                <w:color w:val="auto"/>
                <w:sz w:val="18"/>
                <w:szCs w:val="18"/>
              </w:rPr>
            </w:pPr>
          </w:p>
          <w:p w14:paraId="1B1A8BD3">
            <w:pPr>
              <w:snapToGrid w:val="0"/>
              <w:jc w:val="both"/>
              <w:rPr>
                <w:rFonts w:hAnsiTheme="minorEastAsia" w:eastAsiaTheme="minorEastAsia"/>
                <w:b/>
                <w:color w:val="auto"/>
                <w:sz w:val="18"/>
                <w:szCs w:val="18"/>
              </w:rPr>
            </w:pPr>
          </w:p>
          <w:p w14:paraId="18A5CDCC">
            <w:pPr>
              <w:snapToGrid w:val="0"/>
              <w:jc w:val="both"/>
              <w:rPr>
                <w:rFonts w:hAnsiTheme="minorEastAsia" w:eastAsiaTheme="minorEastAsia"/>
                <w:b/>
                <w:color w:val="auto"/>
                <w:sz w:val="18"/>
                <w:szCs w:val="18"/>
              </w:rPr>
            </w:pPr>
          </w:p>
          <w:p w14:paraId="39C71FB8">
            <w:pPr>
              <w:snapToGrid w:val="0"/>
              <w:jc w:val="both"/>
              <w:rPr>
                <w:rFonts w:hAnsiTheme="minorEastAsia" w:eastAsiaTheme="minorEastAsia"/>
                <w:b/>
                <w:color w:val="auto"/>
                <w:sz w:val="18"/>
                <w:szCs w:val="18"/>
              </w:rPr>
            </w:pPr>
            <w:r>
              <w:rPr>
                <w:sz w:val="21"/>
              </w:rPr>
              <w:pict>
                <v:group id="_x0000_s2600" o:spid="_x0000_s2600" o:spt="203" style="position:absolute;left:0pt;margin-left:23.05pt;margin-top:7.3pt;height:470.85pt;width:347.65pt;z-index:251666432;mso-width-relative:page;mso-height-relative:page;" coordorigin="3883,233746" coordsize="6953,9417">
                  <o:lock v:ext="edit" aspectratio="f"/>
                  <v:rect id="_x0000_s2257" o:spid="_x0000_s2257" o:spt="1" style="position:absolute;left:3883;top:234226;height:800;width:976;" filled="f" stroked="f" coordsize="21600,21600">
                    <v:path/>
                    <v:fill on="f" focussize="0,0"/>
                    <v:stroke on="f"/>
                    <v:imagedata o:title=""/>
                    <o:lock v:ext="edit" aspectratio="f"/>
                    <v:textbox>
                      <w:txbxContent>
                        <w:p w14:paraId="57E664D6">
                          <w:pPr>
                            <w:jc w:val="center"/>
                            <w:rPr>
                              <w:rFonts w:hint="eastAsia"/>
                              <w:sz w:val="18"/>
                              <w:szCs w:val="18"/>
                            </w:rPr>
                          </w:pPr>
                          <w:r>
                            <w:rPr>
                              <w:rFonts w:hint="eastAsia"/>
                              <w:sz w:val="18"/>
                              <w:szCs w:val="18"/>
                            </w:rPr>
                            <w:t>新</w:t>
                          </w:r>
                          <w:r>
                            <w:rPr>
                              <w:rFonts w:hint="eastAsia"/>
                              <w:sz w:val="18"/>
                              <w:szCs w:val="18"/>
                              <w:lang w:val="en-US" w:eastAsia="zh-CN"/>
                            </w:rPr>
                            <w:t>鲜</w:t>
                          </w:r>
                          <w:r>
                            <w:rPr>
                              <w:rFonts w:hint="eastAsia"/>
                              <w:sz w:val="18"/>
                              <w:szCs w:val="18"/>
                            </w:rPr>
                            <w:t>水</w:t>
                          </w:r>
                        </w:p>
                        <w:p w14:paraId="3425BD96">
                          <w:pPr>
                            <w:jc w:val="center"/>
                            <w:rPr>
                              <w:rFonts w:hint="default" w:eastAsia="宋体"/>
                              <w:sz w:val="18"/>
                              <w:szCs w:val="18"/>
                              <w:lang w:val="en-US" w:eastAsia="zh-CN"/>
                            </w:rPr>
                          </w:pPr>
                          <w:r>
                            <w:rPr>
                              <w:rFonts w:hint="eastAsia"/>
                              <w:sz w:val="18"/>
                              <w:szCs w:val="18"/>
                              <w:lang w:val="en-US" w:eastAsia="zh-CN"/>
                            </w:rPr>
                            <w:t>220.59</w:t>
                          </w:r>
                        </w:p>
                      </w:txbxContent>
                    </v:textbox>
                  </v:rect>
                  <v:shape id="_x0000_s2258" o:spid="_x0000_s2258" o:spt="32" type="#_x0000_t32" style="position:absolute;left:4681;top:234250;height:0;width:739;" filled="f" stroked="t" coordsize="21600,21600">
                    <v:path arrowok="t"/>
                    <v:fill on="f" focussize="0,0"/>
                    <v:stroke color="#000000" endarrow="block"/>
                    <v:imagedata o:title=""/>
                    <o:lock v:ext="edit" aspectratio="f"/>
                  </v:shape>
                  <v:rect id="_x0000_s2259" o:spid="_x0000_s2259" o:spt="1" style="position:absolute;left:5418;top:234099;height:388;width:1164;" fillcolor="#FFFFFF" filled="t" stroked="t" coordsize="21600,21600">
                    <v:path/>
                    <v:fill on="t" color2="#FFFFFF" focussize="0,0"/>
                    <v:stroke color="#000000" joinstyle="miter"/>
                    <v:imagedata o:title=""/>
                    <o:lock v:ext="edit" aspectratio="f"/>
                    <v:textbox>
                      <w:txbxContent>
                        <w:p w14:paraId="46F2C664">
                          <w:pPr>
                            <w:jc w:val="center"/>
                            <w:rPr>
                              <w:rFonts w:hint="default" w:eastAsia="宋体"/>
                              <w:sz w:val="18"/>
                              <w:szCs w:val="18"/>
                              <w:lang w:val="en-US" w:eastAsia="zh-CN"/>
                            </w:rPr>
                          </w:pPr>
                          <w:r>
                            <w:rPr>
                              <w:rFonts w:hint="eastAsia"/>
                              <w:sz w:val="18"/>
                              <w:szCs w:val="18"/>
                              <w:lang w:val="en-US" w:eastAsia="zh-CN"/>
                            </w:rPr>
                            <w:t>住院病房</w:t>
                          </w:r>
                        </w:p>
                      </w:txbxContent>
                    </v:textbox>
                  </v:rect>
                  <v:rect id="_x0000_s2260" o:spid="_x0000_s2260" o:spt="1" style="position:absolute;left:6024;top:233746;height:325;width:633;" filled="f" stroked="f" coordsize="21600,21600">
                    <v:path/>
                    <v:fill on="f" focussize="0,0"/>
                    <v:stroke on="f"/>
                    <v:imagedata o:title=""/>
                    <o:lock v:ext="edit" aspectratio="f"/>
                    <v:textbox>
                      <w:txbxContent>
                        <w:p w14:paraId="1DE22B25">
                          <w:pPr>
                            <w:jc w:val="center"/>
                            <w:rPr>
                              <w:rFonts w:hint="default" w:eastAsia="宋体"/>
                              <w:sz w:val="18"/>
                              <w:szCs w:val="18"/>
                              <w:lang w:val="en-US" w:eastAsia="zh-CN"/>
                            </w:rPr>
                          </w:pPr>
                          <w:r>
                            <w:rPr>
                              <w:rFonts w:hint="eastAsia"/>
                              <w:sz w:val="18"/>
                              <w:szCs w:val="18"/>
                              <w:lang w:val="en-US" w:eastAsia="zh-CN"/>
                            </w:rPr>
                            <w:t>23.6</w:t>
                          </w:r>
                        </w:p>
                      </w:txbxContent>
                    </v:textbox>
                  </v:rect>
                  <v:shape id="_x0000_s2261" o:spid="_x0000_s2261" o:spt="38" type="#_x0000_t38" style="position:absolute;left:5904;top:233920;flip:y;height:167;width:255;" filled="f" stroked="t" coordsize="21600,21600" adj="10758">
                    <v:path arrowok="t"/>
                    <v:fill on="f" focussize="0,0"/>
                    <v:stroke color="#000000" endarrow="block"/>
                    <v:imagedata o:title=""/>
                    <o:lock v:ext="edit" aspectratio="f"/>
                  </v:shape>
                  <v:shape id="_x0000_s2262" o:spid="_x0000_s2262" o:spt="32" type="#_x0000_t32" style="position:absolute;left:4678;top:234243;height:6262;width:13;" filled="f" stroked="t" coordsize="21600,21600">
                    <v:path arrowok="t"/>
                    <v:fill on="f" focussize="0,0"/>
                    <v:stroke color="#000000"/>
                    <v:imagedata o:title=""/>
                    <o:lock v:ext="edit" aspectratio="f"/>
                  </v:shape>
                  <v:shape id="_x0000_s2264" o:spid="_x0000_s2264" o:spt="32" type="#_x0000_t32" style="position:absolute;left:6582;top:234250;height:4;width:3060;" filled="f" stroked="t" coordsize="21600,21600">
                    <v:path arrowok="t"/>
                    <v:fill on="f" focussize="0,0"/>
                    <v:stroke color="#000000" endarrow="block"/>
                    <v:imagedata o:title=""/>
                    <o:lock v:ext="edit" aspectratio="f"/>
                  </v:shape>
                  <v:rect id="_x0000_s2265" o:spid="_x0000_s2265" o:spt="1" style="position:absolute;left:6793;top:233960;height:364;width:625;" filled="f" stroked="f" coordsize="21600,21600">
                    <v:path/>
                    <v:fill on="f" focussize="0,0"/>
                    <v:stroke on="f"/>
                    <v:imagedata o:title=""/>
                    <o:lock v:ext="edit" aspectratio="f"/>
                    <v:textbox>
                      <w:txbxContent>
                        <w:p w14:paraId="4D60F3B1">
                          <w:pPr>
                            <w:jc w:val="center"/>
                            <w:rPr>
                              <w:rFonts w:hint="default" w:eastAsia="宋体"/>
                              <w:sz w:val="18"/>
                              <w:szCs w:val="18"/>
                              <w:lang w:val="en-US" w:eastAsia="zh-CN"/>
                            </w:rPr>
                          </w:pPr>
                          <w:r>
                            <w:rPr>
                              <w:rFonts w:hint="eastAsia"/>
                              <w:sz w:val="18"/>
                              <w:szCs w:val="18"/>
                              <w:lang w:val="en-US" w:eastAsia="zh-CN"/>
                            </w:rPr>
                            <w:t>94.4</w:t>
                          </w:r>
                        </w:p>
                      </w:txbxContent>
                    </v:textbox>
                  </v:rect>
                  <v:rect id="_x0000_s2268" o:spid="_x0000_s2268" o:spt="1" style="position:absolute;left:4661;top:233947;height:363;width:764;" filled="f" stroked="f" coordsize="21600,21600">
                    <v:path/>
                    <v:fill on="f" focussize="0,0"/>
                    <v:stroke on="f"/>
                    <v:imagedata o:title=""/>
                    <o:lock v:ext="edit" aspectratio="f"/>
                    <v:textbox>
                      <w:txbxContent>
                        <w:p w14:paraId="59A11547">
                          <w:pPr>
                            <w:jc w:val="center"/>
                            <w:rPr>
                              <w:rFonts w:hint="default" w:eastAsia="宋体"/>
                              <w:sz w:val="18"/>
                              <w:szCs w:val="18"/>
                              <w:lang w:val="en-US" w:eastAsia="zh-CN"/>
                            </w:rPr>
                          </w:pPr>
                          <w:r>
                            <w:rPr>
                              <w:rFonts w:hint="eastAsia"/>
                              <w:sz w:val="18"/>
                              <w:szCs w:val="18"/>
                              <w:lang w:val="en-US" w:eastAsia="zh-CN"/>
                            </w:rPr>
                            <w:t>118</w:t>
                          </w:r>
                        </w:p>
                      </w:txbxContent>
                    </v:textbox>
                  </v:rect>
                  <v:rect id="_x0000_s2273" o:spid="_x0000_s2273" o:spt="1" style="position:absolute;left:4664;top:234825;height:363;width:764;" filled="f" stroked="f" coordsize="21600,21600">
                    <v:path/>
                    <v:fill on="f" focussize="0,0"/>
                    <v:stroke on="f"/>
                    <v:imagedata o:title=""/>
                    <o:lock v:ext="edit" aspectratio="f"/>
                    <v:textbox>
                      <w:txbxContent>
                        <w:p w14:paraId="0AAE6B4C">
                          <w:pPr>
                            <w:jc w:val="center"/>
                            <w:rPr>
                              <w:rFonts w:hint="default" w:eastAsia="宋体"/>
                              <w:sz w:val="18"/>
                              <w:szCs w:val="18"/>
                              <w:lang w:val="en-US" w:eastAsia="zh-CN"/>
                            </w:rPr>
                          </w:pPr>
                          <w:r>
                            <w:rPr>
                              <w:rFonts w:hint="eastAsia"/>
                              <w:sz w:val="18"/>
                              <w:szCs w:val="18"/>
                              <w:lang w:val="en-US" w:eastAsia="zh-CN"/>
                            </w:rPr>
                            <w:t>3.0</w:t>
                          </w:r>
                        </w:p>
                      </w:txbxContent>
                    </v:textbox>
                  </v:rect>
                  <v:shape id="_x0000_s2275" o:spid="_x0000_s2275" o:spt="32" type="#_x0000_t32" style="position:absolute;left:4669;top:235128;height:0;width:739;" filled="f" stroked="t" coordsize="21600,21600">
                    <v:path arrowok="t"/>
                    <v:fill on="f" focussize="0,0"/>
                    <v:stroke color="#000000" endarrow="block"/>
                    <v:imagedata o:title=""/>
                    <o:lock v:ext="edit" aspectratio="f"/>
                  </v:shape>
                  <v:rect id="_x0000_s2276" o:spid="_x0000_s2276" o:spt="1" style="position:absolute;left:5406;top:234977;height:388;width:1164;" fillcolor="#FFFFFF" filled="t" stroked="t" coordsize="21600,21600">
                    <v:path/>
                    <v:fill on="t" color2="#FFFFFF" focussize="0,0"/>
                    <v:stroke color="#000000" joinstyle="miter"/>
                    <v:imagedata o:title=""/>
                    <o:lock v:ext="edit" aspectratio="f"/>
                    <v:textbox>
                      <w:txbxContent>
                        <w:p w14:paraId="0027BB22">
                          <w:pPr>
                            <w:jc w:val="center"/>
                            <w:rPr>
                              <w:rFonts w:hint="default" w:eastAsia="宋体"/>
                              <w:sz w:val="18"/>
                              <w:szCs w:val="18"/>
                              <w:lang w:val="en-US" w:eastAsia="zh-CN"/>
                            </w:rPr>
                          </w:pPr>
                          <w:r>
                            <w:rPr>
                              <w:rFonts w:hint="eastAsia"/>
                              <w:sz w:val="18"/>
                              <w:szCs w:val="18"/>
                              <w:lang w:val="en-US" w:eastAsia="zh-CN"/>
                            </w:rPr>
                            <w:t>门诊</w:t>
                          </w:r>
                        </w:p>
                      </w:txbxContent>
                    </v:textbox>
                  </v:rect>
                  <v:rect id="_x0000_s2277" o:spid="_x0000_s2277" o:spt="1" style="position:absolute;left:6026;top:234599;height:325;width:647;" filled="f" stroked="f" coordsize="21600,21600">
                    <v:path/>
                    <v:fill on="f" focussize="0,0"/>
                    <v:stroke on="f"/>
                    <v:imagedata o:title=""/>
                    <o:lock v:ext="edit" aspectratio="f"/>
                    <v:textbox>
                      <w:txbxContent>
                        <w:p w14:paraId="7849E430">
                          <w:pPr>
                            <w:jc w:val="center"/>
                            <w:rPr>
                              <w:rFonts w:hint="default" w:eastAsia="宋体"/>
                              <w:sz w:val="18"/>
                              <w:szCs w:val="18"/>
                              <w:lang w:val="en-US" w:eastAsia="zh-CN"/>
                            </w:rPr>
                          </w:pPr>
                          <w:r>
                            <w:rPr>
                              <w:rFonts w:hint="eastAsia"/>
                              <w:sz w:val="18"/>
                              <w:szCs w:val="18"/>
                              <w:lang w:val="en-US" w:eastAsia="zh-CN"/>
                            </w:rPr>
                            <w:t>0.6</w:t>
                          </w:r>
                        </w:p>
                      </w:txbxContent>
                    </v:textbox>
                  </v:rect>
                  <v:shape id="_x0000_s2278" o:spid="_x0000_s2278" o:spt="38" type="#_x0000_t38" style="position:absolute;left:5892;top:234797;flip:y;height:167;width:255;" filled="f" stroked="t" coordsize="21600,21600" adj="10758">
                    <v:path arrowok="t"/>
                    <v:fill on="f" focussize="0,0"/>
                    <v:stroke color="#000000" endarrow="block"/>
                    <v:imagedata o:title=""/>
                    <o:lock v:ext="edit" aspectratio="f"/>
                  </v:shape>
                  <v:shape id="_x0000_s2279" o:spid="_x0000_s2279" o:spt="32" type="#_x0000_t32" style="position:absolute;left:6570;top:235124;flip:y;height:4;width:3030;" filled="f" stroked="t" coordsize="21600,21600">
                    <v:path arrowok="t"/>
                    <v:fill on="f" focussize="0,0"/>
                    <v:stroke color="#000000" endarrow="block"/>
                    <v:imagedata o:title=""/>
                    <o:lock v:ext="edit" aspectratio="f"/>
                  </v:shape>
                  <v:rect id="_x0000_s2280" o:spid="_x0000_s2280" o:spt="1" style="position:absolute;left:6781;top:234837;height:364;width:625;" filled="f" stroked="f" coordsize="21600,21600">
                    <v:path/>
                    <v:fill on="f" focussize="0,0"/>
                    <v:stroke on="f"/>
                    <v:imagedata o:title=""/>
                    <o:lock v:ext="edit" aspectratio="f"/>
                    <v:textbox>
                      <w:txbxContent>
                        <w:p w14:paraId="3B1FCB45">
                          <w:pPr>
                            <w:jc w:val="center"/>
                            <w:rPr>
                              <w:rFonts w:hint="default" w:eastAsia="宋体"/>
                              <w:sz w:val="18"/>
                              <w:szCs w:val="18"/>
                              <w:lang w:val="en-US" w:eastAsia="zh-CN"/>
                            </w:rPr>
                          </w:pPr>
                          <w:r>
                            <w:rPr>
                              <w:rFonts w:hint="eastAsia"/>
                              <w:sz w:val="18"/>
                              <w:szCs w:val="18"/>
                              <w:lang w:val="en-US" w:eastAsia="zh-CN"/>
                            </w:rPr>
                            <w:t>2.4</w:t>
                          </w:r>
                        </w:p>
                      </w:txbxContent>
                    </v:textbox>
                  </v:rect>
                  <v:shape id="_x0000_s2282" o:spid="_x0000_s2282" o:spt="32" type="#_x0000_t32" style="position:absolute;left:4730;top:236043;height:0;width:739;" filled="f" stroked="t" coordsize="21600,21600">
                    <v:path arrowok="t"/>
                    <v:fill on="f" focussize="0,0"/>
                    <v:stroke color="#000000" endarrow="block"/>
                    <v:imagedata o:title=""/>
                    <o:lock v:ext="edit" aspectratio="f"/>
                  </v:shape>
                  <v:rect id="_x0000_s2283" o:spid="_x0000_s2283" o:spt="1" style="position:absolute;left:5467;top:235892;height:388;width:1164;" fillcolor="#FFFFFF" filled="t" stroked="t" coordsize="21600,21600">
                    <v:path/>
                    <v:fill on="t" color2="#FFFFFF" focussize="0,0"/>
                    <v:stroke color="#000000" joinstyle="miter"/>
                    <v:imagedata o:title=""/>
                    <o:lock v:ext="edit" aspectratio="f"/>
                    <v:textbox>
                      <w:txbxContent>
                        <w:p w14:paraId="05505696">
                          <w:pPr>
                            <w:jc w:val="center"/>
                            <w:rPr>
                              <w:rFonts w:hint="default" w:eastAsia="宋体"/>
                              <w:sz w:val="18"/>
                              <w:szCs w:val="18"/>
                              <w:lang w:val="en-US" w:eastAsia="zh-CN"/>
                            </w:rPr>
                          </w:pPr>
                          <w:r>
                            <w:rPr>
                              <w:rFonts w:hint="eastAsia"/>
                              <w:sz w:val="18"/>
                              <w:szCs w:val="18"/>
                              <w:lang w:val="en-US" w:eastAsia="zh-CN"/>
                            </w:rPr>
                            <w:t>护理康养</w:t>
                          </w:r>
                        </w:p>
                      </w:txbxContent>
                    </v:textbox>
                  </v:rect>
                  <v:rect id="_x0000_s2284" o:spid="_x0000_s2284" o:spt="1" style="position:absolute;left:6110;top:235466;height:325;width:658;" filled="f" stroked="f" coordsize="21600,21600">
                    <v:path/>
                    <v:fill on="f" focussize="0,0"/>
                    <v:stroke on="f"/>
                    <v:imagedata o:title=""/>
                    <o:lock v:ext="edit" aspectratio="f"/>
                    <v:textbox>
                      <w:txbxContent>
                        <w:p w14:paraId="35AC9FAC">
                          <w:pPr>
                            <w:rPr>
                              <w:rFonts w:hint="default" w:eastAsia="宋体"/>
                              <w:sz w:val="18"/>
                              <w:szCs w:val="18"/>
                              <w:lang w:val="en-US" w:eastAsia="zh-CN"/>
                            </w:rPr>
                          </w:pPr>
                          <w:r>
                            <w:rPr>
                              <w:rFonts w:hint="eastAsia"/>
                              <w:sz w:val="18"/>
                              <w:szCs w:val="18"/>
                              <w:lang w:val="en-US" w:eastAsia="zh-CN"/>
                            </w:rPr>
                            <w:t>7.46</w:t>
                          </w:r>
                        </w:p>
                      </w:txbxContent>
                    </v:textbox>
                  </v:rect>
                  <v:shape id="_x0000_s2285" o:spid="_x0000_s2285" o:spt="38" type="#_x0000_t38" style="position:absolute;left:5953;top:235712;flip:y;height:167;width:255;" filled="f" stroked="t" coordsize="21600,21600" adj="10758">
                    <v:path arrowok="t"/>
                    <v:fill on="f" focussize="0,0"/>
                    <v:stroke color="#000000" endarrow="block"/>
                    <v:imagedata o:title=""/>
                    <o:lock v:ext="edit" aspectratio="f"/>
                  </v:shape>
                  <v:shape id="_x0000_s2286" o:spid="_x0000_s2286" o:spt="32" type="#_x0000_t32" style="position:absolute;left:6631;top:236043;height:12;width:1037;" filled="f" stroked="t" coordsize="21600,21600">
                    <v:path arrowok="t"/>
                    <v:fill on="f" focussize="0,0"/>
                    <v:stroke color="#000000" endarrow="block"/>
                    <v:imagedata o:title=""/>
                    <o:lock v:ext="edit" aspectratio="f"/>
                  </v:shape>
                  <v:rect id="_x0000_s2287" o:spid="_x0000_s2287" o:spt="1" style="position:absolute;left:6733;top:235752;height:364;width:734;" filled="f" stroked="f" coordsize="21600,21600">
                    <v:path/>
                    <v:fill on="f" focussize="0,0"/>
                    <v:stroke on="f"/>
                    <v:imagedata o:title=""/>
                    <o:lock v:ext="edit" aspectratio="f"/>
                    <v:textbox>
                      <w:txbxContent>
                        <w:p w14:paraId="7940B496">
                          <w:pPr>
                            <w:jc w:val="center"/>
                            <w:rPr>
                              <w:rFonts w:hint="default" w:eastAsia="宋体"/>
                              <w:sz w:val="18"/>
                              <w:szCs w:val="18"/>
                              <w:lang w:val="en-US" w:eastAsia="zh-CN"/>
                            </w:rPr>
                          </w:pPr>
                          <w:r>
                            <w:rPr>
                              <w:rFonts w:hint="eastAsia"/>
                              <w:sz w:val="18"/>
                              <w:szCs w:val="18"/>
                              <w:lang w:val="en-US" w:eastAsia="zh-CN"/>
                            </w:rPr>
                            <w:t>29.86</w:t>
                          </w:r>
                        </w:p>
                      </w:txbxContent>
                    </v:textbox>
                  </v:rect>
                  <v:rect id="_x0000_s2288" o:spid="_x0000_s2288" o:spt="1" style="position:absolute;left:4701;top:235739;height:363;width:764;" filled="f" stroked="f" coordsize="21600,21600">
                    <v:path/>
                    <v:fill on="f" focussize="0,0"/>
                    <v:stroke on="f"/>
                    <v:imagedata o:title=""/>
                    <o:lock v:ext="edit" aspectratio="f"/>
                    <v:textbox>
                      <w:txbxContent>
                        <w:p w14:paraId="635B3E79">
                          <w:pPr>
                            <w:jc w:val="center"/>
                            <w:rPr>
                              <w:rFonts w:hint="default" w:eastAsia="宋体"/>
                              <w:sz w:val="18"/>
                              <w:szCs w:val="18"/>
                              <w:lang w:val="en-US" w:eastAsia="zh-CN"/>
                            </w:rPr>
                          </w:pPr>
                          <w:r>
                            <w:rPr>
                              <w:rFonts w:hint="eastAsia"/>
                              <w:sz w:val="18"/>
                              <w:szCs w:val="18"/>
                              <w:lang w:val="en-US" w:eastAsia="zh-CN"/>
                            </w:rPr>
                            <w:t>37.32</w:t>
                          </w:r>
                        </w:p>
                      </w:txbxContent>
                    </v:textbox>
                  </v:rect>
                  <v:shape id="_x0000_s2289" o:spid="_x0000_s2289" o:spt="32" type="#_x0000_t32" style="position:absolute;left:4681;top:236933;height:0;width:739;" filled="f" stroked="t" coordsize="21600,21600">
                    <v:path arrowok="t"/>
                    <v:fill on="f" focussize="0,0"/>
                    <v:stroke color="#000000" endarrow="block"/>
                    <v:imagedata o:title=""/>
                    <o:lock v:ext="edit" aspectratio="f"/>
                  </v:shape>
                  <v:rect id="_x0000_s2290" o:spid="_x0000_s2290" o:spt="1" style="position:absolute;left:5418;top:236782;height:388;width:1164;" fillcolor="#FFFFFF" filled="t" stroked="t" coordsize="21600,21600">
                    <v:path/>
                    <v:fill on="t" color2="#FFFFFF" focussize="0,0"/>
                    <v:stroke color="#000000" joinstyle="miter"/>
                    <v:imagedata o:title=""/>
                    <o:lock v:ext="edit" aspectratio="f"/>
                    <v:textbox>
                      <w:txbxContent>
                        <w:p w14:paraId="18F1D2CB">
                          <w:pPr>
                            <w:jc w:val="center"/>
                            <w:rPr>
                              <w:rFonts w:hint="default" w:eastAsia="宋体"/>
                              <w:sz w:val="18"/>
                              <w:szCs w:val="18"/>
                              <w:lang w:val="en-US" w:eastAsia="zh-CN"/>
                            </w:rPr>
                          </w:pPr>
                          <w:r>
                            <w:rPr>
                              <w:rFonts w:hint="eastAsia"/>
                              <w:sz w:val="18"/>
                              <w:szCs w:val="18"/>
                              <w:lang w:val="en-US" w:eastAsia="zh-CN"/>
                            </w:rPr>
                            <w:t>医护办公</w:t>
                          </w:r>
                        </w:p>
                      </w:txbxContent>
                    </v:textbox>
                  </v:rect>
                  <v:rect id="_x0000_s2291" o:spid="_x0000_s2291" o:spt="1" style="position:absolute;left:6183;top:236356;height:325;width:536;" filled="f" stroked="f" coordsize="21600,21600">
                    <v:path/>
                    <v:fill on="f" focussize="0,0"/>
                    <v:stroke on="f"/>
                    <v:imagedata o:title=""/>
                    <o:lock v:ext="edit" aspectratio="f"/>
                    <v:textbox>
                      <w:txbxContent>
                        <w:p w14:paraId="7C03300D">
                          <w:pPr>
                            <w:rPr>
                              <w:rFonts w:hint="default" w:eastAsia="宋体"/>
                              <w:sz w:val="18"/>
                              <w:szCs w:val="18"/>
                              <w:lang w:val="en-US" w:eastAsia="zh-CN"/>
                            </w:rPr>
                          </w:pPr>
                          <w:r>
                            <w:rPr>
                              <w:rFonts w:hint="eastAsia"/>
                              <w:sz w:val="18"/>
                              <w:szCs w:val="18"/>
                              <w:lang w:val="en-US" w:eastAsia="zh-CN"/>
                            </w:rPr>
                            <w:t>7.6</w:t>
                          </w:r>
                        </w:p>
                      </w:txbxContent>
                    </v:textbox>
                  </v:rect>
                  <v:shape id="_x0000_s2292" o:spid="_x0000_s2292" o:spt="38" type="#_x0000_t38" style="position:absolute;left:5904;top:236602;flip:y;height:167;width:255;" filled="f" stroked="t" coordsize="21600,21600" adj="10758">
                    <v:path arrowok="t"/>
                    <v:fill on="f" focussize="0,0"/>
                    <v:stroke color="#000000" endarrow="block"/>
                    <v:imagedata o:title=""/>
                    <o:lock v:ext="edit" aspectratio="f"/>
                  </v:shape>
                  <v:shape id="_x0000_s2294" o:spid="_x0000_s2294" o:spt="32" type="#_x0000_t32" style="position:absolute;left:6582;top:236933;height:12;width:1037;" filled="f" stroked="t" coordsize="21600,21600">
                    <v:path arrowok="t"/>
                    <v:fill on="f" focussize="0,0"/>
                    <v:stroke color="#000000" endarrow="block"/>
                    <v:imagedata o:title=""/>
                    <o:lock v:ext="edit" aspectratio="f"/>
                  </v:shape>
                  <v:rect id="_x0000_s2295" o:spid="_x0000_s2295" o:spt="1" style="position:absolute;left:6793;top:236642;height:364;width:625;" filled="f" stroked="f" coordsize="21600,21600">
                    <v:path/>
                    <v:fill on="f" focussize="0,0"/>
                    <v:stroke on="f"/>
                    <v:imagedata o:title=""/>
                    <o:lock v:ext="edit" aspectratio="f"/>
                    <v:textbox>
                      <w:txbxContent>
                        <w:p w14:paraId="32A69C1B">
                          <w:pPr>
                            <w:jc w:val="center"/>
                            <w:rPr>
                              <w:rFonts w:hint="default" w:eastAsia="宋体"/>
                              <w:sz w:val="18"/>
                              <w:szCs w:val="18"/>
                              <w:lang w:val="en-US" w:eastAsia="zh-CN"/>
                            </w:rPr>
                          </w:pPr>
                          <w:r>
                            <w:rPr>
                              <w:rFonts w:hint="eastAsia"/>
                              <w:sz w:val="18"/>
                              <w:szCs w:val="18"/>
                              <w:lang w:val="en-US" w:eastAsia="zh-CN"/>
                            </w:rPr>
                            <w:t>30.4</w:t>
                          </w:r>
                        </w:p>
                      </w:txbxContent>
                    </v:textbox>
                  </v:rect>
                  <v:rect id="_x0000_s2296" o:spid="_x0000_s2296" o:spt="1" style="position:absolute;left:4706;top:236629;height:363;width:764;" filled="f" stroked="f" coordsize="21600,21600">
                    <v:path/>
                    <v:fill on="f" focussize="0,0"/>
                    <v:stroke on="f"/>
                    <v:imagedata o:title=""/>
                    <o:lock v:ext="edit" aspectratio="f"/>
                    <v:textbox>
                      <w:txbxContent>
                        <w:p w14:paraId="39E68020">
                          <w:pPr>
                            <w:jc w:val="center"/>
                            <w:rPr>
                              <w:rFonts w:hint="default" w:eastAsia="宋体"/>
                              <w:sz w:val="18"/>
                              <w:szCs w:val="18"/>
                              <w:lang w:val="en-US" w:eastAsia="zh-CN"/>
                            </w:rPr>
                          </w:pPr>
                          <w:r>
                            <w:rPr>
                              <w:rFonts w:hint="eastAsia"/>
                              <w:sz w:val="18"/>
                              <w:szCs w:val="18"/>
                              <w:lang w:val="en-US" w:eastAsia="zh-CN"/>
                            </w:rPr>
                            <w:t>38</w:t>
                          </w:r>
                        </w:p>
                      </w:txbxContent>
                    </v:textbox>
                  </v:rect>
                  <v:shape id="_x0000_s2297" o:spid="_x0000_s2297" o:spt="32" type="#_x0000_t32" style="position:absolute;left:4672;top:237816;height:0;width:739;" filled="f" stroked="t" coordsize="21600,21600">
                    <v:path arrowok="t"/>
                    <v:fill on="f" focussize="0,0"/>
                    <v:stroke color="#000000" endarrow="block"/>
                    <v:imagedata o:title=""/>
                    <o:lock v:ext="edit" aspectratio="f"/>
                  </v:shape>
                  <v:rect id="_x0000_s2298" o:spid="_x0000_s2298" o:spt="1" style="position:absolute;left:5409;top:237665;height:388;width:1164;" fillcolor="#FFFFFF" filled="t" stroked="t" coordsize="21600,21600">
                    <v:path/>
                    <v:fill on="t" color2="#FFFFFF" focussize="0,0"/>
                    <v:stroke color="#000000" joinstyle="miter"/>
                    <v:imagedata o:title=""/>
                    <o:lock v:ext="edit" aspectratio="f"/>
                    <v:textbox>
                      <w:txbxContent>
                        <w:p w14:paraId="02C9243C">
                          <w:pPr>
                            <w:jc w:val="center"/>
                            <w:rPr>
                              <w:rFonts w:hint="default" w:eastAsia="宋体"/>
                              <w:sz w:val="18"/>
                              <w:szCs w:val="18"/>
                              <w:lang w:val="en-US" w:eastAsia="zh-CN"/>
                            </w:rPr>
                          </w:pPr>
                          <w:r>
                            <w:rPr>
                              <w:rFonts w:hint="eastAsia"/>
                              <w:sz w:val="18"/>
                              <w:szCs w:val="18"/>
                              <w:lang w:val="en-US" w:eastAsia="zh-CN"/>
                            </w:rPr>
                            <w:t>行政办公</w:t>
                          </w:r>
                        </w:p>
                      </w:txbxContent>
                    </v:textbox>
                  </v:rect>
                  <v:rect id="_x0000_s2299" o:spid="_x0000_s2299" o:spt="1" style="position:absolute;left:6174;top:237239;height:325;width:619;" filled="f" stroked="f" coordsize="21600,21600">
                    <v:path/>
                    <v:fill on="f" focussize="0,0"/>
                    <v:stroke on="f"/>
                    <v:imagedata o:title=""/>
                    <o:lock v:ext="edit" aspectratio="f"/>
                    <v:textbox>
                      <w:txbxContent>
                        <w:p w14:paraId="32FC76C6">
                          <w:pPr>
                            <w:rPr>
                              <w:rFonts w:hint="default" w:eastAsia="宋体"/>
                              <w:sz w:val="18"/>
                              <w:szCs w:val="18"/>
                              <w:lang w:val="en-US" w:eastAsia="zh-CN"/>
                            </w:rPr>
                          </w:pPr>
                          <w:r>
                            <w:rPr>
                              <w:rFonts w:hint="eastAsia"/>
                              <w:sz w:val="18"/>
                              <w:szCs w:val="18"/>
                              <w:lang w:val="en-US" w:eastAsia="zh-CN"/>
                            </w:rPr>
                            <w:t>1.57</w:t>
                          </w:r>
                        </w:p>
                      </w:txbxContent>
                    </v:textbox>
                  </v:rect>
                  <v:shape id="_x0000_s2300" o:spid="_x0000_s2300" o:spt="38" type="#_x0000_t38" style="position:absolute;left:5895;top:237485;flip:y;height:167;width:255;" filled="f" stroked="t" coordsize="21600,21600" adj="10758">
                    <v:path arrowok="t"/>
                    <v:fill on="f" focussize="0,0"/>
                    <v:stroke color="#000000" endarrow="block"/>
                    <v:imagedata o:title=""/>
                    <o:lock v:ext="edit" aspectratio="f"/>
                  </v:shape>
                  <v:shape id="_x0000_s2301" o:spid="_x0000_s2301" o:spt="32" type="#_x0000_t32" style="position:absolute;left:6573;top:237816;height:12;width:1037;" filled="f" stroked="t" coordsize="21600,21600">
                    <v:path arrowok="t"/>
                    <v:fill on="f" focussize="0,0"/>
                    <v:stroke color="#000000" endarrow="block"/>
                    <v:imagedata o:title=""/>
                    <o:lock v:ext="edit" aspectratio="f"/>
                  </v:shape>
                  <v:rect id="_x0000_s2303" o:spid="_x0000_s2303" o:spt="1" style="position:absolute;left:6784;top:237525;height:364;width:625;" filled="f" stroked="f" coordsize="21600,21600">
                    <v:path/>
                    <v:fill on="f" focussize="0,0"/>
                    <v:stroke on="f"/>
                    <v:imagedata o:title=""/>
                    <o:lock v:ext="edit" aspectratio="f"/>
                    <v:textbox>
                      <w:txbxContent>
                        <w:p w14:paraId="7F806A66">
                          <w:pPr>
                            <w:jc w:val="center"/>
                            <w:rPr>
                              <w:rFonts w:hint="default" w:eastAsia="宋体"/>
                              <w:sz w:val="18"/>
                              <w:szCs w:val="18"/>
                              <w:lang w:val="en-US" w:eastAsia="zh-CN"/>
                            </w:rPr>
                          </w:pPr>
                          <w:r>
                            <w:rPr>
                              <w:rFonts w:hint="eastAsia"/>
                              <w:sz w:val="18"/>
                              <w:szCs w:val="18"/>
                              <w:lang w:val="en-US" w:eastAsia="zh-CN"/>
                            </w:rPr>
                            <w:t>6.14</w:t>
                          </w:r>
                        </w:p>
                      </w:txbxContent>
                    </v:textbox>
                  </v:rect>
                  <v:rect id="_x0000_s2304" o:spid="_x0000_s2304" o:spt="1" style="position:absolute;left:4697;top:237512;height:363;width:764;" filled="f" stroked="f" coordsize="21600,21600">
                    <v:path/>
                    <v:fill on="f" focussize="0,0"/>
                    <v:stroke on="f"/>
                    <v:imagedata o:title=""/>
                    <o:lock v:ext="edit" aspectratio="f"/>
                    <v:textbox>
                      <w:txbxContent>
                        <w:p w14:paraId="1FC67E92">
                          <w:pPr>
                            <w:jc w:val="center"/>
                            <w:rPr>
                              <w:rFonts w:hint="default" w:eastAsia="宋体"/>
                              <w:sz w:val="18"/>
                              <w:szCs w:val="18"/>
                              <w:lang w:val="en-US" w:eastAsia="zh-CN"/>
                            </w:rPr>
                          </w:pPr>
                          <w:r>
                            <w:rPr>
                              <w:rFonts w:hint="eastAsia"/>
                              <w:sz w:val="18"/>
                              <w:szCs w:val="18"/>
                              <w:lang w:val="en-US" w:eastAsia="zh-CN"/>
                            </w:rPr>
                            <w:t>7.86</w:t>
                          </w:r>
                        </w:p>
                      </w:txbxContent>
                    </v:textbox>
                  </v:rect>
                  <v:shape id="_x0000_s2305" o:spid="_x0000_s2305" o:spt="32" type="#_x0000_t32" style="position:absolute;left:4739;top:238730;height:0;width:739;" filled="f" stroked="t" coordsize="21600,21600">
                    <v:path arrowok="t"/>
                    <v:fill on="f" focussize="0,0"/>
                    <v:stroke color="#000000" endarrow="block"/>
                    <v:imagedata o:title=""/>
                    <o:lock v:ext="edit" aspectratio="f"/>
                  </v:shape>
                  <v:rect id="_x0000_s2306" o:spid="_x0000_s2306" o:spt="1" style="position:absolute;left:5476;top:238579;height:388;width:1164;" fillcolor="#FFFFFF" filled="t" stroked="t" coordsize="21600,21600">
                    <v:path/>
                    <v:fill on="t" color2="#FFFFFF" focussize="0,0"/>
                    <v:stroke color="#000000" joinstyle="miter"/>
                    <v:imagedata o:title=""/>
                    <o:lock v:ext="edit" aspectratio="f"/>
                    <v:textbox>
                      <w:txbxContent>
                        <w:p w14:paraId="67D0893E">
                          <w:pPr>
                            <w:jc w:val="center"/>
                            <w:rPr>
                              <w:rFonts w:hint="default" w:eastAsia="宋体"/>
                              <w:sz w:val="18"/>
                              <w:szCs w:val="18"/>
                              <w:lang w:val="en-US" w:eastAsia="zh-CN"/>
                            </w:rPr>
                          </w:pPr>
                          <w:r>
                            <w:rPr>
                              <w:rFonts w:hint="eastAsia"/>
                              <w:sz w:val="18"/>
                              <w:szCs w:val="18"/>
                              <w:lang w:val="en-US" w:eastAsia="zh-CN"/>
                            </w:rPr>
                            <w:t>特殊医疗</w:t>
                          </w:r>
                        </w:p>
                      </w:txbxContent>
                    </v:textbox>
                  </v:rect>
                  <v:rect id="_x0000_s2307" o:spid="_x0000_s2307" o:spt="1" style="position:absolute;left:6140;top:238153;height:325;width:637;" filled="f" stroked="f" coordsize="21600,21600">
                    <v:path/>
                    <v:fill on="f" focussize="0,0"/>
                    <v:stroke on="f"/>
                    <v:imagedata o:title=""/>
                    <o:lock v:ext="edit" aspectratio="f"/>
                    <v:textbox>
                      <w:txbxContent>
                        <w:p w14:paraId="50B9ECF6">
                          <w:pPr>
                            <w:rPr>
                              <w:rFonts w:hint="default" w:eastAsia="宋体"/>
                              <w:sz w:val="18"/>
                              <w:szCs w:val="18"/>
                              <w:lang w:val="en-US" w:eastAsia="zh-CN"/>
                            </w:rPr>
                          </w:pPr>
                          <w:r>
                            <w:rPr>
                              <w:rFonts w:hint="eastAsia"/>
                              <w:sz w:val="18"/>
                              <w:szCs w:val="18"/>
                              <w:lang w:val="en-US" w:eastAsia="zh-CN"/>
                            </w:rPr>
                            <w:t>0.04</w:t>
                          </w:r>
                        </w:p>
                      </w:txbxContent>
                    </v:textbox>
                  </v:rect>
                  <v:shape id="_x0000_s2308" o:spid="_x0000_s2308" o:spt="38" type="#_x0000_t38" style="position:absolute;left:5962;top:238399;flip:y;height:167;width:255;" filled="f" stroked="t" coordsize="21600,21600" adj="10758">
                    <v:path arrowok="t"/>
                    <v:fill on="f" focussize="0,0"/>
                    <v:stroke color="#000000" endarrow="block"/>
                    <v:imagedata o:title=""/>
                    <o:lock v:ext="edit" aspectratio="f"/>
                  </v:shape>
                  <v:shape id="_x0000_s2309" o:spid="_x0000_s2309" o:spt="32" type="#_x0000_t32" style="position:absolute;left:6640;top:238730;height:12;width:1037;" filled="f" stroked="t" coordsize="21600,21600">
                    <v:path arrowok="t"/>
                    <v:fill on="f" focussize="0,0"/>
                    <v:stroke color="#000000" endarrow="block"/>
                    <v:imagedata o:title=""/>
                    <o:lock v:ext="edit" aspectratio="f"/>
                  </v:shape>
                  <v:rect id="_x0000_s2310" o:spid="_x0000_s2310" o:spt="1" style="position:absolute;left:6851;top:238439;height:364;width:625;" filled="f" stroked="f" coordsize="21600,21600">
                    <v:path/>
                    <v:fill on="f" focussize="0,0"/>
                    <v:stroke on="f"/>
                    <v:imagedata o:title=""/>
                    <o:lock v:ext="edit" aspectratio="f"/>
                    <v:textbox>
                      <w:txbxContent>
                        <w:p w14:paraId="368D1218">
                          <w:pPr>
                            <w:jc w:val="center"/>
                            <w:rPr>
                              <w:rFonts w:hint="default" w:eastAsia="宋体"/>
                              <w:sz w:val="18"/>
                              <w:szCs w:val="18"/>
                              <w:lang w:val="en-US" w:eastAsia="zh-CN"/>
                            </w:rPr>
                          </w:pPr>
                          <w:r>
                            <w:rPr>
                              <w:rFonts w:hint="eastAsia"/>
                              <w:sz w:val="18"/>
                              <w:szCs w:val="18"/>
                              <w:lang w:val="en-US" w:eastAsia="zh-CN"/>
                            </w:rPr>
                            <w:t>0.16</w:t>
                          </w:r>
                        </w:p>
                      </w:txbxContent>
                    </v:textbox>
                  </v:rect>
                  <v:rect id="_x0000_s2311" o:spid="_x0000_s2311" o:spt="1" style="position:absolute;left:4710;top:238426;height:363;width:764;" filled="f" stroked="f" coordsize="21600,21600">
                    <v:path/>
                    <v:fill on="f" focussize="0,0"/>
                    <v:stroke on="f"/>
                    <v:imagedata o:title=""/>
                    <o:lock v:ext="edit" aspectratio="f"/>
                    <v:textbox>
                      <w:txbxContent>
                        <w:p w14:paraId="3DE51BC3">
                          <w:pPr>
                            <w:jc w:val="center"/>
                            <w:rPr>
                              <w:rFonts w:hint="default" w:eastAsia="宋体"/>
                              <w:sz w:val="18"/>
                              <w:szCs w:val="18"/>
                              <w:lang w:val="en-US" w:eastAsia="zh-CN"/>
                            </w:rPr>
                          </w:pPr>
                          <w:r>
                            <w:rPr>
                              <w:rFonts w:hint="eastAsia"/>
                              <w:sz w:val="18"/>
                              <w:szCs w:val="18"/>
                              <w:lang w:val="en-US" w:eastAsia="zh-CN"/>
                            </w:rPr>
                            <w:t>0.2</w:t>
                          </w:r>
                        </w:p>
                      </w:txbxContent>
                    </v:textbox>
                  </v:rect>
                  <v:shape id="_x0000_s2312" o:spid="_x0000_s2312" o:spt="32" type="#_x0000_t32" style="position:absolute;left:4690;top:239620;height:0;width:739;" filled="f" stroked="t" coordsize="21600,21600">
                    <v:path arrowok="t"/>
                    <v:fill on="f" focussize="0,0"/>
                    <v:stroke color="#000000" endarrow="block"/>
                    <v:imagedata o:title=""/>
                    <o:lock v:ext="edit" aspectratio="f"/>
                  </v:shape>
                  <v:rect id="_x0000_s2313" o:spid="_x0000_s2313" o:spt="1" style="position:absolute;left:5427;top:239469;height:388;width:1164;" fillcolor="#FFFFFF" filled="t" stroked="t" coordsize="21600,21600">
                    <v:path/>
                    <v:fill on="t" color2="#FFFFFF" focussize="0,0"/>
                    <v:stroke color="#000000" joinstyle="miter"/>
                    <v:imagedata o:title=""/>
                    <o:lock v:ext="edit" aspectratio="f"/>
                    <v:textbox>
                      <w:txbxContent>
                        <w:p w14:paraId="37137658">
                          <w:pPr>
                            <w:jc w:val="center"/>
                            <w:rPr>
                              <w:rFonts w:hint="default" w:eastAsia="宋体"/>
                              <w:sz w:val="18"/>
                              <w:szCs w:val="18"/>
                              <w:lang w:val="en-US" w:eastAsia="zh-CN"/>
                            </w:rPr>
                          </w:pPr>
                          <w:r>
                            <w:rPr>
                              <w:rFonts w:hint="eastAsia"/>
                              <w:sz w:val="18"/>
                              <w:szCs w:val="18"/>
                              <w:lang w:val="en-US" w:eastAsia="zh-CN"/>
                            </w:rPr>
                            <w:t>食堂</w:t>
                          </w:r>
                        </w:p>
                      </w:txbxContent>
                    </v:textbox>
                  </v:rect>
                  <v:rect id="_x0000_s2314" o:spid="_x0000_s2314" o:spt="1" style="position:absolute;left:6192;top:239043;height:325;width:536;" filled="f" stroked="f" coordsize="21600,21600">
                    <v:path/>
                    <v:fill on="f" focussize="0,0"/>
                    <v:stroke on="f"/>
                    <v:imagedata o:title=""/>
                    <o:lock v:ext="edit" aspectratio="f"/>
                    <v:textbox>
                      <w:txbxContent>
                        <w:p w14:paraId="78744AFB">
                          <w:pPr>
                            <w:rPr>
                              <w:rFonts w:hint="default" w:eastAsia="宋体"/>
                              <w:sz w:val="18"/>
                              <w:szCs w:val="18"/>
                              <w:lang w:val="en-US" w:eastAsia="zh-CN"/>
                            </w:rPr>
                          </w:pPr>
                          <w:r>
                            <w:rPr>
                              <w:rFonts w:hint="eastAsia"/>
                              <w:sz w:val="18"/>
                              <w:szCs w:val="18"/>
                              <w:lang w:val="en-US" w:eastAsia="zh-CN"/>
                            </w:rPr>
                            <w:t>1.0</w:t>
                          </w:r>
                        </w:p>
                      </w:txbxContent>
                    </v:textbox>
                  </v:rect>
                  <v:shape id="_x0000_s2315" o:spid="_x0000_s2315" o:spt="38" type="#_x0000_t38" style="position:absolute;left:5913;top:239289;flip:y;height:167;width:255;" filled="f" stroked="t" coordsize="21600,21600" adj="10758">
                    <v:path arrowok="t"/>
                    <v:fill on="f" focussize="0,0"/>
                    <v:stroke color="#000000" endarrow="block"/>
                    <v:imagedata o:title=""/>
                    <o:lock v:ext="edit" aspectratio="f"/>
                  </v:shape>
                  <v:shape id="_x0000_s2316" o:spid="_x0000_s2316" o:spt="32" type="#_x0000_t32" style="position:absolute;left:6591;top:239620;height:12;width:850;" filled="f" stroked="t" coordsize="21600,21600">
                    <v:path arrowok="t"/>
                    <v:fill on="f" focussize="0,0"/>
                    <v:stroke color="#000000" endarrow="block"/>
                    <v:imagedata o:title=""/>
                    <o:lock v:ext="edit" aspectratio="f"/>
                  </v:shape>
                  <v:rect id="_x0000_s2318" o:spid="_x0000_s2318" o:spt="1" style="position:absolute;left:6802;top:239329;height:364;width:533;" filled="f" stroked="f" coordsize="21600,21600">
                    <v:path/>
                    <v:fill on="f" focussize="0,0"/>
                    <v:stroke on="f"/>
                    <v:imagedata o:title=""/>
                    <o:lock v:ext="edit" aspectratio="f"/>
                    <v:textbox>
                      <w:txbxContent>
                        <w:p w14:paraId="7CC6AC44">
                          <w:pPr>
                            <w:jc w:val="center"/>
                            <w:rPr>
                              <w:rFonts w:hint="default" w:eastAsia="宋体"/>
                              <w:sz w:val="18"/>
                              <w:szCs w:val="18"/>
                              <w:lang w:val="en-US" w:eastAsia="zh-CN"/>
                            </w:rPr>
                          </w:pPr>
                          <w:r>
                            <w:rPr>
                              <w:rFonts w:hint="eastAsia"/>
                              <w:sz w:val="18"/>
                              <w:szCs w:val="18"/>
                              <w:lang w:val="en-US" w:eastAsia="zh-CN"/>
                            </w:rPr>
                            <w:t>4.0</w:t>
                          </w:r>
                        </w:p>
                      </w:txbxContent>
                    </v:textbox>
                  </v:rect>
                  <v:rect id="_x0000_s2319" o:spid="_x0000_s2319" o:spt="1" style="position:absolute;left:4715;top:239316;height:363;width:764;" filled="f" stroked="f" coordsize="21600,21600">
                    <v:path/>
                    <v:fill on="f" focussize="0,0"/>
                    <v:stroke on="f"/>
                    <v:imagedata o:title=""/>
                    <o:lock v:ext="edit" aspectratio="f"/>
                    <v:textbox>
                      <w:txbxContent>
                        <w:p w14:paraId="05D8A969">
                          <w:pPr>
                            <w:jc w:val="center"/>
                            <w:rPr>
                              <w:rFonts w:hint="default" w:eastAsia="宋体"/>
                              <w:sz w:val="18"/>
                              <w:szCs w:val="18"/>
                              <w:lang w:val="en-US" w:eastAsia="zh-CN"/>
                            </w:rPr>
                          </w:pPr>
                          <w:r>
                            <w:rPr>
                              <w:rFonts w:hint="eastAsia"/>
                              <w:sz w:val="18"/>
                              <w:szCs w:val="18"/>
                              <w:lang w:val="en-US" w:eastAsia="zh-CN"/>
                            </w:rPr>
                            <w:t>5.0</w:t>
                          </w:r>
                        </w:p>
                      </w:txbxContent>
                    </v:textbox>
                  </v:rect>
                  <v:shape id="_x0000_s2321" o:spid="_x0000_s2321" o:spt="32" type="#_x0000_t32" style="position:absolute;left:4681;top:240504;height:0;width:739;" filled="f" stroked="t" coordsize="21600,21600">
                    <v:path arrowok="t"/>
                    <v:fill on="f" focussize="0,0"/>
                    <v:stroke color="#000000" endarrow="block"/>
                    <v:imagedata o:title=""/>
                    <o:lock v:ext="edit" aspectratio="f"/>
                  </v:shape>
                  <v:rect id="_x0000_s2322" o:spid="_x0000_s2322" o:spt="1" style="position:absolute;left:5418;top:240353;height:388;width:1164;" fillcolor="#FFFFFF" filled="t" stroked="t" coordsize="21600,21600">
                    <v:path/>
                    <v:fill on="t" color2="#FFFFFF" focussize="0,0"/>
                    <v:stroke color="#000000" joinstyle="miter"/>
                    <v:imagedata o:title=""/>
                    <o:lock v:ext="edit" aspectratio="f"/>
                    <v:textbox>
                      <w:txbxContent>
                        <w:p w14:paraId="117FC42C">
                          <w:pPr>
                            <w:jc w:val="center"/>
                            <w:rPr>
                              <w:rFonts w:hint="default" w:eastAsia="宋体"/>
                              <w:sz w:val="18"/>
                              <w:szCs w:val="18"/>
                              <w:lang w:val="en-US" w:eastAsia="zh-CN"/>
                            </w:rPr>
                          </w:pPr>
                          <w:r>
                            <w:rPr>
                              <w:rFonts w:hint="eastAsia"/>
                              <w:sz w:val="18"/>
                              <w:szCs w:val="18"/>
                              <w:lang w:val="en-US" w:eastAsia="zh-CN"/>
                            </w:rPr>
                            <w:t>地面清洁</w:t>
                          </w:r>
                        </w:p>
                      </w:txbxContent>
                    </v:textbox>
                  </v:rect>
                  <v:rect id="_x0000_s2324" o:spid="_x0000_s2324" o:spt="1" style="position:absolute;left:6183;top:239926;height:325;width:619;" filled="f" stroked="f" coordsize="21600,21600">
                    <v:path/>
                    <v:fill on="f" focussize="0,0"/>
                    <v:stroke on="f"/>
                    <v:imagedata o:title=""/>
                    <o:lock v:ext="edit" aspectratio="f"/>
                    <v:textbox>
                      <w:txbxContent>
                        <w:p w14:paraId="69B76F59">
                          <w:pPr>
                            <w:rPr>
                              <w:rFonts w:hint="default" w:eastAsia="宋体"/>
                              <w:sz w:val="18"/>
                              <w:szCs w:val="18"/>
                              <w:lang w:val="en-US" w:eastAsia="zh-CN"/>
                            </w:rPr>
                          </w:pPr>
                          <w:r>
                            <w:rPr>
                              <w:rFonts w:hint="eastAsia"/>
                              <w:sz w:val="18"/>
                              <w:szCs w:val="18"/>
                              <w:lang w:val="en-US" w:eastAsia="zh-CN"/>
                            </w:rPr>
                            <w:t>2.28</w:t>
                          </w:r>
                        </w:p>
                      </w:txbxContent>
                    </v:textbox>
                  </v:rect>
                  <v:shape id="_x0000_s2325" o:spid="_x0000_s2325" o:spt="38" type="#_x0000_t38" style="position:absolute;left:5904;top:240172;flip:y;height:167;width:255;" filled="f" stroked="t" coordsize="21600,21600" adj="10758">
                    <v:path arrowok="t"/>
                    <v:fill on="f" focussize="0,0"/>
                    <v:stroke color="#000000" endarrow="block"/>
                    <v:imagedata o:title=""/>
                    <o:lock v:ext="edit" aspectratio="f"/>
                  </v:shape>
                  <v:shape id="_x0000_s2326" o:spid="_x0000_s2326" o:spt="32" type="#_x0000_t32" style="position:absolute;left:6582;top:240504;height:12;width:1037;" filled="f" stroked="t" coordsize="21600,21600">
                    <v:path arrowok="t"/>
                    <v:fill on="f" focussize="0,0"/>
                    <v:stroke color="#000000" endarrow="block"/>
                    <v:imagedata o:title=""/>
                    <o:lock v:ext="edit" aspectratio="f"/>
                  </v:shape>
                  <v:rect id="_x0000_s2327" o:spid="_x0000_s2327" o:spt="1" style="position:absolute;left:6793;top:240212;height:364;width:625;" filled="f" stroked="f" coordsize="21600,21600">
                    <v:path/>
                    <v:fill on="f" focussize="0,0"/>
                    <v:stroke on="f"/>
                    <v:imagedata o:title=""/>
                    <o:lock v:ext="edit" aspectratio="f"/>
                    <v:textbox>
                      <w:txbxContent>
                        <w:p w14:paraId="03A64A26">
                          <w:pPr>
                            <w:jc w:val="center"/>
                            <w:rPr>
                              <w:rFonts w:hint="default" w:eastAsia="宋体"/>
                              <w:sz w:val="18"/>
                              <w:szCs w:val="18"/>
                              <w:lang w:val="en-US" w:eastAsia="zh-CN"/>
                            </w:rPr>
                          </w:pPr>
                          <w:r>
                            <w:rPr>
                              <w:rFonts w:hint="eastAsia"/>
                              <w:sz w:val="18"/>
                              <w:szCs w:val="18"/>
                              <w:lang w:val="en-US" w:eastAsia="zh-CN"/>
                            </w:rPr>
                            <w:t>9.11</w:t>
                          </w:r>
                        </w:p>
                      </w:txbxContent>
                    </v:textbox>
                  </v:rect>
                  <v:rect id="_x0000_s2329" o:spid="_x0000_s2329" o:spt="1" style="position:absolute;left:4706;top:240199;height:363;width:764;" filled="f" stroked="f" coordsize="21600,21600">
                    <v:path/>
                    <v:fill on="f" focussize="0,0"/>
                    <v:stroke on="f"/>
                    <v:imagedata o:title=""/>
                    <o:lock v:ext="edit" aspectratio="f"/>
                    <v:textbox>
                      <w:txbxContent>
                        <w:p w14:paraId="19A9407E">
                          <w:pPr>
                            <w:jc w:val="center"/>
                            <w:rPr>
                              <w:rFonts w:hint="default" w:eastAsia="宋体"/>
                              <w:sz w:val="18"/>
                              <w:szCs w:val="18"/>
                              <w:lang w:val="en-US" w:eastAsia="zh-CN"/>
                            </w:rPr>
                          </w:pPr>
                          <w:r>
                            <w:rPr>
                              <w:rFonts w:hint="eastAsia"/>
                              <w:sz w:val="18"/>
                              <w:szCs w:val="18"/>
                              <w:lang w:val="en-US" w:eastAsia="zh-CN"/>
                            </w:rPr>
                            <w:t>11.39</w:t>
                          </w:r>
                        </w:p>
                      </w:txbxContent>
                    </v:textbox>
                  </v:rect>
                  <v:rect id="_x0000_s2330" o:spid="_x0000_s2330" o:spt="1" style="position:absolute;left:7675;top:238551;height:388;width:1310;" fillcolor="#FFFFFF" filled="t" stroked="t" coordsize="21600,21600">
                    <v:path/>
                    <v:fill on="t" color2="#FFFFFF" focussize="0,0"/>
                    <v:stroke color="#000000" joinstyle="miter"/>
                    <v:imagedata o:title=""/>
                    <o:lock v:ext="edit" aspectratio="f"/>
                    <v:textbox>
                      <w:txbxContent>
                        <w:p w14:paraId="0573AD20">
                          <w:pPr>
                            <w:jc w:val="center"/>
                            <w:rPr>
                              <w:rFonts w:hint="default" w:eastAsia="宋体"/>
                              <w:sz w:val="18"/>
                              <w:szCs w:val="18"/>
                              <w:lang w:val="en-US" w:eastAsia="zh-CN"/>
                            </w:rPr>
                          </w:pPr>
                          <w:r>
                            <w:rPr>
                              <w:rFonts w:hint="eastAsia"/>
                              <w:sz w:val="18"/>
                              <w:szCs w:val="18"/>
                              <w:lang w:val="en-US" w:eastAsia="zh-CN"/>
                            </w:rPr>
                            <w:t>中和预处理</w:t>
                          </w:r>
                        </w:p>
                      </w:txbxContent>
                    </v:textbox>
                  </v:rect>
                  <v:rect id="_x0000_s2331" o:spid="_x0000_s2331" o:spt="1" style="position:absolute;left:7445;top:239417;height:388;width:1769;" fillcolor="#FFFFFF" filled="t" stroked="t" coordsize="21600,21600">
                    <v:path/>
                    <v:fill on="t" color2="#FFFFFF" focussize="0,0"/>
                    <v:stroke color="#000000" joinstyle="miter"/>
                    <v:imagedata o:title=""/>
                    <o:lock v:ext="edit" aspectratio="f"/>
                    <v:textbox>
                      <w:txbxContent>
                        <w:p w14:paraId="54D0ADC9">
                          <w:pPr>
                            <w:jc w:val="center"/>
                            <w:rPr>
                              <w:rFonts w:hint="default" w:eastAsia="宋体"/>
                              <w:sz w:val="18"/>
                              <w:szCs w:val="18"/>
                              <w:lang w:val="en-US" w:eastAsia="zh-CN"/>
                            </w:rPr>
                          </w:pPr>
                          <w:r>
                            <w:rPr>
                              <w:rFonts w:hint="eastAsia"/>
                              <w:sz w:val="18"/>
                              <w:szCs w:val="18"/>
                              <w:lang w:val="en-US" w:eastAsia="zh-CN"/>
                            </w:rPr>
                            <w:t>隔油处理</w:t>
                          </w:r>
                        </w:p>
                      </w:txbxContent>
                    </v:textbox>
                  </v:rect>
                  <v:shape id="_x0000_s2337" o:spid="_x0000_s2337" o:spt="32" type="#_x0000_t32" style="position:absolute;left:9052;top:236118;height:0;width:616;" filled="f" stroked="t" coordsize="21600,21600">
                    <v:path arrowok="t"/>
                    <v:fill on="f" focussize="0,0"/>
                    <v:stroke color="#000000" endarrow="block"/>
                    <v:imagedata o:title=""/>
                    <o:lock v:ext="edit" aspectratio="f"/>
                  </v:shape>
                  <v:rect id="_x0000_s2338" o:spid="_x0000_s2338" o:spt="1" style="position:absolute;left:7687;top:235878;height:388;width:1365;" fillcolor="#FFFFFF" filled="t" stroked="t" coordsize="21600,21600">
                    <v:path/>
                    <v:fill on="t" color2="#FFFFFF" focussize="0,0"/>
                    <v:stroke color="#000000" joinstyle="miter"/>
                    <v:imagedata o:title=""/>
                    <o:lock v:ext="edit" aspectratio="f"/>
                    <v:textbox>
                      <w:txbxContent>
                        <w:p w14:paraId="5B0293D9">
                          <w:pPr>
                            <w:jc w:val="center"/>
                            <w:rPr>
                              <w:sz w:val="18"/>
                              <w:szCs w:val="18"/>
                            </w:rPr>
                          </w:pPr>
                          <w:r>
                            <w:rPr>
                              <w:sz w:val="18"/>
                              <w:szCs w:val="18"/>
                            </w:rPr>
                            <w:t>化粪池</w:t>
                          </w:r>
                        </w:p>
                      </w:txbxContent>
                    </v:textbox>
                  </v:rect>
                  <v:rect id="_x0000_s2339" o:spid="_x0000_s2339" o:spt="1" style="position:absolute;left:8830;top:235842;height:364;width:992;" filled="f" stroked="f" coordsize="21600,21600">
                    <v:path/>
                    <v:fill on="f" focussize="0,0"/>
                    <v:stroke on="f"/>
                    <v:imagedata o:title=""/>
                    <o:lock v:ext="edit" aspectratio="f"/>
                    <v:textbox>
                      <w:txbxContent>
                        <w:p w14:paraId="7797F56A">
                          <w:pPr>
                            <w:jc w:val="center"/>
                            <w:rPr>
                              <w:rFonts w:hint="default" w:eastAsia="宋体"/>
                              <w:sz w:val="18"/>
                              <w:szCs w:val="18"/>
                              <w:lang w:val="en-US" w:eastAsia="zh-CN"/>
                            </w:rPr>
                          </w:pPr>
                          <w:r>
                            <w:rPr>
                              <w:rFonts w:hint="eastAsia"/>
                              <w:sz w:val="18"/>
                              <w:szCs w:val="18"/>
                              <w:lang w:val="en-US" w:eastAsia="zh-CN"/>
                            </w:rPr>
                            <w:t>29.86</w:t>
                          </w:r>
                        </w:p>
                      </w:txbxContent>
                    </v:textbox>
                  </v:rect>
                  <v:shape id="_x0000_s2340" o:spid="_x0000_s2340" o:spt="32" type="#_x0000_t32" style="position:absolute;left:9015;top:236983;height:0;width:616;" filled="f" stroked="t" coordsize="21600,21600">
                    <v:path arrowok="t"/>
                    <v:fill on="f" focussize="0,0"/>
                    <v:stroke color="#000000" endarrow="block"/>
                    <v:imagedata o:title=""/>
                    <o:lock v:ext="edit" aspectratio="f"/>
                  </v:shape>
                  <v:rect id="_x0000_s2341" o:spid="_x0000_s2341" o:spt="1" style="position:absolute;left:7650;top:236743;height:388;width:1365;" fillcolor="#FFFFFF" filled="t" stroked="t" coordsize="21600,21600">
                    <v:path/>
                    <v:fill on="t" color2="#FFFFFF" focussize="0,0"/>
                    <v:stroke color="#000000" joinstyle="miter"/>
                    <v:imagedata o:title=""/>
                    <o:lock v:ext="edit" aspectratio="f"/>
                    <v:textbox>
                      <w:txbxContent>
                        <w:p w14:paraId="74BD1FAE">
                          <w:pPr>
                            <w:jc w:val="center"/>
                            <w:rPr>
                              <w:sz w:val="18"/>
                              <w:szCs w:val="18"/>
                            </w:rPr>
                          </w:pPr>
                          <w:r>
                            <w:rPr>
                              <w:sz w:val="18"/>
                              <w:szCs w:val="18"/>
                            </w:rPr>
                            <w:t>化粪池</w:t>
                          </w:r>
                        </w:p>
                      </w:txbxContent>
                    </v:textbox>
                  </v:rect>
                  <v:rect id="_x0000_s2342" o:spid="_x0000_s2342" o:spt="1" style="position:absolute;left:8793;top:236707;height:364;width:992;" filled="f" stroked="f" coordsize="21600,21600">
                    <v:path/>
                    <v:fill on="f" focussize="0,0"/>
                    <v:stroke on="f"/>
                    <v:imagedata o:title=""/>
                    <o:lock v:ext="edit" aspectratio="f"/>
                    <v:textbox>
                      <w:txbxContent>
                        <w:p w14:paraId="473EB2FC">
                          <w:pPr>
                            <w:jc w:val="center"/>
                            <w:rPr>
                              <w:rFonts w:hint="default" w:eastAsia="宋体"/>
                              <w:sz w:val="18"/>
                              <w:szCs w:val="18"/>
                              <w:lang w:val="en-US" w:eastAsia="zh-CN"/>
                            </w:rPr>
                          </w:pPr>
                          <w:r>
                            <w:rPr>
                              <w:rFonts w:hint="eastAsia"/>
                              <w:sz w:val="18"/>
                              <w:szCs w:val="18"/>
                              <w:lang w:val="en-US" w:eastAsia="zh-CN"/>
                            </w:rPr>
                            <w:t>30.4</w:t>
                          </w:r>
                        </w:p>
                      </w:txbxContent>
                    </v:textbox>
                  </v:rect>
                  <v:shape id="_x0000_s2343" o:spid="_x0000_s2343" o:spt="32" type="#_x0000_t32" style="position:absolute;left:9015;top:237867;height:0;width:616;" filled="f" stroked="t" coordsize="21600,21600">
                    <v:path arrowok="t"/>
                    <v:fill on="f" focussize="0,0"/>
                    <v:stroke color="#000000" endarrow="block"/>
                    <v:imagedata o:title=""/>
                    <o:lock v:ext="edit" aspectratio="f"/>
                  </v:shape>
                  <v:rect id="_x0000_s2344" o:spid="_x0000_s2344" o:spt="1" style="position:absolute;left:7650;top:237627;height:388;width:1365;" fillcolor="#FFFFFF" filled="t" stroked="t" coordsize="21600,21600">
                    <v:path/>
                    <v:fill on="t" color2="#FFFFFF" focussize="0,0"/>
                    <v:stroke color="#000000" joinstyle="miter"/>
                    <v:imagedata o:title=""/>
                    <o:lock v:ext="edit" aspectratio="f"/>
                    <v:textbox>
                      <w:txbxContent>
                        <w:p w14:paraId="4C147B41">
                          <w:pPr>
                            <w:jc w:val="center"/>
                            <w:rPr>
                              <w:sz w:val="18"/>
                              <w:szCs w:val="18"/>
                            </w:rPr>
                          </w:pPr>
                          <w:r>
                            <w:rPr>
                              <w:sz w:val="18"/>
                              <w:szCs w:val="18"/>
                            </w:rPr>
                            <w:t>化粪池</w:t>
                          </w:r>
                        </w:p>
                      </w:txbxContent>
                    </v:textbox>
                  </v:rect>
                  <v:rect id="_x0000_s2345" o:spid="_x0000_s2345" o:spt="1" style="position:absolute;left:8793;top:237591;height:364;width:992;" filled="f" stroked="f" coordsize="21600,21600">
                    <v:path/>
                    <v:fill on="f" focussize="0,0"/>
                    <v:stroke on="f"/>
                    <v:imagedata o:title=""/>
                    <o:lock v:ext="edit" aspectratio="f"/>
                    <v:textbox>
                      <w:txbxContent>
                        <w:p w14:paraId="488F369D">
                          <w:pPr>
                            <w:jc w:val="center"/>
                            <w:rPr>
                              <w:rFonts w:hint="default" w:eastAsia="宋体"/>
                              <w:sz w:val="18"/>
                              <w:szCs w:val="18"/>
                              <w:lang w:val="en-US" w:eastAsia="zh-CN"/>
                            </w:rPr>
                          </w:pPr>
                          <w:r>
                            <w:rPr>
                              <w:rFonts w:hint="eastAsia"/>
                              <w:sz w:val="18"/>
                              <w:szCs w:val="18"/>
                              <w:lang w:val="en-US" w:eastAsia="zh-CN"/>
                            </w:rPr>
                            <w:t>6.14</w:t>
                          </w:r>
                        </w:p>
                      </w:txbxContent>
                    </v:textbox>
                  </v:rect>
                  <v:shape id="_x0000_s2346" o:spid="_x0000_s2346" o:spt="32" type="#_x0000_t32" style="position:absolute;left:8988;top:240582;flip:y;height:1;width:686;" filled="f" stroked="t" coordsize="21600,21600">
                    <v:path arrowok="t"/>
                    <v:fill on="f" focussize="0,0"/>
                    <v:stroke color="#000000" endarrow="block"/>
                    <v:imagedata o:title=""/>
                    <o:lock v:ext="edit" aspectratio="f"/>
                  </v:shape>
                  <v:rect id="_x0000_s2347" o:spid="_x0000_s2347" o:spt="1" style="position:absolute;left:7623;top:240343;height:388;width:1365;" fillcolor="#FFFFFF" filled="t" stroked="t" coordsize="21600,21600">
                    <v:path/>
                    <v:fill on="t" color2="#FFFFFF" focussize="0,0"/>
                    <v:stroke color="#000000" joinstyle="miter"/>
                    <v:imagedata o:title=""/>
                    <o:lock v:ext="edit" aspectratio="f"/>
                    <v:textbox>
                      <w:txbxContent>
                        <w:p w14:paraId="0FE8C5AF">
                          <w:pPr>
                            <w:jc w:val="center"/>
                            <w:rPr>
                              <w:sz w:val="18"/>
                              <w:szCs w:val="18"/>
                            </w:rPr>
                          </w:pPr>
                          <w:r>
                            <w:rPr>
                              <w:sz w:val="18"/>
                              <w:szCs w:val="18"/>
                            </w:rPr>
                            <w:t>化粪池</w:t>
                          </w:r>
                        </w:p>
                      </w:txbxContent>
                    </v:textbox>
                  </v:rect>
                  <v:rect id="_x0000_s2348" o:spid="_x0000_s2348" o:spt="1" style="position:absolute;left:8840;top:240289;height:364;width:992;" filled="f" stroked="f" coordsize="21600,21600">
                    <v:path/>
                    <v:fill on="f" focussize="0,0"/>
                    <v:stroke on="f"/>
                    <v:imagedata o:title=""/>
                    <o:lock v:ext="edit" aspectratio="f"/>
                    <v:textbox>
                      <w:txbxContent>
                        <w:p w14:paraId="7277054F">
                          <w:pPr>
                            <w:jc w:val="center"/>
                            <w:rPr>
                              <w:rFonts w:hint="default" w:eastAsia="宋体"/>
                              <w:sz w:val="18"/>
                              <w:szCs w:val="18"/>
                              <w:lang w:val="en-US" w:eastAsia="zh-CN"/>
                            </w:rPr>
                          </w:pPr>
                          <w:r>
                            <w:rPr>
                              <w:rFonts w:hint="eastAsia"/>
                              <w:sz w:val="18"/>
                              <w:szCs w:val="18"/>
                              <w:lang w:val="en-US" w:eastAsia="zh-CN"/>
                            </w:rPr>
                            <w:t>9.11</w:t>
                          </w:r>
                        </w:p>
                      </w:txbxContent>
                    </v:textbox>
                  </v:rect>
                  <v:shape id="_x0000_s2349" o:spid="_x0000_s2349" o:spt="32" type="#_x0000_t32" style="position:absolute;left:9025;top:238742;height:0;width:616;" filled="f" stroked="t" coordsize="21600,21600">
                    <v:path arrowok="t"/>
                    <v:fill on="f" focussize="0,0"/>
                    <v:stroke color="#000000" endarrow="block"/>
                    <v:imagedata o:title=""/>
                    <o:lock v:ext="edit" aspectratio="f"/>
                  </v:shape>
                  <v:rect id="_x0000_s2350" o:spid="_x0000_s2350" o:spt="1" style="position:absolute;left:8803;top:238466;height:364;width:992;" filled="f" stroked="f" coordsize="21600,21600">
                    <v:path/>
                    <v:fill on="f" focussize="0,0"/>
                    <v:stroke on="f"/>
                    <v:imagedata o:title=""/>
                    <o:lock v:ext="edit" aspectratio="f"/>
                    <v:textbox>
                      <w:txbxContent>
                        <w:p w14:paraId="61CFC964">
                          <w:pPr>
                            <w:jc w:val="center"/>
                            <w:rPr>
                              <w:rFonts w:hint="default" w:eastAsia="宋体"/>
                              <w:sz w:val="18"/>
                              <w:szCs w:val="18"/>
                              <w:lang w:val="en-US" w:eastAsia="zh-CN"/>
                            </w:rPr>
                          </w:pPr>
                          <w:r>
                            <w:rPr>
                              <w:rFonts w:hint="eastAsia"/>
                              <w:sz w:val="18"/>
                              <w:szCs w:val="18"/>
                              <w:lang w:val="en-US" w:eastAsia="zh-CN"/>
                            </w:rPr>
                            <w:t>0.16</w:t>
                          </w:r>
                        </w:p>
                      </w:txbxContent>
                    </v:textbox>
                  </v:rect>
                  <v:shape id="_x0000_s2351" o:spid="_x0000_s2351" o:spt="32" type="#_x0000_t32" style="position:absolute;left:9227;top:239643;height:0;width:465;" filled="f" stroked="t" coordsize="21600,21600">
                    <v:path arrowok="t"/>
                    <v:fill on="f" focussize="0,0"/>
                    <v:stroke color="#000000" endarrow="block"/>
                    <v:imagedata o:title=""/>
                    <o:lock v:ext="edit" aspectratio="f"/>
                  </v:shape>
                  <v:rect id="_x0000_s2352" o:spid="_x0000_s2352" o:spt="1" style="position:absolute;left:9181;top:239340;height:364;width:560;" filled="f" stroked="f" coordsize="21600,21600">
                    <v:path/>
                    <v:fill on="f" focussize="0,0"/>
                    <v:stroke on="f"/>
                    <v:imagedata o:title=""/>
                    <o:lock v:ext="edit" aspectratio="f"/>
                    <v:textbox>
                      <w:txbxContent>
                        <w:p w14:paraId="4762D6B5">
                          <w:pPr>
                            <w:jc w:val="center"/>
                            <w:rPr>
                              <w:rFonts w:hint="default" w:eastAsia="宋体"/>
                              <w:sz w:val="18"/>
                              <w:szCs w:val="18"/>
                              <w:lang w:val="en-US" w:eastAsia="zh-CN"/>
                            </w:rPr>
                          </w:pPr>
                          <w:r>
                            <w:rPr>
                              <w:rFonts w:hint="eastAsia"/>
                              <w:sz w:val="18"/>
                              <w:szCs w:val="18"/>
                              <w:lang w:val="en-US" w:eastAsia="zh-CN"/>
                            </w:rPr>
                            <w:t>4.0</w:t>
                          </w:r>
                        </w:p>
                      </w:txbxContent>
                    </v:textbox>
                  </v:rect>
                  <v:shape id="_x0000_s2353" o:spid="_x0000_s2353" o:spt="32" type="#_x0000_t32" style="position:absolute;left:9674;top:234252;flip:x;height:6350;width:1;" filled="f" stroked="t" coordsize="21600,21600">
                    <v:path arrowok="t"/>
                    <v:fill on="f" focussize="0,0"/>
                    <v:stroke color="#000000"/>
                    <v:imagedata o:title=""/>
                    <o:lock v:ext="edit" aspectratio="f"/>
                  </v:shape>
                  <v:shape id="_x0000_s2354" o:spid="_x0000_s2354" o:spt="32" type="#_x0000_t32" style="position:absolute;left:9662;top:237247;flip:y;height:3;width:354;" filled="f" stroked="t" coordsize="21600,21600">
                    <v:path arrowok="t"/>
                    <v:fill on="f" focussize="0,0"/>
                    <v:stroke color="#000000"/>
                    <v:imagedata o:title=""/>
                    <o:lock v:ext="edit" aspectratio="f"/>
                  </v:shape>
                  <v:shape id="_x0000_s2355" o:spid="_x0000_s2355" o:spt="32" type="#_x0000_t32" style="position:absolute;left:10008;top:237260;height:3617;width:10;" filled="f" stroked="t" coordsize="21600,21600">
                    <v:path arrowok="t"/>
                    <v:fill on="f" focussize="0,0"/>
                    <v:stroke color="#000000" endarrow="block"/>
                    <v:imagedata o:title=""/>
                    <o:lock v:ext="edit" aspectratio="f"/>
                  </v:shape>
                  <v:rect id="_x0000_s2356" o:spid="_x0000_s2356" o:spt="1" style="position:absolute;left:9208;top:240909;height:388;width:1589;" fillcolor="#FFFFFF" filled="t" stroked="t" coordsize="21600,21600">
                    <v:path/>
                    <v:fill on="t" color2="#FFFFFF" focussize="0,0"/>
                    <v:stroke color="#000000" joinstyle="miter"/>
                    <v:imagedata o:title=""/>
                    <o:lock v:ext="edit" aspectratio="f"/>
                    <v:textbox>
                      <w:txbxContent>
                        <w:p w14:paraId="0BFB7BF9">
                          <w:pPr>
                            <w:jc w:val="center"/>
                            <w:rPr>
                              <w:rFonts w:hint="default" w:eastAsia="宋体"/>
                              <w:sz w:val="18"/>
                              <w:szCs w:val="18"/>
                              <w:lang w:val="en-US" w:eastAsia="zh-CN"/>
                            </w:rPr>
                          </w:pPr>
                          <w:r>
                            <w:rPr>
                              <w:rFonts w:hint="eastAsia"/>
                              <w:sz w:val="18"/>
                              <w:szCs w:val="18"/>
                              <w:lang w:val="en-US" w:eastAsia="zh-CN"/>
                            </w:rPr>
                            <w:t>污水处理站</w:t>
                          </w:r>
                        </w:p>
                      </w:txbxContent>
                    </v:textbox>
                  </v:rect>
                  <v:shape id="_x0000_s2357" o:spid="_x0000_s2357" o:spt="32" type="#_x0000_t32" style="position:absolute;left:10031;top:241293;height:453;width:2;" filled="f" stroked="t" coordsize="21600,21600">
                    <v:path arrowok="t"/>
                    <v:fill on="f" focussize="0,0"/>
                    <v:stroke color="#000000" endarrow="block"/>
                    <v:imagedata o:title=""/>
                    <o:lock v:ext="edit" aspectratio="f"/>
                  </v:shape>
                  <v:rect id="_x0000_s2358" o:spid="_x0000_s2358" o:spt="1" style="position:absolute;left:9287;top:241747;height:500;width:1533;" filled="f" stroked="f" coordsize="21600,21600">
                    <v:path/>
                    <v:fill on="f" focussize="0,0"/>
                    <v:stroke on="f"/>
                    <v:imagedata o:title=""/>
                    <o:lock v:ext="edit" aspectratio="f"/>
                    <v:textbox>
                      <w:txbxContent>
                        <w:p w14:paraId="608487C2">
                          <w:pPr>
                            <w:jc w:val="center"/>
                            <w:rPr>
                              <w:rFonts w:hint="default" w:eastAsia="宋体"/>
                              <w:sz w:val="18"/>
                              <w:szCs w:val="18"/>
                              <w:lang w:val="en-US" w:eastAsia="zh-CN"/>
                            </w:rPr>
                          </w:pPr>
                          <w:r>
                            <w:rPr>
                              <w:rFonts w:hint="eastAsia"/>
                              <w:sz w:val="18"/>
                              <w:szCs w:val="18"/>
                              <w:lang w:val="en-US" w:eastAsia="zh-CN"/>
                            </w:rPr>
                            <w:t>园区污水管网</w:t>
                          </w:r>
                        </w:p>
                      </w:txbxContent>
                    </v:textbox>
                  </v:rect>
                  <v:shape id="_x0000_s2359" o:spid="_x0000_s2359" o:spt="32" type="#_x0000_t32" style="position:absolute;left:10048;top:242055;height:453;width:2;" filled="f" stroked="t" coordsize="21600,21600">
                    <v:path arrowok="t"/>
                    <v:fill on="f" focussize="0,0"/>
                    <v:stroke color="#000000" endarrow="block"/>
                    <v:imagedata o:title=""/>
                    <o:lock v:ext="edit" aspectratio="f"/>
                  </v:shape>
                  <v:rect id="_x0000_s2360" o:spid="_x0000_s2360" o:spt="1" style="position:absolute;left:9304;top:242509;height:655;width:1533;" filled="f" stroked="f" coordsize="21600,21600">
                    <v:path/>
                    <v:fill on="f" focussize="0,0"/>
                    <v:stroke on="f"/>
                    <v:imagedata o:title=""/>
                    <o:lock v:ext="edit" aspectratio="f"/>
                    <v:textbox>
                      <w:txbxContent>
                        <w:p w14:paraId="58FA5DB7">
                          <w:pPr>
                            <w:jc w:val="center"/>
                            <w:rPr>
                              <w:rFonts w:hint="default" w:eastAsia="宋体"/>
                              <w:sz w:val="18"/>
                              <w:szCs w:val="18"/>
                              <w:lang w:val="en-US" w:eastAsia="zh-CN"/>
                            </w:rPr>
                          </w:pPr>
                          <w:r>
                            <w:rPr>
                              <w:rFonts w:hint="eastAsia"/>
                              <w:sz w:val="18"/>
                              <w:szCs w:val="18"/>
                              <w:lang w:val="en-US" w:eastAsia="zh-CN"/>
                            </w:rPr>
                            <w:t>大同市开发区污水处理厂</w:t>
                          </w:r>
                        </w:p>
                      </w:txbxContent>
                    </v:textbox>
                  </v:rect>
                  <v:rect id="_x0000_s2361" o:spid="_x0000_s2361" o:spt="1" style="position:absolute;left:9669;top:236826;height:364;width:992;" filled="f" stroked="f" coordsize="21600,21600">
                    <v:path/>
                    <v:fill on="f" focussize="0,0"/>
                    <v:stroke on="f"/>
                    <v:imagedata o:title=""/>
                    <o:lock v:ext="edit" aspectratio="f"/>
                    <v:textbox>
                      <w:txbxContent>
                        <w:p w14:paraId="43662CF1">
                          <w:pPr>
                            <w:jc w:val="center"/>
                            <w:rPr>
                              <w:rFonts w:hint="default" w:eastAsia="宋体"/>
                              <w:sz w:val="18"/>
                              <w:szCs w:val="18"/>
                              <w:lang w:val="en-US" w:eastAsia="zh-CN"/>
                            </w:rPr>
                          </w:pPr>
                          <w:r>
                            <w:rPr>
                              <w:rFonts w:hint="eastAsia"/>
                              <w:sz w:val="18"/>
                              <w:szCs w:val="18"/>
                              <w:lang w:val="en-US" w:eastAsia="zh-CN"/>
                            </w:rPr>
                            <w:t>176.47</w:t>
                          </w:r>
                        </w:p>
                      </w:txbxContent>
                    </v:textbox>
                  </v:rect>
                </v:group>
              </w:pict>
            </w:r>
          </w:p>
          <w:p w14:paraId="07131122">
            <w:pPr>
              <w:snapToGrid w:val="0"/>
              <w:jc w:val="center"/>
              <w:rPr>
                <w:rFonts w:hAnsiTheme="minorEastAsia" w:eastAsiaTheme="minorEastAsia"/>
                <w:b/>
                <w:color w:val="auto"/>
                <w:sz w:val="18"/>
                <w:szCs w:val="18"/>
              </w:rPr>
            </w:pPr>
          </w:p>
          <w:p w14:paraId="6AF500E8">
            <w:pPr>
              <w:snapToGrid w:val="0"/>
              <w:jc w:val="center"/>
              <w:rPr>
                <w:rFonts w:hAnsiTheme="minorEastAsia" w:eastAsiaTheme="minorEastAsia"/>
                <w:b/>
                <w:color w:val="auto"/>
                <w:sz w:val="18"/>
                <w:szCs w:val="18"/>
              </w:rPr>
            </w:pPr>
          </w:p>
          <w:p w14:paraId="574A5F3B">
            <w:pPr>
              <w:snapToGrid w:val="0"/>
              <w:jc w:val="center"/>
              <w:rPr>
                <w:rFonts w:hAnsiTheme="minorEastAsia" w:eastAsiaTheme="minorEastAsia"/>
                <w:b/>
                <w:color w:val="auto"/>
                <w:sz w:val="18"/>
                <w:szCs w:val="18"/>
              </w:rPr>
            </w:pPr>
          </w:p>
          <w:p w14:paraId="2D33C5F2">
            <w:pPr>
              <w:snapToGrid w:val="0"/>
              <w:jc w:val="center"/>
              <w:rPr>
                <w:rFonts w:hAnsiTheme="minorEastAsia" w:eastAsiaTheme="minorEastAsia"/>
                <w:b/>
                <w:color w:val="auto"/>
                <w:sz w:val="18"/>
                <w:szCs w:val="18"/>
              </w:rPr>
            </w:pPr>
          </w:p>
          <w:p w14:paraId="1CB12576">
            <w:pPr>
              <w:snapToGrid w:val="0"/>
              <w:jc w:val="center"/>
              <w:rPr>
                <w:rFonts w:hAnsiTheme="minorEastAsia" w:eastAsiaTheme="minorEastAsia"/>
                <w:b/>
                <w:color w:val="auto"/>
                <w:sz w:val="18"/>
                <w:szCs w:val="18"/>
              </w:rPr>
            </w:pPr>
          </w:p>
          <w:p w14:paraId="78BABF92">
            <w:pPr>
              <w:snapToGrid w:val="0"/>
              <w:jc w:val="center"/>
              <w:rPr>
                <w:rFonts w:hAnsiTheme="minorEastAsia" w:eastAsiaTheme="minorEastAsia"/>
                <w:b/>
                <w:color w:val="auto"/>
                <w:sz w:val="18"/>
                <w:szCs w:val="18"/>
              </w:rPr>
            </w:pPr>
          </w:p>
          <w:p w14:paraId="7F8BA6BA">
            <w:pPr>
              <w:snapToGrid w:val="0"/>
              <w:jc w:val="center"/>
              <w:rPr>
                <w:rFonts w:hAnsiTheme="minorEastAsia" w:eastAsiaTheme="minorEastAsia"/>
                <w:b/>
                <w:color w:val="auto"/>
                <w:sz w:val="18"/>
                <w:szCs w:val="18"/>
              </w:rPr>
            </w:pPr>
            <w:r>
              <w:rPr>
                <w:sz w:val="18"/>
              </w:rPr>
              <w:pict>
                <v:rect id="_x0000_s2281" o:spid="_x0000_s2281" o:spt="1" style="position:absolute;left:0pt;margin-left:8.7pt;margin-top:8.3pt;height:18.15pt;width:38.2pt;z-index:251680768;mso-width-relative:page;mso-height-relative:page;" filled="f" stroked="f" coordsize="21600,21600">
                  <v:path/>
                  <v:fill on="f" focussize="0,0"/>
                  <v:stroke on="f"/>
                  <v:imagedata o:title=""/>
                  <o:lock v:ext="edit" aspectratio="f"/>
                  <v:textbox>
                    <w:txbxContent>
                      <w:p w14:paraId="572996EC">
                        <w:pPr>
                          <w:jc w:val="both"/>
                          <w:rPr>
                            <w:rFonts w:hint="default" w:eastAsia="宋体"/>
                            <w:sz w:val="18"/>
                            <w:szCs w:val="18"/>
                            <w:lang w:val="en-US" w:eastAsia="zh-CN"/>
                          </w:rPr>
                        </w:pPr>
                      </w:p>
                    </w:txbxContent>
                  </v:textbox>
                </v:rect>
              </w:pict>
            </w:r>
          </w:p>
          <w:p w14:paraId="058795C6">
            <w:pPr>
              <w:snapToGrid w:val="0"/>
              <w:jc w:val="center"/>
              <w:rPr>
                <w:rFonts w:hAnsiTheme="minorEastAsia" w:eastAsiaTheme="minorEastAsia"/>
                <w:b/>
                <w:color w:val="auto"/>
                <w:sz w:val="18"/>
                <w:szCs w:val="18"/>
              </w:rPr>
            </w:pPr>
          </w:p>
          <w:p w14:paraId="5A2612E7">
            <w:pPr>
              <w:snapToGrid w:val="0"/>
              <w:jc w:val="center"/>
              <w:rPr>
                <w:rFonts w:hAnsiTheme="minorEastAsia" w:eastAsiaTheme="minorEastAsia"/>
                <w:b/>
                <w:color w:val="auto"/>
                <w:sz w:val="18"/>
                <w:szCs w:val="18"/>
              </w:rPr>
            </w:pPr>
          </w:p>
          <w:p w14:paraId="334E0FB4">
            <w:pPr>
              <w:snapToGrid w:val="0"/>
              <w:jc w:val="center"/>
              <w:rPr>
                <w:rFonts w:hAnsiTheme="minorEastAsia" w:eastAsiaTheme="minorEastAsia"/>
                <w:b/>
                <w:color w:val="auto"/>
                <w:sz w:val="18"/>
                <w:szCs w:val="18"/>
              </w:rPr>
            </w:pPr>
          </w:p>
          <w:p w14:paraId="03342BA8">
            <w:pPr>
              <w:snapToGrid w:val="0"/>
              <w:jc w:val="center"/>
              <w:rPr>
                <w:rFonts w:hAnsiTheme="minorEastAsia" w:eastAsiaTheme="minorEastAsia"/>
                <w:b/>
                <w:color w:val="auto"/>
                <w:sz w:val="18"/>
                <w:szCs w:val="18"/>
              </w:rPr>
            </w:pPr>
          </w:p>
          <w:p w14:paraId="697A600A">
            <w:pPr>
              <w:snapToGrid w:val="0"/>
              <w:jc w:val="center"/>
              <w:rPr>
                <w:rFonts w:hAnsiTheme="minorEastAsia" w:eastAsiaTheme="minorEastAsia"/>
                <w:b/>
                <w:color w:val="auto"/>
                <w:sz w:val="18"/>
                <w:szCs w:val="18"/>
              </w:rPr>
            </w:pPr>
          </w:p>
          <w:p w14:paraId="213F33ED">
            <w:pPr>
              <w:snapToGrid w:val="0"/>
              <w:jc w:val="center"/>
              <w:rPr>
                <w:rFonts w:hAnsiTheme="minorEastAsia" w:eastAsiaTheme="minorEastAsia"/>
                <w:b/>
                <w:color w:val="auto"/>
                <w:sz w:val="18"/>
                <w:szCs w:val="18"/>
              </w:rPr>
            </w:pPr>
          </w:p>
          <w:p w14:paraId="257AB04B">
            <w:pPr>
              <w:snapToGrid w:val="0"/>
              <w:jc w:val="center"/>
              <w:rPr>
                <w:rFonts w:hAnsiTheme="minorEastAsia" w:eastAsiaTheme="minorEastAsia"/>
                <w:b/>
                <w:color w:val="auto"/>
                <w:sz w:val="18"/>
                <w:szCs w:val="18"/>
              </w:rPr>
            </w:pPr>
          </w:p>
          <w:p w14:paraId="2F7A8B2B">
            <w:pPr>
              <w:snapToGrid w:val="0"/>
              <w:jc w:val="center"/>
              <w:rPr>
                <w:rFonts w:hAnsiTheme="minorEastAsia" w:eastAsiaTheme="minorEastAsia"/>
                <w:b/>
                <w:color w:val="auto"/>
                <w:sz w:val="18"/>
                <w:szCs w:val="18"/>
              </w:rPr>
            </w:pPr>
          </w:p>
          <w:p w14:paraId="1297A8EB">
            <w:pPr>
              <w:snapToGrid w:val="0"/>
              <w:jc w:val="center"/>
              <w:rPr>
                <w:rFonts w:hAnsiTheme="minorEastAsia" w:eastAsiaTheme="minorEastAsia"/>
                <w:b/>
                <w:color w:val="auto"/>
                <w:sz w:val="18"/>
                <w:szCs w:val="18"/>
              </w:rPr>
            </w:pPr>
          </w:p>
          <w:p w14:paraId="45B9D819">
            <w:pPr>
              <w:snapToGrid w:val="0"/>
              <w:jc w:val="center"/>
              <w:rPr>
                <w:rFonts w:hAnsiTheme="minorEastAsia" w:eastAsiaTheme="minorEastAsia"/>
                <w:b/>
                <w:color w:val="auto"/>
                <w:sz w:val="18"/>
                <w:szCs w:val="18"/>
              </w:rPr>
            </w:pPr>
          </w:p>
          <w:p w14:paraId="1410B187">
            <w:pPr>
              <w:snapToGrid w:val="0"/>
              <w:jc w:val="center"/>
              <w:rPr>
                <w:rFonts w:hAnsiTheme="minorEastAsia" w:eastAsiaTheme="minorEastAsia"/>
                <w:b/>
                <w:color w:val="auto"/>
                <w:sz w:val="18"/>
                <w:szCs w:val="18"/>
              </w:rPr>
            </w:pPr>
          </w:p>
          <w:p w14:paraId="42F6037D">
            <w:pPr>
              <w:snapToGrid w:val="0"/>
              <w:jc w:val="center"/>
              <w:rPr>
                <w:rFonts w:hAnsiTheme="minorEastAsia" w:eastAsiaTheme="minorEastAsia"/>
                <w:b/>
                <w:color w:val="auto"/>
                <w:sz w:val="18"/>
                <w:szCs w:val="18"/>
              </w:rPr>
            </w:pPr>
          </w:p>
          <w:p w14:paraId="6BB5283B">
            <w:pPr>
              <w:snapToGrid w:val="0"/>
              <w:jc w:val="center"/>
              <w:rPr>
                <w:rFonts w:hAnsiTheme="minorEastAsia" w:eastAsiaTheme="minorEastAsia"/>
                <w:b/>
                <w:color w:val="auto"/>
                <w:sz w:val="18"/>
                <w:szCs w:val="18"/>
              </w:rPr>
            </w:pPr>
          </w:p>
          <w:p w14:paraId="28B3AA5E">
            <w:pPr>
              <w:snapToGrid w:val="0"/>
              <w:jc w:val="center"/>
              <w:rPr>
                <w:rFonts w:hAnsiTheme="minorEastAsia" w:eastAsiaTheme="minorEastAsia"/>
                <w:b/>
                <w:color w:val="auto"/>
                <w:sz w:val="18"/>
                <w:szCs w:val="18"/>
              </w:rPr>
            </w:pPr>
          </w:p>
          <w:p w14:paraId="49120395">
            <w:pPr>
              <w:snapToGrid w:val="0"/>
              <w:jc w:val="center"/>
              <w:rPr>
                <w:rFonts w:hAnsiTheme="minorEastAsia" w:eastAsiaTheme="minorEastAsia"/>
                <w:b/>
                <w:color w:val="auto"/>
                <w:sz w:val="18"/>
                <w:szCs w:val="18"/>
              </w:rPr>
            </w:pPr>
          </w:p>
          <w:p w14:paraId="59C43FDB">
            <w:pPr>
              <w:snapToGrid w:val="0"/>
              <w:jc w:val="center"/>
              <w:rPr>
                <w:rFonts w:hAnsiTheme="minorEastAsia" w:eastAsiaTheme="minorEastAsia"/>
                <w:b/>
                <w:color w:val="auto"/>
                <w:sz w:val="18"/>
                <w:szCs w:val="18"/>
              </w:rPr>
            </w:pPr>
          </w:p>
          <w:p w14:paraId="31ED8796">
            <w:pPr>
              <w:snapToGrid w:val="0"/>
              <w:jc w:val="center"/>
              <w:rPr>
                <w:rFonts w:hAnsiTheme="minorEastAsia" w:eastAsiaTheme="minorEastAsia"/>
                <w:b/>
                <w:color w:val="auto"/>
                <w:sz w:val="18"/>
                <w:szCs w:val="18"/>
              </w:rPr>
            </w:pPr>
          </w:p>
          <w:p w14:paraId="020580AE">
            <w:pPr>
              <w:snapToGrid w:val="0"/>
              <w:jc w:val="center"/>
              <w:rPr>
                <w:rFonts w:hAnsiTheme="minorEastAsia" w:eastAsiaTheme="minorEastAsia"/>
                <w:b/>
                <w:color w:val="auto"/>
                <w:sz w:val="18"/>
                <w:szCs w:val="18"/>
              </w:rPr>
            </w:pPr>
          </w:p>
          <w:p w14:paraId="027C64E2">
            <w:pPr>
              <w:snapToGrid w:val="0"/>
              <w:jc w:val="center"/>
              <w:rPr>
                <w:rFonts w:hAnsiTheme="minorEastAsia" w:eastAsiaTheme="minorEastAsia"/>
                <w:b/>
                <w:color w:val="auto"/>
                <w:sz w:val="18"/>
                <w:szCs w:val="18"/>
              </w:rPr>
            </w:pPr>
          </w:p>
          <w:p w14:paraId="2F67E916">
            <w:pPr>
              <w:snapToGrid w:val="0"/>
              <w:jc w:val="center"/>
              <w:rPr>
                <w:rFonts w:hAnsiTheme="minorEastAsia" w:eastAsiaTheme="minorEastAsia"/>
                <w:b/>
                <w:color w:val="auto"/>
                <w:sz w:val="18"/>
                <w:szCs w:val="18"/>
              </w:rPr>
            </w:pPr>
          </w:p>
          <w:p w14:paraId="2D60F801">
            <w:pPr>
              <w:snapToGrid w:val="0"/>
              <w:jc w:val="center"/>
              <w:rPr>
                <w:rFonts w:hAnsiTheme="minorEastAsia" w:eastAsiaTheme="minorEastAsia"/>
                <w:b/>
                <w:color w:val="auto"/>
                <w:sz w:val="18"/>
                <w:szCs w:val="18"/>
              </w:rPr>
            </w:pPr>
          </w:p>
          <w:p w14:paraId="2C762E0D">
            <w:pPr>
              <w:snapToGrid w:val="0"/>
              <w:jc w:val="center"/>
              <w:rPr>
                <w:rFonts w:hAnsiTheme="minorEastAsia" w:eastAsiaTheme="minorEastAsia"/>
                <w:b/>
                <w:color w:val="auto"/>
                <w:sz w:val="18"/>
                <w:szCs w:val="18"/>
              </w:rPr>
            </w:pPr>
          </w:p>
          <w:p w14:paraId="573CED43">
            <w:pPr>
              <w:snapToGrid w:val="0"/>
              <w:jc w:val="center"/>
              <w:rPr>
                <w:rFonts w:hAnsiTheme="minorEastAsia" w:eastAsiaTheme="minorEastAsia"/>
                <w:b/>
                <w:color w:val="auto"/>
                <w:sz w:val="18"/>
                <w:szCs w:val="18"/>
              </w:rPr>
            </w:pPr>
          </w:p>
          <w:p w14:paraId="72EA2E0E">
            <w:pPr>
              <w:snapToGrid w:val="0"/>
              <w:jc w:val="center"/>
              <w:rPr>
                <w:rFonts w:hAnsiTheme="minorEastAsia" w:eastAsiaTheme="minorEastAsia"/>
                <w:b/>
                <w:color w:val="auto"/>
                <w:sz w:val="18"/>
                <w:szCs w:val="18"/>
              </w:rPr>
            </w:pPr>
          </w:p>
          <w:p w14:paraId="0CDF4DE4">
            <w:pPr>
              <w:snapToGrid w:val="0"/>
              <w:jc w:val="center"/>
              <w:rPr>
                <w:rFonts w:hAnsiTheme="minorEastAsia" w:eastAsiaTheme="minorEastAsia"/>
                <w:b/>
                <w:color w:val="auto"/>
                <w:sz w:val="18"/>
                <w:szCs w:val="18"/>
              </w:rPr>
            </w:pPr>
          </w:p>
          <w:p w14:paraId="49FF8C22">
            <w:pPr>
              <w:snapToGrid w:val="0"/>
              <w:jc w:val="center"/>
              <w:rPr>
                <w:rFonts w:hAnsiTheme="minorEastAsia" w:eastAsiaTheme="minorEastAsia"/>
                <w:b/>
                <w:color w:val="auto"/>
                <w:sz w:val="18"/>
                <w:szCs w:val="18"/>
              </w:rPr>
            </w:pPr>
          </w:p>
          <w:p w14:paraId="18EDA011">
            <w:pPr>
              <w:snapToGrid w:val="0"/>
              <w:jc w:val="center"/>
              <w:rPr>
                <w:rFonts w:hAnsiTheme="minorEastAsia" w:eastAsiaTheme="minorEastAsia"/>
                <w:b/>
                <w:color w:val="auto"/>
                <w:sz w:val="18"/>
                <w:szCs w:val="18"/>
              </w:rPr>
            </w:pPr>
          </w:p>
          <w:p w14:paraId="15E94FC2">
            <w:pPr>
              <w:snapToGrid w:val="0"/>
              <w:jc w:val="center"/>
              <w:rPr>
                <w:rFonts w:hAnsiTheme="minorEastAsia" w:eastAsiaTheme="minorEastAsia"/>
                <w:b/>
                <w:color w:val="auto"/>
                <w:sz w:val="18"/>
                <w:szCs w:val="18"/>
              </w:rPr>
            </w:pPr>
          </w:p>
          <w:p w14:paraId="2134507B">
            <w:pPr>
              <w:snapToGrid w:val="0"/>
              <w:jc w:val="center"/>
              <w:rPr>
                <w:rFonts w:hAnsiTheme="minorEastAsia" w:eastAsiaTheme="minorEastAsia"/>
                <w:b/>
                <w:color w:val="auto"/>
                <w:sz w:val="18"/>
                <w:szCs w:val="18"/>
              </w:rPr>
            </w:pPr>
          </w:p>
          <w:p w14:paraId="5DAC0C9B">
            <w:pPr>
              <w:snapToGrid w:val="0"/>
              <w:jc w:val="center"/>
              <w:rPr>
                <w:rFonts w:hAnsiTheme="minorEastAsia" w:eastAsiaTheme="minorEastAsia"/>
                <w:b/>
                <w:color w:val="auto"/>
                <w:sz w:val="18"/>
                <w:szCs w:val="18"/>
              </w:rPr>
            </w:pPr>
          </w:p>
          <w:p w14:paraId="5E23A838">
            <w:pPr>
              <w:snapToGrid w:val="0"/>
              <w:jc w:val="center"/>
              <w:rPr>
                <w:rFonts w:hAnsiTheme="minorEastAsia" w:eastAsiaTheme="minorEastAsia"/>
                <w:b/>
                <w:color w:val="auto"/>
                <w:sz w:val="18"/>
                <w:szCs w:val="18"/>
              </w:rPr>
            </w:pPr>
          </w:p>
          <w:p w14:paraId="7A4B8FE1">
            <w:pPr>
              <w:snapToGrid w:val="0"/>
              <w:jc w:val="center"/>
              <w:rPr>
                <w:rFonts w:hAnsiTheme="minorEastAsia" w:eastAsiaTheme="minorEastAsia"/>
                <w:b/>
                <w:color w:val="auto"/>
                <w:sz w:val="18"/>
                <w:szCs w:val="18"/>
              </w:rPr>
            </w:pPr>
          </w:p>
          <w:p w14:paraId="172CA929">
            <w:pPr>
              <w:snapToGrid w:val="0"/>
              <w:jc w:val="center"/>
              <w:rPr>
                <w:rFonts w:hAnsiTheme="minorEastAsia" w:eastAsiaTheme="minorEastAsia"/>
                <w:b/>
                <w:color w:val="auto"/>
                <w:sz w:val="18"/>
                <w:szCs w:val="18"/>
              </w:rPr>
            </w:pPr>
          </w:p>
          <w:p w14:paraId="74208C2D">
            <w:pPr>
              <w:spacing w:line="360" w:lineRule="auto"/>
              <w:ind w:firstLine="361" w:firstLineChars="200"/>
              <w:jc w:val="center"/>
              <w:rPr>
                <w:rFonts w:hAnsiTheme="minorEastAsia" w:eastAsiaTheme="minorEastAsia"/>
                <w:b/>
                <w:color w:val="auto"/>
                <w:sz w:val="18"/>
                <w:szCs w:val="18"/>
              </w:rPr>
            </w:pPr>
          </w:p>
          <w:p w14:paraId="789E33F6">
            <w:pPr>
              <w:spacing w:line="360" w:lineRule="auto"/>
              <w:ind w:firstLine="361" w:firstLineChars="200"/>
              <w:jc w:val="center"/>
              <w:rPr>
                <w:rFonts w:hAnsiTheme="minorEastAsia" w:eastAsiaTheme="minorEastAsia"/>
                <w:b/>
                <w:color w:val="auto"/>
                <w:sz w:val="18"/>
                <w:szCs w:val="18"/>
              </w:rPr>
            </w:pPr>
          </w:p>
          <w:p w14:paraId="6BDCDD30">
            <w:pPr>
              <w:spacing w:line="360" w:lineRule="auto"/>
              <w:ind w:firstLine="361" w:firstLineChars="200"/>
              <w:jc w:val="center"/>
              <w:rPr>
                <w:rFonts w:hAnsiTheme="minorEastAsia" w:eastAsiaTheme="minorEastAsia"/>
                <w:b/>
                <w:color w:val="auto"/>
                <w:sz w:val="18"/>
                <w:szCs w:val="18"/>
              </w:rPr>
            </w:pPr>
          </w:p>
          <w:p w14:paraId="7B8102AA">
            <w:pPr>
              <w:spacing w:line="360" w:lineRule="auto"/>
              <w:ind w:firstLine="361" w:firstLineChars="200"/>
              <w:jc w:val="center"/>
              <w:rPr>
                <w:rFonts w:hint="eastAsia"/>
                <w:color w:val="auto"/>
                <w:szCs w:val="21"/>
              </w:rPr>
            </w:pPr>
            <w:r>
              <w:rPr>
                <w:rFonts w:hAnsiTheme="minorEastAsia" w:eastAsiaTheme="minorEastAsia"/>
                <w:b/>
                <w:color w:val="auto"/>
                <w:sz w:val="18"/>
                <w:szCs w:val="18"/>
              </w:rPr>
              <w:t>图</w:t>
            </w:r>
            <w:r>
              <w:rPr>
                <w:rFonts w:eastAsiaTheme="minorEastAsia"/>
                <w:b/>
                <w:color w:val="auto"/>
                <w:sz w:val="18"/>
                <w:szCs w:val="18"/>
              </w:rPr>
              <w:t>2-</w:t>
            </w:r>
            <w:r>
              <w:rPr>
                <w:rFonts w:hint="eastAsia" w:eastAsiaTheme="minorEastAsia"/>
                <w:b/>
                <w:color w:val="auto"/>
                <w:sz w:val="18"/>
                <w:szCs w:val="18"/>
                <w:lang w:val="en-US" w:eastAsia="zh-CN"/>
              </w:rPr>
              <w:t>2</w:t>
            </w:r>
            <w:r>
              <w:rPr>
                <w:rFonts w:eastAsiaTheme="minorEastAsia"/>
                <w:b/>
                <w:color w:val="auto"/>
                <w:sz w:val="18"/>
                <w:szCs w:val="18"/>
              </w:rPr>
              <w:t xml:space="preserve">  </w:t>
            </w:r>
            <w:r>
              <w:rPr>
                <w:rFonts w:hint="eastAsia" w:eastAsiaTheme="minorEastAsia"/>
                <w:b/>
                <w:color w:val="auto"/>
                <w:sz w:val="18"/>
                <w:szCs w:val="18"/>
              </w:rPr>
              <w:t xml:space="preserve">  </w:t>
            </w:r>
            <w:r>
              <w:rPr>
                <w:rFonts w:hAnsiTheme="minorEastAsia" w:eastAsiaTheme="minorEastAsia"/>
                <w:b/>
                <w:color w:val="auto"/>
                <w:sz w:val="18"/>
                <w:szCs w:val="18"/>
              </w:rPr>
              <w:t>本项目采暖期水平衡图（</w:t>
            </w:r>
            <w:r>
              <w:rPr>
                <w:rFonts w:eastAsiaTheme="minorEastAsia"/>
                <w:b/>
                <w:color w:val="auto"/>
                <w:sz w:val="18"/>
                <w:szCs w:val="18"/>
              </w:rPr>
              <w:t>m</w:t>
            </w:r>
            <w:r>
              <w:rPr>
                <w:rFonts w:eastAsiaTheme="minorEastAsia"/>
                <w:b/>
                <w:color w:val="auto"/>
                <w:sz w:val="18"/>
                <w:szCs w:val="18"/>
                <w:vertAlign w:val="superscript"/>
              </w:rPr>
              <w:t>3</w:t>
            </w:r>
            <w:r>
              <w:rPr>
                <w:rFonts w:eastAsiaTheme="minorEastAsia"/>
                <w:b/>
                <w:color w:val="auto"/>
                <w:sz w:val="18"/>
                <w:szCs w:val="18"/>
              </w:rPr>
              <w:t>/d</w:t>
            </w:r>
            <w:r>
              <w:rPr>
                <w:rFonts w:hAnsiTheme="minorEastAsia" w:eastAsiaTheme="minorEastAsia"/>
                <w:b/>
                <w:color w:val="auto"/>
                <w:sz w:val="18"/>
                <w:szCs w:val="18"/>
              </w:rPr>
              <w:t>）</w:t>
            </w:r>
          </w:p>
          <w:p w14:paraId="3B3DCCD2">
            <w:pPr>
              <w:spacing w:line="360" w:lineRule="auto"/>
              <w:ind w:firstLine="420" w:firstLineChars="200"/>
              <w:rPr>
                <w:rFonts w:hint="eastAsia"/>
                <w:color w:val="auto"/>
                <w:szCs w:val="21"/>
              </w:rPr>
            </w:pPr>
          </w:p>
          <w:p w14:paraId="64E6A529">
            <w:pPr>
              <w:spacing w:line="360" w:lineRule="auto"/>
              <w:ind w:firstLine="420" w:firstLineChars="200"/>
              <w:rPr>
                <w:rFonts w:hint="eastAsia"/>
                <w:color w:val="auto"/>
                <w:szCs w:val="21"/>
              </w:rPr>
            </w:pPr>
            <w:r>
              <w:rPr>
                <w:rFonts w:hint="eastAsia"/>
                <w:color w:val="auto"/>
                <w:szCs w:val="21"/>
              </w:rPr>
              <w:t>综上分析，本项目用水量为</w:t>
            </w:r>
            <w:r>
              <w:rPr>
                <w:rFonts w:hint="eastAsia"/>
                <w:color w:val="auto"/>
                <w:szCs w:val="21"/>
                <w:lang w:val="en-US" w:eastAsia="zh-CN"/>
              </w:rPr>
              <w:t>83934.8</w:t>
            </w:r>
            <w:r>
              <w:rPr>
                <w:rFonts w:hint="eastAsia"/>
                <w:color w:val="auto"/>
                <w:szCs w:val="21"/>
              </w:rPr>
              <w:t>m</w:t>
            </w:r>
            <w:r>
              <w:rPr>
                <w:rFonts w:hint="eastAsia"/>
                <w:color w:val="auto"/>
                <w:szCs w:val="21"/>
                <w:vertAlign w:val="superscript"/>
              </w:rPr>
              <w:t>3</w:t>
            </w:r>
            <w:r>
              <w:rPr>
                <w:rFonts w:hint="eastAsia"/>
                <w:color w:val="auto"/>
                <w:szCs w:val="21"/>
              </w:rPr>
              <w:t>/a，废水产生量为</w:t>
            </w:r>
            <w:r>
              <w:rPr>
                <w:rFonts w:hint="eastAsia"/>
                <w:color w:val="auto"/>
                <w:szCs w:val="21"/>
                <w:lang w:val="en-US" w:eastAsia="zh-CN"/>
              </w:rPr>
              <w:t>64012.04</w:t>
            </w:r>
            <w:r>
              <w:rPr>
                <w:rFonts w:hint="eastAsia"/>
                <w:color w:val="auto"/>
                <w:szCs w:val="21"/>
              </w:rPr>
              <w:t>m</w:t>
            </w:r>
            <w:r>
              <w:rPr>
                <w:rFonts w:hint="eastAsia"/>
                <w:color w:val="auto"/>
                <w:szCs w:val="21"/>
                <w:vertAlign w:val="superscript"/>
              </w:rPr>
              <w:t>3</w:t>
            </w:r>
            <w:r>
              <w:rPr>
                <w:rFonts w:hint="eastAsia"/>
                <w:color w:val="auto"/>
                <w:szCs w:val="21"/>
              </w:rPr>
              <w:t>/a。</w:t>
            </w:r>
          </w:p>
          <w:p w14:paraId="5B4EB353">
            <w:pPr>
              <w:snapToGrid w:val="0"/>
              <w:spacing w:line="360" w:lineRule="auto"/>
              <w:ind w:firstLine="422" w:firstLineChars="200"/>
              <w:rPr>
                <w:rFonts w:hint="eastAsia"/>
                <w:b/>
                <w:bCs w:val="0"/>
                <w:color w:val="auto"/>
                <w:szCs w:val="21"/>
                <w:lang w:val="en-US" w:eastAsia="zh-CN"/>
              </w:rPr>
            </w:pPr>
            <w:r>
              <w:rPr>
                <w:rFonts w:hint="eastAsia"/>
                <w:b/>
                <w:bCs w:val="0"/>
                <w:color w:val="auto"/>
                <w:szCs w:val="21"/>
                <w:lang w:val="en-US" w:eastAsia="zh-CN"/>
              </w:rPr>
              <w:t>2.8其他</w:t>
            </w:r>
          </w:p>
          <w:p w14:paraId="537082A5">
            <w:pPr>
              <w:snapToGrid w:val="0"/>
              <w:spacing w:line="360" w:lineRule="auto"/>
              <w:ind w:firstLine="420" w:firstLineChars="200"/>
              <w:rPr>
                <w:rFonts w:hint="default"/>
                <w:bCs/>
                <w:color w:val="auto"/>
                <w:szCs w:val="21"/>
                <w:lang w:val="en-US" w:eastAsia="zh-CN"/>
              </w:rPr>
            </w:pPr>
            <w:r>
              <w:rPr>
                <w:rFonts w:hint="eastAsia"/>
                <w:bCs/>
                <w:color w:val="auto"/>
                <w:szCs w:val="21"/>
                <w:lang w:val="en-US" w:eastAsia="zh-CN"/>
              </w:rPr>
              <w:t>检验科、卫生间、换药房、中药房及库房等采取机械排风；病房及科室采用紫外线消毒和空气喷雾消毒；医疗器械采用高压蒸汽灭菌器消毒；污水处理站废水采用二氧化氯消毒，污泥采用石灰消毒；特殊医疗废水采用石灰中和预处理。</w:t>
            </w:r>
          </w:p>
        </w:tc>
      </w:tr>
      <w:tr w14:paraId="0627B94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71" w:hRule="atLeast"/>
          <w:jc w:val="center"/>
        </w:trPr>
        <w:tc>
          <w:tcPr>
            <w:tcW w:w="1491" w:type="dxa"/>
            <w:vAlign w:val="center"/>
          </w:tcPr>
          <w:p w14:paraId="54F5A802">
            <w:pPr>
              <w:pStyle w:val="41"/>
              <w:adjustRightInd w:val="0"/>
              <w:snapToGrid w:val="0"/>
              <w:spacing w:before="0" w:beforeAutospacing="0" w:after="0" w:afterAutospacing="0"/>
              <w:jc w:val="center"/>
              <w:rPr>
                <w:rFonts w:ascii="Times New Roman" w:hAnsi="Times New Roman"/>
                <w:sz w:val="21"/>
                <w:szCs w:val="21"/>
              </w:rPr>
            </w:pPr>
            <w:r>
              <w:rPr>
                <w:rFonts w:ascii="Times New Roman" w:hAnsi="Times New Roman"/>
                <w:sz w:val="21"/>
                <w:szCs w:val="21"/>
              </w:rPr>
              <w:t>工艺流程和产排污环节</w:t>
            </w:r>
          </w:p>
        </w:tc>
        <w:tc>
          <w:tcPr>
            <w:tcW w:w="7499" w:type="dxa"/>
          </w:tcPr>
          <w:p w14:paraId="7DCA3808">
            <w:pPr>
              <w:snapToGrid w:val="0"/>
              <w:spacing w:line="360" w:lineRule="auto"/>
              <w:ind w:firstLine="422" w:firstLineChars="200"/>
              <w:rPr>
                <w:bCs/>
                <w:color w:val="auto"/>
                <w:szCs w:val="21"/>
              </w:rPr>
            </w:pPr>
            <w:r>
              <w:rPr>
                <w:rFonts w:hint="eastAsia"/>
                <w:b/>
                <w:bCs w:val="0"/>
                <w:color w:val="auto"/>
                <w:szCs w:val="21"/>
                <w:lang w:val="en-US" w:eastAsia="zh-CN"/>
              </w:rPr>
              <w:t>一、施工期</w:t>
            </w:r>
            <w:r>
              <w:rPr>
                <w:rFonts w:hint="eastAsia"/>
                <w:bCs/>
                <w:color w:val="auto"/>
                <w:szCs w:val="21"/>
                <w:lang w:val="en-US" w:eastAsia="zh-CN"/>
              </w:rPr>
              <w:t xml:space="preserve"> </w:t>
            </w:r>
          </w:p>
          <w:p w14:paraId="5152A6E4">
            <w:pPr>
              <w:snapToGrid w:val="0"/>
              <w:spacing w:line="360" w:lineRule="auto"/>
              <w:ind w:firstLine="420" w:firstLineChars="200"/>
              <w:rPr>
                <w:bCs/>
                <w:color w:val="auto"/>
                <w:szCs w:val="21"/>
              </w:rPr>
            </w:pPr>
            <w:r>
              <w:rPr>
                <w:rFonts w:hint="eastAsia"/>
                <w:bCs/>
                <w:color w:val="auto"/>
                <w:szCs w:val="21"/>
                <w:lang w:val="en-US" w:eastAsia="zh-CN"/>
              </w:rPr>
              <w:t xml:space="preserve">本工程为新建项目，同时配套建设废水处理设施、医疗废物贮存库等。在项目施工期可能产生的环境问题主要是主体工程施工、挖填方、装修和设备仪器安装过程中的施工机械噪声污染，施工期间废水、物料粉尘、装修废气及固体废物等排放造成的污染。 </w:t>
            </w:r>
          </w:p>
          <w:p w14:paraId="02486B28">
            <w:pPr>
              <w:snapToGrid w:val="0"/>
              <w:spacing w:line="360" w:lineRule="auto"/>
              <w:ind w:firstLine="420" w:firstLineChars="200"/>
              <w:rPr>
                <w:bCs/>
                <w:color w:val="auto"/>
                <w:szCs w:val="21"/>
              </w:rPr>
            </w:pPr>
            <w:r>
              <w:rPr>
                <w:rFonts w:hint="eastAsia"/>
                <w:bCs/>
                <w:color w:val="auto"/>
                <w:szCs w:val="21"/>
                <w:lang w:val="en-US" w:eastAsia="zh-CN"/>
              </w:rPr>
              <w:t xml:space="preserve">施工期施工废气主要为施工扬尘、汽车尾气；机械噪声来源于机械设备噪声、汽车运输噪声等；废水来源于车辆冲洗、施工人员生活等；固体废物来源于废土方、建筑垃圾、施工人员生活垃圾等。 </w:t>
            </w:r>
          </w:p>
          <w:p w14:paraId="331576B9">
            <w:pPr>
              <w:snapToGrid w:val="0"/>
              <w:spacing w:line="360" w:lineRule="auto"/>
              <w:ind w:firstLine="422" w:firstLineChars="200"/>
              <w:rPr>
                <w:b/>
                <w:bCs w:val="0"/>
                <w:color w:val="auto"/>
                <w:szCs w:val="21"/>
              </w:rPr>
            </w:pPr>
            <w:r>
              <w:rPr>
                <w:rFonts w:hint="eastAsia"/>
                <w:b/>
                <w:bCs w:val="0"/>
                <w:color w:val="auto"/>
                <w:szCs w:val="21"/>
                <w:lang w:val="en-US" w:eastAsia="zh-CN"/>
              </w:rPr>
              <w:t xml:space="preserve">二、营运期 </w:t>
            </w:r>
          </w:p>
          <w:p w14:paraId="2E416B0E">
            <w:pPr>
              <w:snapToGrid w:val="0"/>
              <w:spacing w:line="360" w:lineRule="auto"/>
              <w:ind w:firstLine="420" w:firstLineChars="200"/>
              <w:rPr>
                <w:bCs/>
                <w:color w:val="auto"/>
                <w:szCs w:val="21"/>
              </w:rPr>
            </w:pPr>
            <w:r>
              <w:rPr>
                <w:rFonts w:hint="eastAsia"/>
                <w:bCs/>
                <w:color w:val="auto"/>
                <w:szCs w:val="21"/>
                <w:lang w:val="en-US" w:eastAsia="zh-CN"/>
              </w:rPr>
              <w:t xml:space="preserve">运营过程中涉及到废水、废气、噪声、固废等污染物产生。 </w:t>
            </w:r>
          </w:p>
          <w:p w14:paraId="694FB6AD">
            <w:pPr>
              <w:snapToGrid w:val="0"/>
              <w:spacing w:line="360" w:lineRule="auto"/>
              <w:ind w:firstLine="420" w:firstLineChars="200"/>
              <w:rPr>
                <w:bCs/>
                <w:color w:val="auto"/>
                <w:szCs w:val="21"/>
              </w:rPr>
            </w:pPr>
            <w:r>
              <w:rPr>
                <w:rFonts w:hint="eastAsia"/>
                <w:bCs/>
                <w:color w:val="auto"/>
                <w:szCs w:val="21"/>
                <w:lang w:val="en-US" w:eastAsia="zh-CN"/>
              </w:rPr>
              <w:t xml:space="preserve">废气：营运期主要大气污染因素为污水处理站产生的恶臭、食堂油烟等； </w:t>
            </w:r>
          </w:p>
          <w:p w14:paraId="686F8174">
            <w:pPr>
              <w:snapToGrid w:val="0"/>
              <w:spacing w:line="360" w:lineRule="auto"/>
              <w:ind w:firstLine="420" w:firstLineChars="200"/>
              <w:rPr>
                <w:bCs/>
                <w:color w:val="auto"/>
                <w:szCs w:val="21"/>
              </w:rPr>
            </w:pPr>
            <w:r>
              <w:rPr>
                <w:rFonts w:hint="eastAsia"/>
                <w:bCs/>
                <w:color w:val="auto"/>
                <w:szCs w:val="21"/>
                <w:lang w:val="en-US" w:eastAsia="zh-CN"/>
              </w:rPr>
              <w:t xml:space="preserve">废水：营运期产生的废水主要包括生活污水和医疗废水。医疗废水主要包括住院病房、门急诊、特殊性质医疗活动及其他医疗活动产生的废水等。 </w:t>
            </w:r>
          </w:p>
          <w:p w14:paraId="2E6CBDC4">
            <w:pPr>
              <w:snapToGrid w:val="0"/>
              <w:spacing w:line="360" w:lineRule="auto"/>
              <w:ind w:firstLine="420" w:firstLineChars="200"/>
              <w:rPr>
                <w:bCs/>
                <w:color w:val="auto"/>
                <w:szCs w:val="21"/>
              </w:rPr>
            </w:pPr>
            <w:r>
              <w:rPr>
                <w:rFonts w:hint="eastAsia"/>
                <w:bCs/>
                <w:color w:val="auto"/>
                <w:szCs w:val="21"/>
                <w:lang w:val="en-US" w:eastAsia="zh-CN"/>
              </w:rPr>
              <w:t xml:space="preserve">噪声：营运期噪声主要来源于污水处理站水泵、污泥泵等产生的设备噪声，车辆噪声以及就医人员嘈杂声等社会噪声； </w:t>
            </w:r>
          </w:p>
          <w:p w14:paraId="65786CB5">
            <w:pPr>
              <w:snapToGrid w:val="0"/>
              <w:spacing w:line="360" w:lineRule="auto"/>
              <w:ind w:firstLine="420" w:firstLineChars="200"/>
              <w:rPr>
                <w:bCs/>
                <w:color w:val="auto"/>
                <w:szCs w:val="21"/>
              </w:rPr>
            </w:pPr>
            <w:r>
              <w:rPr>
                <w:sz w:val="21"/>
              </w:rPr>
              <w:pict>
                <v:group id="_x0000_s2601" o:spid="_x0000_s2601" o:spt="203" style="position:absolute;left:0pt;margin-left:-0.6pt;margin-top:27.65pt;height:331.5pt;width:347.25pt;z-index:251667456;mso-width-relative:page;mso-height-relative:page;" coordorigin="7507,368225" coordsize="6945,6630">
                  <o:lock v:ext="edit" aspectratio="f"/>
                  <v:shape id="_x0000_s2365" o:spid="_x0000_s2365" o:spt="202" type="#_x0000_t202" style="position:absolute;left:10358;top:368225;height:402;width:1415;" fillcolor="#FFFFFF" filled="t" stroked="t" coordsize="21600,21600">
                    <v:path/>
                    <v:fill on="t" color2="#FFFFFF" focussize="0,0"/>
                    <v:stroke color="#000000" joinstyle="miter"/>
                    <v:imagedata o:title=""/>
                    <o:lock v:ext="edit" aspectratio="f"/>
                    <v:textbox>
                      <w:txbxContent>
                        <w:p w14:paraId="327BFB8D">
                          <w:pPr>
                            <w:jc w:val="center"/>
                            <w:rPr>
                              <w:rFonts w:hint="default" w:eastAsia="宋体"/>
                              <w:lang w:val="en-US" w:eastAsia="zh-CN"/>
                            </w:rPr>
                          </w:pPr>
                          <w:r>
                            <w:rPr>
                              <w:rFonts w:hint="eastAsia"/>
                              <w:lang w:val="en-US" w:eastAsia="zh-CN"/>
                            </w:rPr>
                            <w:t>康养中心</w:t>
                          </w:r>
                        </w:p>
                      </w:txbxContent>
                    </v:textbox>
                  </v:shape>
                  <v:shape id="_x0000_s2377" o:spid="_x0000_s2377" o:spt="202" type="#_x0000_t202" style="position:absolute;left:7507;top:369870;height:584;width:539;" filled="f" stroked="t" coordsize="21600,21600">
                    <v:path/>
                    <v:fill on="f" focussize="0,0"/>
                    <v:stroke color="#000000" joinstyle="miter"/>
                    <v:imagedata o:title=""/>
                    <o:lock v:ext="edit" aspectratio="f"/>
                    <v:textbox style="layout-flow:vertical-ideographic;">
                      <w:txbxContent>
                        <w:p w14:paraId="31A04CE8">
                          <w:pPr>
                            <w:keepNext w:val="0"/>
                            <w:keepLines w:val="0"/>
                            <w:pageBreakBefore w:val="0"/>
                            <w:widowControl w:val="0"/>
                            <w:kinsoku/>
                            <w:wordWrap/>
                            <w:overflowPunct/>
                            <w:topLinePunct w:val="0"/>
                            <w:bidi w:val="0"/>
                            <w:adjustRightInd/>
                            <w:snapToGrid/>
                            <w:spacing w:line="240" w:lineRule="exact"/>
                            <w:textAlignment w:val="auto"/>
                            <w:rPr>
                              <w:rFonts w:hint="eastAsia" w:eastAsia="宋体"/>
                              <w:lang w:val="en-US" w:eastAsia="zh-CN"/>
                            </w:rPr>
                          </w:pPr>
                          <w:r>
                            <w:rPr>
                              <w:rFonts w:hint="eastAsia"/>
                              <w:lang w:val="en-US" w:eastAsia="zh-CN"/>
                            </w:rPr>
                            <w:t>挂号</w:t>
                          </w:r>
                        </w:p>
                      </w:txbxContent>
                    </v:textbox>
                  </v:shape>
                  <v:shape id="_x0000_s2412" o:spid="_x0000_s2412" o:spt="202" type="#_x0000_t202" style="position:absolute;left:8604;top:373530;height:435;width:1712;" fillcolor="#FFFFFF" filled="t" stroked="t" coordsize="21600,21600">
                    <v:path/>
                    <v:fill on="t" color2="#FFFFFF" focussize="0,0"/>
                    <v:stroke color="#000000" joinstyle="miter"/>
                    <v:imagedata o:title=""/>
                    <o:lock v:ext="edit" aspectratio="f"/>
                    <v:textbox>
                      <w:txbxContent>
                        <w:p w14:paraId="7A7CEEE8">
                          <w:pPr>
                            <w:jc w:val="center"/>
                            <w:rPr>
                              <w:rFonts w:hint="default" w:eastAsia="宋体"/>
                              <w:lang w:val="en-US" w:eastAsia="zh-CN"/>
                            </w:rPr>
                          </w:pPr>
                          <w:r>
                            <w:rPr>
                              <w:rFonts w:hint="eastAsia"/>
                              <w:lang w:val="en-US" w:eastAsia="zh-CN"/>
                            </w:rPr>
                            <w:t>园区污水管网</w:t>
                          </w:r>
                        </w:p>
                      </w:txbxContent>
                    </v:textbox>
                  </v:shape>
                  <v:shape id="_x0000_s2418" o:spid="_x0000_s2418" o:spt="202" type="#_x0000_t202" style="position:absolute;left:10086;top:372627;height:438;width:970;" filled="f" stroked="f" coordsize="21600,21600">
                    <v:path/>
                    <v:fill on="f" focussize="0,0"/>
                    <v:stroke on="f"/>
                    <v:imagedata o:title=""/>
                    <o:lock v:ext="edit" aspectratio="f"/>
                    <v:textbox>
                      <w:txbxContent>
                        <w:p w14:paraId="4E78F6FE">
                          <w:pPr>
                            <w:jc w:val="center"/>
                            <w:rPr>
                              <w:rFonts w:hint="eastAsia" w:eastAsia="宋体"/>
                              <w:lang w:val="en-US" w:eastAsia="zh-CN"/>
                            </w:rPr>
                          </w:pPr>
                          <w:r>
                            <w:rPr>
                              <w:rFonts w:hint="eastAsia"/>
                              <w:lang w:val="en-US" w:eastAsia="zh-CN"/>
                            </w:rPr>
                            <w:t>废气</w:t>
                          </w:r>
                        </w:p>
                      </w:txbxContent>
                    </v:textbox>
                  </v:shape>
                  <v:shape id="_x0000_s2427" o:spid="_x0000_s2427" o:spt="202" type="#_x0000_t202" style="position:absolute;left:10699;top:373907;height:937;width:1512;" filled="f" stroked="f" coordsize="21600,21600">
                    <v:path/>
                    <v:fill on="f" focussize="0,0"/>
                    <v:stroke on="f"/>
                    <v:imagedata o:title=""/>
                    <o:lock v:ext="edit" aspectratio="f"/>
                    <v:textbox>
                      <w:txbxContent>
                        <w:p w14:paraId="76E61AFF">
                          <w:pPr>
                            <w:jc w:val="center"/>
                            <w:rPr>
                              <w:rFonts w:hint="default" w:eastAsia="宋体"/>
                              <w:spacing w:val="-11"/>
                              <w:sz w:val="21"/>
                              <w:lang w:val="en-US" w:eastAsia="zh-CN"/>
                            </w:rPr>
                          </w:pPr>
                          <w:r>
                            <w:rPr>
                              <w:rFonts w:hint="eastAsia"/>
                              <w:spacing w:val="-11"/>
                              <w:sz w:val="21"/>
                              <w:lang w:val="en-US" w:eastAsia="zh-CN"/>
                            </w:rPr>
                            <w:t>委托有资质单位清运处置</w:t>
                          </w:r>
                        </w:p>
                      </w:txbxContent>
                    </v:textbox>
                  </v:shape>
                  <v:line id="_x0000_s2366" o:spid="_x0000_s2366" o:spt="20" style="position:absolute;left:11053;top:368628;flip:x;height:195;width:12;" filled="f" stroked="t" coordsize="21600,21600">
                    <v:path arrowok="t"/>
                    <v:fill on="f" focussize="0,0"/>
                    <v:stroke color="#000000"/>
                    <v:imagedata o:title=""/>
                    <o:lock v:ext="edit" aspectratio="f"/>
                  </v:line>
                  <v:line id="_x0000_s2367" o:spid="_x0000_s2367" o:spt="20" style="position:absolute;left:8761;top:368826;height:12;width:4903;" filled="f" stroked="t" coordsize="21600,21600">
                    <v:path arrowok="t"/>
                    <v:fill on="f" focussize="0,0"/>
                    <v:stroke color="#000000"/>
                    <v:imagedata o:title=""/>
                    <o:lock v:ext="edit" aspectratio="f"/>
                  </v:line>
                  <v:line id="_x0000_s2368" o:spid="_x0000_s2368" o:spt="20" style="position:absolute;left:8773;top:368835;flip:x;height:195;width:12;" filled="f" stroked="t" coordsize="21600,21600">
                    <v:path arrowok="t"/>
                    <v:fill on="f" focussize="0,0"/>
                    <v:stroke color="#000000" endarrow="block"/>
                    <v:imagedata o:title=""/>
                    <o:lock v:ext="edit" aspectratio="f"/>
                  </v:line>
                  <v:shape id="_x0000_s2369" o:spid="_x0000_s2369" o:spt="202" type="#_x0000_t202" style="position:absolute;left:8091;top:369030;height:402;width:1415;" fillcolor="#FFFFFF" filled="t" stroked="t" coordsize="21600,21600">
                    <v:path/>
                    <v:fill on="t" color2="#FFFFFF" focussize="0,0"/>
                    <v:stroke color="#000000" joinstyle="miter"/>
                    <v:imagedata o:title=""/>
                    <o:lock v:ext="edit" aspectratio="f"/>
                    <v:textbox>
                      <w:txbxContent>
                        <w:p w14:paraId="61F5D92E">
                          <w:pPr>
                            <w:jc w:val="center"/>
                            <w:rPr>
                              <w:rFonts w:hint="default" w:eastAsia="宋体"/>
                              <w:lang w:val="en-US" w:eastAsia="zh-CN"/>
                            </w:rPr>
                          </w:pPr>
                          <w:r>
                            <w:rPr>
                              <w:rFonts w:hint="eastAsia"/>
                              <w:lang w:val="en-US" w:eastAsia="zh-CN"/>
                            </w:rPr>
                            <w:t>医疗服务</w:t>
                          </w:r>
                        </w:p>
                      </w:txbxContent>
                    </v:textbox>
                  </v:shape>
                  <v:line id="_x0000_s2371" o:spid="_x0000_s2371" o:spt="20" style="position:absolute;left:13663;top:368847;flip:x;height:195;width:12;" filled="f" stroked="t" coordsize="21600,21600">
                    <v:path arrowok="t"/>
                    <v:fill on="f" focussize="0,0"/>
                    <v:stroke color="#000000" endarrow="block"/>
                    <v:imagedata o:title=""/>
                    <o:lock v:ext="edit" aspectratio="f"/>
                  </v:line>
                  <v:shape id="_x0000_s2370" o:spid="_x0000_s2370" o:spt="202" type="#_x0000_t202" style="position:absolute;left:12981;top:369042;height:402;width:1415;" fillcolor="#FFFFFF" filled="t" stroked="t" coordsize="21600,21600">
                    <v:path/>
                    <v:fill on="t" color2="#FFFFFF" focussize="0,0"/>
                    <v:stroke color="#000000" joinstyle="miter"/>
                    <v:imagedata o:title=""/>
                    <o:lock v:ext="edit" aspectratio="f"/>
                    <v:textbox>
                      <w:txbxContent>
                        <w:p w14:paraId="2CA9D07A">
                          <w:pPr>
                            <w:jc w:val="center"/>
                            <w:rPr>
                              <w:rFonts w:hint="default" w:eastAsia="宋体"/>
                              <w:lang w:val="en-US" w:eastAsia="zh-CN"/>
                            </w:rPr>
                          </w:pPr>
                          <w:r>
                            <w:rPr>
                              <w:rFonts w:hint="eastAsia"/>
                              <w:lang w:val="en-US" w:eastAsia="zh-CN"/>
                            </w:rPr>
                            <w:t>康养护理</w:t>
                          </w:r>
                        </w:p>
                      </w:txbxContent>
                    </v:textbox>
                  </v:shape>
                  <v:line id="_x0000_s2372" o:spid="_x0000_s2372" o:spt="20" style="position:absolute;left:11065;top:368835;flip:x;height:195;width:12;" filled="f" stroked="t" coordsize="21600,21600">
                    <v:path arrowok="t"/>
                    <v:fill on="f" focussize="0,0"/>
                    <v:stroke color="#000000" endarrow="block"/>
                    <v:imagedata o:title=""/>
                    <o:lock v:ext="edit" aspectratio="f"/>
                  </v:line>
                  <v:shape id="_x0000_s2373" o:spid="_x0000_s2373" o:spt="202" type="#_x0000_t202" style="position:absolute;left:10371;top:369018;height:402;width:1415;" fillcolor="#FFFFFF" filled="t" stroked="t" coordsize="21600,21600">
                    <v:path/>
                    <v:fill on="t" color2="#FFFFFF" focussize="0,0"/>
                    <v:stroke color="#000000" joinstyle="miter"/>
                    <v:imagedata o:title=""/>
                    <o:lock v:ext="edit" aspectratio="f"/>
                    <v:textbox>
                      <w:txbxContent>
                        <w:p w14:paraId="49281210">
                          <w:pPr>
                            <w:jc w:val="center"/>
                            <w:rPr>
                              <w:rFonts w:hint="default" w:eastAsia="宋体"/>
                              <w:lang w:val="en-US" w:eastAsia="zh-CN"/>
                            </w:rPr>
                          </w:pPr>
                          <w:r>
                            <w:rPr>
                              <w:rFonts w:hint="eastAsia"/>
                              <w:lang w:val="en-US" w:eastAsia="zh-CN"/>
                            </w:rPr>
                            <w:t>办公生活</w:t>
                          </w:r>
                        </w:p>
                      </w:txbxContent>
                    </v:textbox>
                  </v:shape>
                  <v:line id="_x0000_s2374" o:spid="_x0000_s2374" o:spt="20" style="position:absolute;left:8748;top:369458;flip:x;height:195;width:12;" filled="f" stroked="t" coordsize="21600,21600">
                    <v:path arrowok="t"/>
                    <v:fill on="f" focussize="0,0"/>
                    <v:stroke color="#000000"/>
                    <v:imagedata o:title=""/>
                    <o:lock v:ext="edit" aspectratio="f"/>
                  </v:line>
                  <v:line id="_x0000_s2376" o:spid="_x0000_s2376" o:spt="20" style="position:absolute;left:7652;top:369668;height:1;width:2672;" filled="f" stroked="t" coordsize="21600,21600">
                    <v:path arrowok="t"/>
                    <v:fill on="f" focussize="0,0"/>
                    <v:stroke color="#000000"/>
                    <v:imagedata o:title=""/>
                    <o:lock v:ext="edit" aspectratio="f"/>
                  </v:line>
                  <v:shape id="_x0000_s2378" o:spid="_x0000_s2378" o:spt="202" type="#_x0000_t202" style="position:absolute;left:8043;top:369870;height:584;width:539;" filled="f" stroked="t" coordsize="21600,21600">
                    <v:path/>
                    <v:fill on="f" focussize="0,0"/>
                    <v:stroke color="#000000" joinstyle="miter"/>
                    <v:imagedata o:title=""/>
                    <o:lock v:ext="edit" aspectratio="f"/>
                    <v:textbox style="layout-flow:vertical-ideographic;">
                      <w:txbxContent>
                        <w:p w14:paraId="15140424">
                          <w:pPr>
                            <w:keepNext w:val="0"/>
                            <w:keepLines w:val="0"/>
                            <w:pageBreakBefore w:val="0"/>
                            <w:widowControl w:val="0"/>
                            <w:kinsoku/>
                            <w:wordWrap/>
                            <w:overflowPunct/>
                            <w:topLinePunct w:val="0"/>
                            <w:bidi w:val="0"/>
                            <w:adjustRightInd/>
                            <w:snapToGrid/>
                            <w:spacing w:line="240" w:lineRule="exact"/>
                            <w:textAlignment w:val="auto"/>
                            <w:rPr>
                              <w:rFonts w:hint="default" w:eastAsia="宋体"/>
                              <w:lang w:val="en-US" w:eastAsia="zh-CN"/>
                            </w:rPr>
                          </w:pPr>
                          <w:r>
                            <w:rPr>
                              <w:rFonts w:hint="eastAsia"/>
                              <w:lang w:val="en-US" w:eastAsia="zh-CN"/>
                            </w:rPr>
                            <w:t>诊断</w:t>
                          </w:r>
                        </w:p>
                      </w:txbxContent>
                    </v:textbox>
                  </v:shape>
                  <v:shape id="_x0000_s2380" o:spid="_x0000_s2380" o:spt="202" type="#_x0000_t202" style="position:absolute;left:8591;top:369870;height:584;width:539;" filled="f" stroked="t" coordsize="21600,21600">
                    <v:path/>
                    <v:fill on="f" focussize="0,0"/>
                    <v:stroke color="#000000" joinstyle="miter"/>
                    <v:imagedata o:title=""/>
                    <o:lock v:ext="edit" aspectratio="f"/>
                    <v:textbox style="layout-flow:vertical-ideographic;">
                      <w:txbxContent>
                        <w:p w14:paraId="463874A0">
                          <w:pPr>
                            <w:keepNext w:val="0"/>
                            <w:keepLines w:val="0"/>
                            <w:pageBreakBefore w:val="0"/>
                            <w:widowControl w:val="0"/>
                            <w:kinsoku/>
                            <w:wordWrap/>
                            <w:overflowPunct/>
                            <w:topLinePunct w:val="0"/>
                            <w:bidi w:val="0"/>
                            <w:adjustRightInd/>
                            <w:snapToGrid/>
                            <w:spacing w:line="240" w:lineRule="exact"/>
                            <w:textAlignment w:val="auto"/>
                            <w:rPr>
                              <w:rFonts w:hint="default" w:eastAsia="宋体"/>
                              <w:lang w:val="en-US" w:eastAsia="zh-CN"/>
                            </w:rPr>
                          </w:pPr>
                          <w:r>
                            <w:rPr>
                              <w:rFonts w:hint="eastAsia"/>
                              <w:lang w:val="en-US" w:eastAsia="zh-CN"/>
                            </w:rPr>
                            <w:t>化验</w:t>
                          </w:r>
                        </w:p>
                      </w:txbxContent>
                    </v:textbox>
                  </v:shape>
                  <v:shape id="_x0000_s2379" o:spid="_x0000_s2379" o:spt="202" type="#_x0000_t202" style="position:absolute;left:9116;top:369870;height:584;width:539;" filled="f" stroked="t" coordsize="21600,21600">
                    <v:path/>
                    <v:fill on="f" focussize="0,0"/>
                    <v:stroke color="#000000" joinstyle="miter"/>
                    <v:imagedata o:title=""/>
                    <o:lock v:ext="edit" aspectratio="f"/>
                    <v:textbox style="layout-flow:vertical-ideographic;">
                      <w:txbxContent>
                        <w:p w14:paraId="4E1ED967">
                          <w:pPr>
                            <w:keepNext w:val="0"/>
                            <w:keepLines w:val="0"/>
                            <w:pageBreakBefore w:val="0"/>
                            <w:widowControl w:val="0"/>
                            <w:kinsoku/>
                            <w:wordWrap/>
                            <w:overflowPunct/>
                            <w:topLinePunct w:val="0"/>
                            <w:bidi w:val="0"/>
                            <w:adjustRightInd/>
                            <w:snapToGrid/>
                            <w:spacing w:line="240" w:lineRule="exact"/>
                            <w:textAlignment w:val="auto"/>
                            <w:rPr>
                              <w:rFonts w:hint="default" w:eastAsia="宋体"/>
                              <w:lang w:val="en-US" w:eastAsia="zh-CN"/>
                            </w:rPr>
                          </w:pPr>
                          <w:r>
                            <w:rPr>
                              <w:rFonts w:hint="eastAsia"/>
                              <w:lang w:val="en-US" w:eastAsia="zh-CN"/>
                            </w:rPr>
                            <w:t>治疗</w:t>
                          </w:r>
                        </w:p>
                      </w:txbxContent>
                    </v:textbox>
                  </v:shape>
                  <v:shape id="_x0000_s2382" o:spid="_x0000_s2382" o:spt="202" type="#_x0000_t202" style="position:absolute;left:9652;top:369858;height:584;width:539;" filled="f" stroked="t" coordsize="21600,21600">
                    <v:path/>
                    <v:fill on="f" focussize="0,0"/>
                    <v:stroke color="#000000" joinstyle="miter"/>
                    <v:imagedata o:title=""/>
                    <o:lock v:ext="edit" aspectratio="f"/>
                    <v:textbox style="layout-flow:vertical-ideographic;">
                      <w:txbxContent>
                        <w:p w14:paraId="0C9E8AB0">
                          <w:pPr>
                            <w:keepNext w:val="0"/>
                            <w:keepLines w:val="0"/>
                            <w:pageBreakBefore w:val="0"/>
                            <w:widowControl w:val="0"/>
                            <w:kinsoku/>
                            <w:wordWrap/>
                            <w:overflowPunct/>
                            <w:topLinePunct w:val="0"/>
                            <w:bidi w:val="0"/>
                            <w:adjustRightInd/>
                            <w:snapToGrid/>
                            <w:spacing w:line="240" w:lineRule="exact"/>
                            <w:textAlignment w:val="auto"/>
                            <w:rPr>
                              <w:rFonts w:hint="default" w:eastAsia="宋体"/>
                              <w:lang w:val="en-US" w:eastAsia="zh-CN"/>
                            </w:rPr>
                          </w:pPr>
                          <w:r>
                            <w:rPr>
                              <w:rFonts w:hint="eastAsia"/>
                              <w:lang w:val="en-US" w:eastAsia="zh-CN"/>
                            </w:rPr>
                            <w:t>住院</w:t>
                          </w:r>
                        </w:p>
                      </w:txbxContent>
                    </v:textbox>
                  </v:shape>
                  <v:shape id="_x0000_s2381" o:spid="_x0000_s2381" o:spt="202" type="#_x0000_t202" style="position:absolute;left:10177;top:369858;height:584;width:539;" filled="f" stroked="t" coordsize="21600,21600">
                    <v:path/>
                    <v:fill on="f" focussize="0,0"/>
                    <v:stroke color="#000000" joinstyle="miter"/>
                    <v:imagedata o:title=""/>
                    <o:lock v:ext="edit" aspectratio="f"/>
                    <v:textbox style="layout-flow:vertical-ideographic;">
                      <w:txbxContent>
                        <w:p w14:paraId="12A0B393">
                          <w:pPr>
                            <w:keepNext w:val="0"/>
                            <w:keepLines w:val="0"/>
                            <w:pageBreakBefore w:val="0"/>
                            <w:widowControl w:val="0"/>
                            <w:kinsoku/>
                            <w:wordWrap/>
                            <w:overflowPunct/>
                            <w:topLinePunct w:val="0"/>
                            <w:bidi w:val="0"/>
                            <w:adjustRightInd/>
                            <w:snapToGrid/>
                            <w:spacing w:line="240" w:lineRule="exact"/>
                            <w:textAlignment w:val="auto"/>
                            <w:rPr>
                              <w:rFonts w:hint="default" w:eastAsia="宋体"/>
                              <w:lang w:val="en-US" w:eastAsia="zh-CN"/>
                            </w:rPr>
                          </w:pPr>
                          <w:r>
                            <w:rPr>
                              <w:rFonts w:hint="eastAsia"/>
                              <w:lang w:val="en-US" w:eastAsia="zh-CN"/>
                            </w:rPr>
                            <w:t>取药</w:t>
                          </w:r>
                        </w:p>
                      </w:txbxContent>
                    </v:textbox>
                  </v:shape>
                  <v:line id="_x0000_s2383" o:spid="_x0000_s2383" o:spt="20" style="position:absolute;left:7663;top:369677;flip:x;height:195;width:12;" filled="f" stroked="t" coordsize="21600,21600">
                    <v:path arrowok="t"/>
                    <v:fill on="f" focussize="0,0"/>
                    <v:stroke color="#000000"/>
                    <v:imagedata o:title=""/>
                    <o:lock v:ext="edit" aspectratio="f"/>
                  </v:line>
                  <v:line id="_x0000_s2384" o:spid="_x0000_s2384" o:spt="20" style="position:absolute;left:10333;top:369665;flip:x;height:195;width:12;" filled="f" stroked="t" coordsize="21600,21600">
                    <v:path arrowok="t"/>
                    <v:fill on="f" focussize="0,0"/>
                    <v:stroke color="#000000"/>
                    <v:imagedata o:title=""/>
                    <o:lock v:ext="edit" aspectratio="f"/>
                  </v:line>
                  <v:line id="_x0000_s2386" o:spid="_x0000_s2386" o:spt="20" style="position:absolute;left:7700;top:370482;flip:x;height:195;width:12;" filled="f" stroked="t" coordsize="21600,21600">
                    <v:path arrowok="t"/>
                    <v:fill on="f" focussize="0,0"/>
                    <v:stroke color="#000000"/>
                    <v:imagedata o:title=""/>
                    <o:lock v:ext="edit" aspectratio="f"/>
                  </v:line>
                  <v:line id="_x0000_s2385" o:spid="_x0000_s2385" o:spt="20" style="position:absolute;left:10370;top:370470;flip:x;height:195;width:12;" filled="f" stroked="t" coordsize="21600,21600">
                    <v:path arrowok="t"/>
                    <v:fill on="f" focussize="0,0"/>
                    <v:stroke color="#000000"/>
                    <v:imagedata o:title=""/>
                    <o:lock v:ext="edit" aspectratio="f"/>
                  </v:line>
                  <v:line id="_x0000_s2387" o:spid="_x0000_s2387" o:spt="20" style="position:absolute;left:7713;top:370668;height:1;width:2672;" filled="f" stroked="t" coordsize="21600,21600">
                    <v:path arrowok="t"/>
                    <v:fill on="f" focussize="0,0"/>
                    <v:stroke color="#000000"/>
                    <v:imagedata o:title=""/>
                    <o:lock v:ext="edit" aspectratio="f"/>
                  </v:line>
                  <v:line id="_x0000_s2388" o:spid="_x0000_s2388" o:spt="20" style="position:absolute;left:8968;top:370702;flip:x;height:231;width:12;" filled="f" stroked="t" coordsize="21600,21600">
                    <v:path arrowok="t"/>
                    <v:fill on="f" focussize="0,0"/>
                    <v:stroke color="#000000" endarrow="block"/>
                    <v:imagedata o:title=""/>
                    <o:lock v:ext="edit" aspectratio="f"/>
                  </v:line>
                  <v:line id="_x0000_s2389" o:spid="_x0000_s2389" o:spt="20" style="position:absolute;left:11089;top:369432;flip:x;height:1475;width:12;" filled="f" stroked="t" coordsize="21600,21600">
                    <v:path arrowok="t"/>
                    <v:fill on="f" focussize="0,0"/>
                    <v:stroke color="#000000" endarrow="block"/>
                    <v:imagedata o:title=""/>
                    <o:lock v:ext="edit" aspectratio="f"/>
                  </v:line>
                  <v:line id="_x0000_s2390" o:spid="_x0000_s2390" o:spt="20" style="position:absolute;left:13699;top:369457;flip:x;height:1475;width:12;" filled="f" stroked="t" coordsize="21600,21600">
                    <v:path arrowok="t"/>
                    <v:fill on="f" focussize="0,0"/>
                    <v:stroke color="#000000" endarrow="block"/>
                    <v:imagedata o:title=""/>
                    <o:lock v:ext="edit" aspectratio="f"/>
                  </v:line>
                  <v:line id="_x0000_s2391" o:spid="_x0000_s2391" o:spt="20" style="position:absolute;left:8956;top:370937;height:12;width:4782;" filled="f" stroked="t" coordsize="21600,21600">
                    <v:path arrowok="t"/>
                    <v:fill on="f" focussize="0,0"/>
                    <v:stroke color="#000000"/>
                    <v:imagedata o:title=""/>
                    <o:lock v:ext="edit" aspectratio="f"/>
                  </v:line>
                  <v:line id="_x0000_s2392" o:spid="_x0000_s2392" o:spt="20" style="position:absolute;left:8968;top:370959;flip:x;height:231;width:12;" filled="f" stroked="t" coordsize="21600,21600">
                    <v:path arrowok="t"/>
                    <v:fill on="f" focussize="0,0"/>
                    <v:stroke color="#000000" endarrow="block"/>
                    <v:imagedata o:title=""/>
                    <o:lock v:ext="edit" aspectratio="f"/>
                  </v:line>
                  <v:shape id="_x0000_s2393" o:spid="_x0000_s2393" o:spt="202" type="#_x0000_t202" style="position:absolute;left:8665;top:371199;height:1074;width:586;" fillcolor="#FFFFFF" filled="t" stroked="t" coordsize="21600,21600">
                    <v:path/>
                    <v:fill on="t" color2="#FFFFFF" focussize="0,0"/>
                    <v:stroke color="#000000" joinstyle="miter"/>
                    <v:imagedata o:title=""/>
                    <o:lock v:ext="edit" aspectratio="f"/>
                    <v:textbox style="layout-flow:vertical-ideographic;">
                      <w:txbxContent>
                        <w:p w14:paraId="6A4D6852">
                          <w:pPr>
                            <w:keepNext w:val="0"/>
                            <w:keepLines w:val="0"/>
                            <w:pageBreakBefore w:val="0"/>
                            <w:widowControl w:val="0"/>
                            <w:kinsoku/>
                            <w:wordWrap/>
                            <w:overflowPunct/>
                            <w:topLinePunct w:val="0"/>
                            <w:bidi w:val="0"/>
                            <w:adjustRightInd/>
                            <w:snapToGrid/>
                            <w:spacing w:line="240" w:lineRule="exact"/>
                            <w:jc w:val="center"/>
                            <w:textAlignment w:val="auto"/>
                            <w:rPr>
                              <w:rFonts w:hint="default" w:eastAsia="宋体"/>
                              <w:lang w:val="en-US" w:eastAsia="zh-CN"/>
                            </w:rPr>
                          </w:pPr>
                          <w:r>
                            <w:rPr>
                              <w:rFonts w:hint="eastAsia"/>
                              <w:lang w:val="en-US" w:eastAsia="zh-CN"/>
                            </w:rPr>
                            <w:t>医疗废水</w:t>
                          </w:r>
                        </w:p>
                      </w:txbxContent>
                    </v:textbox>
                  </v:shape>
                  <v:line id="_x0000_s2395" o:spid="_x0000_s2395" o:spt="20" style="position:absolute;left:9858;top:370971;flip:x;height:231;width:12;" filled="f" stroked="t" coordsize="21600,21600">
                    <v:path arrowok="t"/>
                    <v:fill on="f" focussize="0,0"/>
                    <v:stroke color="#000000" endarrow="block"/>
                    <v:imagedata o:title=""/>
                    <o:lock v:ext="edit" aspectratio="f"/>
                  </v:line>
                  <v:shape id="_x0000_s2394" o:spid="_x0000_s2394" o:spt="202" type="#_x0000_t202" style="position:absolute;left:9555;top:371211;height:1074;width:586;" fillcolor="#FFFFFF" filled="t" stroked="t" coordsize="21600,21600">
                    <v:path/>
                    <v:fill on="t" color2="#FFFFFF" focussize="0,0"/>
                    <v:stroke color="#000000" joinstyle="miter"/>
                    <v:imagedata o:title=""/>
                    <o:lock v:ext="edit" aspectratio="f"/>
                    <v:textbox style="layout-flow:vertical-ideographic;">
                      <w:txbxContent>
                        <w:p w14:paraId="611BBDB0">
                          <w:pPr>
                            <w:keepNext w:val="0"/>
                            <w:keepLines w:val="0"/>
                            <w:pageBreakBefore w:val="0"/>
                            <w:widowControl w:val="0"/>
                            <w:kinsoku/>
                            <w:wordWrap/>
                            <w:overflowPunct/>
                            <w:topLinePunct w:val="0"/>
                            <w:bidi w:val="0"/>
                            <w:adjustRightInd/>
                            <w:snapToGrid/>
                            <w:spacing w:line="240" w:lineRule="exact"/>
                            <w:jc w:val="center"/>
                            <w:textAlignment w:val="auto"/>
                            <w:rPr>
                              <w:rFonts w:hint="default" w:eastAsia="宋体"/>
                              <w:lang w:val="en-US" w:eastAsia="zh-CN"/>
                            </w:rPr>
                          </w:pPr>
                          <w:r>
                            <w:rPr>
                              <w:rFonts w:hint="eastAsia"/>
                              <w:lang w:val="en-US" w:eastAsia="zh-CN"/>
                            </w:rPr>
                            <w:t>生活污水</w:t>
                          </w:r>
                        </w:p>
                      </w:txbxContent>
                    </v:textbox>
                  </v:shape>
                  <v:line id="_x0000_s2396" o:spid="_x0000_s2396" o:spt="20" style="position:absolute;left:11390;top:370957;flip:x;height:231;width:12;" filled="f" stroked="t" coordsize="21600,21600">
                    <v:path arrowok="t"/>
                    <v:fill on="f" focussize="0,0"/>
                    <v:stroke color="#000000" endarrow="block"/>
                    <v:imagedata o:title=""/>
                    <o:lock v:ext="edit" aspectratio="f"/>
                  </v:line>
                  <v:shape id="_x0000_s2397" o:spid="_x0000_s2397" o:spt="202" type="#_x0000_t202" style="position:absolute;left:11098;top:371211;height:1074;width:586;" fillcolor="#FFFFFF" filled="t" stroked="t" coordsize="21600,21600">
                    <v:path/>
                    <v:fill on="t" color2="#FFFFFF" focussize="0,0"/>
                    <v:stroke color="#000000" joinstyle="miter"/>
                    <v:imagedata o:title=""/>
                    <o:lock v:ext="edit" aspectratio="f"/>
                    <v:textbox style="layout-flow:vertical-ideographic;">
                      <w:txbxContent>
                        <w:p w14:paraId="52E461FA">
                          <w:pPr>
                            <w:keepNext w:val="0"/>
                            <w:keepLines w:val="0"/>
                            <w:pageBreakBefore w:val="0"/>
                            <w:widowControl w:val="0"/>
                            <w:kinsoku/>
                            <w:wordWrap/>
                            <w:overflowPunct/>
                            <w:topLinePunct w:val="0"/>
                            <w:bidi w:val="0"/>
                            <w:adjustRightInd/>
                            <w:snapToGrid/>
                            <w:spacing w:line="240" w:lineRule="exact"/>
                            <w:jc w:val="center"/>
                            <w:textAlignment w:val="auto"/>
                            <w:rPr>
                              <w:rFonts w:hint="default" w:eastAsia="宋体"/>
                              <w:lang w:val="en-US" w:eastAsia="zh-CN"/>
                            </w:rPr>
                          </w:pPr>
                          <w:r>
                            <w:rPr>
                              <w:rFonts w:hint="eastAsia"/>
                              <w:lang w:val="en-US" w:eastAsia="zh-CN"/>
                            </w:rPr>
                            <w:t>医疗垃圾</w:t>
                          </w:r>
                        </w:p>
                      </w:txbxContent>
                    </v:textbox>
                  </v:shape>
                  <v:line id="_x0000_s2399" o:spid="_x0000_s2399" o:spt="20" style="position:absolute;left:12341;top:370959;flip:x;height:231;width:12;" filled="f" stroked="t" coordsize="21600,21600">
                    <v:path arrowok="t"/>
                    <v:fill on="f" focussize="0,0"/>
                    <v:stroke color="#000000" endarrow="block"/>
                    <v:imagedata o:title=""/>
                    <o:lock v:ext="edit" aspectratio="f"/>
                  </v:line>
                  <v:shape id="_x0000_s2398" o:spid="_x0000_s2398" o:spt="202" type="#_x0000_t202" style="position:absolute;left:12038;top:371199;height:1074;width:586;" fillcolor="#FFFFFF" filled="t" stroked="t" coordsize="21600,21600">
                    <v:path/>
                    <v:fill on="t" color2="#FFFFFF" focussize="0,0"/>
                    <v:stroke color="#000000" joinstyle="miter"/>
                    <v:imagedata o:title=""/>
                    <o:lock v:ext="edit" aspectratio="f"/>
                    <v:textbox style="layout-flow:vertical-ideographic;">
                      <w:txbxContent>
                        <w:p w14:paraId="79C6888C">
                          <w:pPr>
                            <w:keepNext w:val="0"/>
                            <w:keepLines w:val="0"/>
                            <w:pageBreakBefore w:val="0"/>
                            <w:widowControl w:val="0"/>
                            <w:kinsoku/>
                            <w:wordWrap/>
                            <w:overflowPunct/>
                            <w:topLinePunct w:val="0"/>
                            <w:bidi w:val="0"/>
                            <w:adjustRightInd/>
                            <w:snapToGrid/>
                            <w:spacing w:line="240" w:lineRule="exact"/>
                            <w:jc w:val="center"/>
                            <w:textAlignment w:val="auto"/>
                            <w:rPr>
                              <w:rFonts w:hint="default" w:eastAsia="宋体"/>
                              <w:lang w:val="en-US" w:eastAsia="zh-CN"/>
                            </w:rPr>
                          </w:pPr>
                          <w:r>
                            <w:rPr>
                              <w:rFonts w:hint="eastAsia"/>
                              <w:lang w:val="en-US" w:eastAsia="zh-CN"/>
                            </w:rPr>
                            <w:t>生活垃圾</w:t>
                          </w:r>
                        </w:p>
                      </w:txbxContent>
                    </v:textbox>
                  </v:shape>
                  <v:line id="_x0000_s2401" o:spid="_x0000_s2401" o:spt="20" style="position:absolute;left:13724;top:370935;flip:x;height:231;width:12;" filled="f" stroked="t" coordsize="21600,21600">
                    <v:path arrowok="t"/>
                    <v:fill on="f" focussize="0,0"/>
                    <v:stroke color="#000000" endarrow="block"/>
                    <v:imagedata o:title=""/>
                    <o:lock v:ext="edit" aspectratio="f"/>
                  </v:line>
                  <v:shape id="_x0000_s2402" o:spid="_x0000_s2402" o:spt="202" type="#_x0000_t202" style="position:absolute;left:13038;top:371150;height:1086;width:1415;" fillcolor="#FFFFFF" filled="t" stroked="t" coordsize="21600,21600">
                    <v:path/>
                    <v:fill on="t" color2="#FFFFFF" focussize="0,0"/>
                    <v:stroke color="#000000" joinstyle="miter"/>
                    <v:imagedata o:title=""/>
                    <o:lock v:ext="edit" aspectratio="f"/>
                    <v:textbox>
                      <w:txbxContent>
                        <w:p w14:paraId="16EB3CB7">
                          <w:pPr>
                            <w:jc w:val="center"/>
                            <w:rPr>
                              <w:rFonts w:hint="default" w:eastAsia="宋体"/>
                              <w:lang w:val="en-US" w:eastAsia="zh-CN"/>
                            </w:rPr>
                          </w:pPr>
                          <w:r>
                            <w:rPr>
                              <w:rFonts w:hint="eastAsia"/>
                              <w:lang w:val="en-US" w:eastAsia="zh-CN"/>
                            </w:rPr>
                            <w:t>社会噪声、交通噪声、设备噪声等</w:t>
                          </w:r>
                        </w:p>
                      </w:txbxContent>
                    </v:textbox>
                  </v:shape>
                  <v:line id="_x0000_s2403" o:spid="_x0000_s2403" o:spt="20" style="position:absolute;left:9383;top:372581;flip:x;height:231;width:12;" filled="f" stroked="t" coordsize="21600,21600">
                    <v:path arrowok="t"/>
                    <v:fill on="f" focussize="0,0"/>
                    <v:stroke color="#000000" endarrow="block"/>
                    <v:imagedata o:title=""/>
                    <o:lock v:ext="edit" aspectratio="f"/>
                  </v:line>
                  <v:line id="_x0000_s2404" o:spid="_x0000_s2404" o:spt="20" style="position:absolute;left:8929;top:372535;flip:y;height:12;width:954;" filled="f" stroked="t" coordsize="21600,21600">
                    <v:path arrowok="t"/>
                    <v:fill on="f" focussize="0,0"/>
                    <v:stroke color="#000000"/>
                    <v:imagedata o:title=""/>
                    <o:lock v:ext="edit" aspectratio="f"/>
                  </v:line>
                  <v:line id="_x0000_s2406" o:spid="_x0000_s2406" o:spt="20" style="position:absolute;left:8968;top:372324;flip:x;height:231;width:12;" filled="f" stroked="t" coordsize="21600,21600">
                    <v:path arrowok="t"/>
                    <v:fill on="f" focussize="0,0"/>
                    <v:stroke color="#000000" endarrow="block"/>
                    <v:imagedata o:title=""/>
                    <o:lock v:ext="edit" aspectratio="f"/>
                  </v:line>
                  <v:line id="_x0000_s2405" o:spid="_x0000_s2405" o:spt="20" style="position:absolute;left:9858;top:372336;flip:x;height:231;width:12;" filled="f" stroked="t" coordsize="21600,21600">
                    <v:path arrowok="t"/>
                    <v:fill on="f" focussize="0,0"/>
                    <v:stroke color="#000000" endarrow="block"/>
                    <v:imagedata o:title=""/>
                    <o:lock v:ext="edit" aspectratio="f"/>
                  </v:line>
                  <v:shape id="_x0000_s2407" o:spid="_x0000_s2407" o:spt="202" type="#_x0000_t202" style="position:absolute;left:8581;top:372810;height:439;width:1415;" fillcolor="#FFFFFF" filled="t" stroked="t" coordsize="21600,21600">
                    <v:path/>
                    <v:fill on="t" color2="#FFFFFF" focussize="0,0"/>
                    <v:stroke color="#000000" joinstyle="miter"/>
                    <v:imagedata o:title=""/>
                    <o:lock v:ext="edit" aspectratio="f"/>
                    <v:textbox>
                      <w:txbxContent>
                        <w:p w14:paraId="1FE59FCD">
                          <w:pPr>
                            <w:jc w:val="center"/>
                            <w:rPr>
                              <w:rFonts w:hint="default" w:eastAsia="宋体"/>
                              <w:lang w:val="en-US" w:eastAsia="zh-CN"/>
                            </w:rPr>
                          </w:pPr>
                          <w:r>
                            <w:rPr>
                              <w:rFonts w:hint="eastAsia"/>
                              <w:lang w:val="en-US" w:eastAsia="zh-CN"/>
                            </w:rPr>
                            <w:t>污水处理站</w:t>
                          </w:r>
                        </w:p>
                      </w:txbxContent>
                    </v:textbox>
                  </v:shape>
                  <v:line id="_x0000_s2420" o:spid="_x0000_s2420" o:spt="20" style="position:absolute;left:9992;top:373155;height:6;width:333;" filled="f" stroked="t" coordsize="21600,21600">
                    <v:path arrowok="t"/>
                    <v:fill on="f" focussize="0,0"/>
                    <v:stroke color="#000000" dashstyle="dash" endarrow="block"/>
                    <v:imagedata o:title=""/>
                    <o:lock v:ext="edit" aspectratio="f"/>
                  </v:line>
                  <v:line id="_x0000_s2424" o:spid="_x0000_s2424" o:spt="20" style="position:absolute;left:10708;top:373155;height:6;width:333;" filled="f" stroked="t" coordsize="21600,21600">
                    <v:path arrowok="t"/>
                    <v:fill on="f" focussize="0,0"/>
                    <v:stroke color="#000000" endarrow="block"/>
                    <v:imagedata o:title=""/>
                    <o:lock v:ext="edit" aspectratio="f"/>
                  </v:line>
                  <v:line id="_x0000_s2413" o:spid="_x0000_s2413" o:spt="20" style="position:absolute;left:9432;top:373993;flip:x;height:231;width:12;" filled="f" stroked="t" coordsize="21600,21600">
                    <v:path arrowok="t"/>
                    <v:fill on="f" focussize="0,0"/>
                    <v:stroke color="#000000" endarrow="block"/>
                    <v:imagedata o:title=""/>
                    <o:lock v:ext="edit" aspectratio="f"/>
                  </v:line>
                  <v:line id="_x0000_s2415" o:spid="_x0000_s2415" o:spt="20" style="position:absolute;left:10018;top:372850;height:6;width:333;" filled="f" stroked="t" coordsize="21600,21600">
                    <v:path arrowok="t"/>
                    <v:fill on="f" focussize="0,0"/>
                    <v:stroke color="#000000" dashstyle="dash" endarrow="block"/>
                    <v:imagedata o:title=""/>
                    <o:lock v:ext="edit" aspectratio="f"/>
                  </v:line>
                  <v:line id="_x0000_s2409" o:spid="_x0000_s2409" o:spt="20" style="position:absolute;left:9432;top:373289;flip:x;height:231;width:12;" filled="f" stroked="t" coordsize="21600,21600">
                    <v:path arrowok="t"/>
                    <v:fill on="f" focussize="0,0"/>
                    <v:stroke color="#000000" endarrow="block"/>
                    <v:imagedata o:title=""/>
                    <o:lock v:ext="edit" aspectratio="f"/>
                  </v:line>
                  <v:shape id="_x0000_s2414" o:spid="_x0000_s2414" o:spt="202" type="#_x0000_t202" style="position:absolute;left:8085;top:374141;height:435;width:2747;" filled="f" stroked="f" coordsize="21600,21600">
                    <v:path/>
                    <v:fill on="f" focussize="0,0"/>
                    <v:stroke on="f"/>
                    <v:imagedata o:title=""/>
                    <o:lock v:ext="edit" aspectratio="f"/>
                    <v:textbox>
                      <w:txbxContent>
                        <w:p w14:paraId="6D4ADA42">
                          <w:pPr>
                            <w:jc w:val="center"/>
                            <w:rPr>
                              <w:rFonts w:hint="default" w:eastAsia="宋体"/>
                              <w:lang w:val="en-US" w:eastAsia="zh-CN"/>
                            </w:rPr>
                          </w:pPr>
                          <w:r>
                            <w:rPr>
                              <w:rFonts w:hint="eastAsia"/>
                              <w:lang w:val="en-US" w:eastAsia="zh-CN"/>
                            </w:rPr>
                            <w:t>大同市开发区污水处理厂</w:t>
                          </w:r>
                        </w:p>
                      </w:txbxContent>
                    </v:textbox>
                  </v:shape>
                  <v:shape id="_x0000_s2419" o:spid="_x0000_s2419" o:spt="202" type="#_x0000_t202" style="position:absolute;left:10087;top:372932;height:438;width:899;" filled="f" stroked="f" coordsize="21600,21600">
                    <v:path/>
                    <v:fill on="f" focussize="0,0"/>
                    <v:stroke on="f"/>
                    <v:imagedata o:title=""/>
                    <o:lock v:ext="edit" aspectratio="f"/>
                    <v:textbox>
                      <w:txbxContent>
                        <w:p w14:paraId="6133F031">
                          <w:pPr>
                            <w:jc w:val="center"/>
                            <w:rPr>
                              <w:rFonts w:hint="default" w:eastAsia="宋体"/>
                              <w:lang w:val="en-US" w:eastAsia="zh-CN"/>
                            </w:rPr>
                          </w:pPr>
                          <w:r>
                            <w:rPr>
                              <w:rFonts w:hint="eastAsia"/>
                              <w:lang w:val="en-US" w:eastAsia="zh-CN"/>
                            </w:rPr>
                            <w:t>污泥</w:t>
                          </w:r>
                        </w:p>
                      </w:txbxContent>
                    </v:textbox>
                  </v:shape>
                  <v:line id="_x0000_s2421" o:spid="_x0000_s2421" o:spt="20" style="position:absolute;left:11415;top:372324;flip:x;height:231;width:12;" filled="f" stroked="t" coordsize="21600,21600">
                    <v:path arrowok="t"/>
                    <v:fill on="f" focussize="0,0"/>
                    <v:stroke color="#000000" endarrow="block"/>
                    <v:imagedata o:title=""/>
                    <o:lock v:ext="edit" aspectratio="f"/>
                  </v:line>
                  <v:line id="_x0000_s2425" o:spid="_x0000_s2425" o:spt="20" style="position:absolute;left:11417;top:373776;flip:x;height:231;width:12;" filled="f" stroked="t" coordsize="21600,21600">
                    <v:path arrowok="t"/>
                    <v:fill on="f" focussize="0,0"/>
                    <v:stroke color="#000000" endarrow="block"/>
                    <v:imagedata o:title=""/>
                    <o:lock v:ext="edit" aspectratio="f"/>
                  </v:line>
                  <v:line id="_x0000_s2428" o:spid="_x0000_s2428" o:spt="20" style="position:absolute;left:12366;top:372324;flip:x;height:231;width:12;" filled="f" stroked="t" coordsize="21600,21600">
                    <v:path arrowok="t"/>
                    <v:fill on="f" focussize="0,0"/>
                    <v:stroke color="#000000" endarrow="block"/>
                    <v:imagedata o:title=""/>
                    <o:lock v:ext="edit" aspectratio="f"/>
                  </v:line>
                  <v:shape id="_x0000_s2423" o:spid="_x0000_s2423" o:spt="202" type="#_x0000_t202" style="position:absolute;left:11047;top:372533;height:1209;width:751;" fillcolor="#FFFFFF" filled="t" stroked="t" coordsize="21600,21600">
                    <v:path/>
                    <v:fill on="t" color2="#FFFFFF" focussize="0,0"/>
                    <v:stroke color="#000000" joinstyle="miter"/>
                    <v:imagedata o:title=""/>
                    <o:lock v:ext="edit" aspectratio="f"/>
                    <v:textbox>
                      <w:txbxContent>
                        <w:p w14:paraId="4BD0759C">
                          <w:pPr>
                            <w:jc w:val="center"/>
                            <w:rPr>
                              <w:rFonts w:hint="default" w:eastAsia="宋体"/>
                              <w:lang w:val="en-US" w:eastAsia="zh-CN"/>
                            </w:rPr>
                          </w:pPr>
                          <w:r>
                            <w:rPr>
                              <w:rFonts w:hint="eastAsia"/>
                              <w:lang w:val="en-US" w:eastAsia="zh-CN"/>
                            </w:rPr>
                            <w:t>医疗垃圾贮存库</w:t>
                          </w:r>
                        </w:p>
                      </w:txbxContent>
                    </v:textbox>
                  </v:shape>
                  <v:line id="_x0000_s2431" o:spid="_x0000_s2431" o:spt="20" style="position:absolute;left:12368;top:373788;flip:x;height:231;width:12;" filled="f" stroked="t" coordsize="21600,21600">
                    <v:path arrowok="t"/>
                    <v:fill on="f" focussize="0,0"/>
                    <v:stroke color="#000000" endarrow="block"/>
                    <v:imagedata o:title=""/>
                    <o:lock v:ext="edit" aspectratio="f"/>
                  </v:line>
                  <v:line id="_x0000_s2432" o:spid="_x0000_s2432" o:spt="20" style="position:absolute;left:13738;top:372276;flip:x;height:231;width:26;" filled="f" stroked="t" coordsize="21600,21600">
                    <v:path arrowok="t"/>
                    <v:fill on="f" focussize="0,0"/>
                    <v:stroke color="#000000" endarrow="block"/>
                    <v:imagedata o:title=""/>
                    <o:lock v:ext="edit" aspectratio="f"/>
                  </v:line>
                  <v:shape id="_x0000_s2429" o:spid="_x0000_s2429" o:spt="202" type="#_x0000_t202" style="position:absolute;left:12083;top:372533;height:1209;width:569;" fillcolor="#FFFFFF" filled="t" stroked="t" coordsize="21600,21600">
                    <v:path/>
                    <v:fill on="t" color2="#FFFFFF" focussize="0,0"/>
                    <v:stroke color="#000000" joinstyle="miter"/>
                    <v:imagedata o:title=""/>
                    <o:lock v:ext="edit" aspectratio="f"/>
                    <v:textbox>
                      <w:txbxContent>
                        <w:p w14:paraId="1BE7A107">
                          <w:pPr>
                            <w:jc w:val="center"/>
                            <w:rPr>
                              <w:rFonts w:hint="eastAsia"/>
                              <w:lang w:val="en-US" w:eastAsia="zh-CN"/>
                            </w:rPr>
                          </w:pPr>
                          <w:r>
                            <w:rPr>
                              <w:rFonts w:hint="eastAsia"/>
                              <w:lang w:val="en-US" w:eastAsia="zh-CN"/>
                            </w:rPr>
                            <w:t>垃</w:t>
                          </w:r>
                        </w:p>
                        <w:p w14:paraId="6C531700">
                          <w:pPr>
                            <w:jc w:val="center"/>
                            <w:rPr>
                              <w:rFonts w:hint="eastAsia"/>
                              <w:lang w:val="en-US" w:eastAsia="zh-CN"/>
                            </w:rPr>
                          </w:pPr>
                          <w:r>
                            <w:rPr>
                              <w:rFonts w:hint="eastAsia"/>
                              <w:lang w:val="en-US" w:eastAsia="zh-CN"/>
                            </w:rPr>
                            <w:t>圾</w:t>
                          </w:r>
                        </w:p>
                        <w:p w14:paraId="1D371988">
                          <w:pPr>
                            <w:jc w:val="center"/>
                            <w:rPr>
                              <w:rFonts w:hint="default" w:eastAsia="宋体"/>
                              <w:lang w:val="en-US" w:eastAsia="zh-CN"/>
                            </w:rPr>
                          </w:pPr>
                          <w:r>
                            <w:rPr>
                              <w:rFonts w:hint="eastAsia"/>
                              <w:lang w:val="en-US" w:eastAsia="zh-CN"/>
                            </w:rPr>
                            <w:t>箱</w:t>
                          </w:r>
                        </w:p>
                      </w:txbxContent>
                    </v:textbox>
                  </v:shape>
                  <v:shape id="_x0000_s2430" o:spid="_x0000_s2430" o:spt="202" type="#_x0000_t202" style="position:absolute;left:11650;top:373919;height:937;width:1512;" filled="f" stroked="f" coordsize="21600,21600">
                    <v:path/>
                    <v:fill on="f" focussize="0,0"/>
                    <v:stroke on="f"/>
                    <v:imagedata o:title=""/>
                    <o:lock v:ext="edit" aspectratio="f"/>
                    <v:textbox>
                      <w:txbxContent>
                        <w:p w14:paraId="0724BE96">
                          <w:pPr>
                            <w:jc w:val="center"/>
                            <w:rPr>
                              <w:rFonts w:hint="eastAsia"/>
                              <w:spacing w:val="-11"/>
                              <w:sz w:val="21"/>
                              <w:lang w:val="en-US" w:eastAsia="zh-CN"/>
                            </w:rPr>
                          </w:pPr>
                          <w:r>
                            <w:rPr>
                              <w:rFonts w:hint="eastAsia"/>
                              <w:spacing w:val="-11"/>
                              <w:sz w:val="21"/>
                              <w:lang w:val="en-US" w:eastAsia="zh-CN"/>
                            </w:rPr>
                            <w:t>环卫</w:t>
                          </w:r>
                        </w:p>
                        <w:p w14:paraId="3FE906C7">
                          <w:pPr>
                            <w:jc w:val="center"/>
                            <w:rPr>
                              <w:rFonts w:hint="default" w:eastAsia="宋体"/>
                              <w:spacing w:val="-11"/>
                              <w:sz w:val="21"/>
                              <w:lang w:val="en-US" w:eastAsia="zh-CN"/>
                            </w:rPr>
                          </w:pPr>
                          <w:r>
                            <w:rPr>
                              <w:rFonts w:hint="eastAsia"/>
                              <w:spacing w:val="-11"/>
                              <w:sz w:val="21"/>
                              <w:lang w:val="en-US" w:eastAsia="zh-CN"/>
                            </w:rPr>
                            <w:t>部门</w:t>
                          </w:r>
                        </w:p>
                      </w:txbxContent>
                    </v:textbox>
                  </v:shape>
                  <v:shape id="_x0000_s2433" o:spid="_x0000_s2433" o:spt="202" type="#_x0000_t202" style="position:absolute;left:13156;top:372485;height:1209;width:1263;" fillcolor="#FFFFFF" filled="t" stroked="t" coordsize="21600,21600">
                    <v:path/>
                    <v:fill on="t" color2="#FFFFFF" focussize="0,0"/>
                    <v:stroke color="#000000" joinstyle="miter"/>
                    <v:imagedata o:title=""/>
                    <o:lock v:ext="edit" aspectratio="f"/>
                    <v:textbox>
                      <w:txbxContent>
                        <w:p w14:paraId="6DDBD3B1">
                          <w:pPr>
                            <w:jc w:val="center"/>
                            <w:rPr>
                              <w:rFonts w:hint="default" w:eastAsia="宋体"/>
                              <w:lang w:val="en-US" w:eastAsia="zh-CN"/>
                            </w:rPr>
                          </w:pPr>
                          <w:r>
                            <w:rPr>
                              <w:rFonts w:hint="eastAsia"/>
                              <w:lang w:val="en-US" w:eastAsia="zh-CN"/>
                            </w:rPr>
                            <w:t>选用低噪设备、隔声减振、绿化等</w:t>
                          </w:r>
                        </w:p>
                      </w:txbxContent>
                    </v:textbox>
                  </v:shape>
                </v:group>
              </w:pict>
            </w:r>
            <w:r>
              <w:rPr>
                <w:rFonts w:hint="eastAsia"/>
                <w:bCs/>
                <w:color w:val="auto"/>
                <w:szCs w:val="21"/>
                <w:lang w:val="en-US" w:eastAsia="zh-CN"/>
              </w:rPr>
              <w:t>固废废物：营运期固体废物主要包括医疗废物、污水处理产生的栅渣污泥，以及生活垃圾等。</w:t>
            </w:r>
          </w:p>
          <w:p w14:paraId="088701D9">
            <w:pPr>
              <w:tabs>
                <w:tab w:val="center" w:pos="4535"/>
              </w:tabs>
              <w:spacing w:beforeLines="20" w:line="500" w:lineRule="exact"/>
              <w:jc w:val="center"/>
              <w:rPr>
                <w:b/>
                <w:color w:val="auto"/>
                <w:sz w:val="24"/>
              </w:rPr>
            </w:pPr>
          </w:p>
          <w:p w14:paraId="1F213E41">
            <w:pPr>
              <w:tabs>
                <w:tab w:val="center" w:pos="4535"/>
              </w:tabs>
              <w:spacing w:beforeLines="20" w:line="500" w:lineRule="exact"/>
              <w:jc w:val="center"/>
              <w:rPr>
                <w:b/>
                <w:color w:val="auto"/>
                <w:sz w:val="24"/>
              </w:rPr>
            </w:pPr>
          </w:p>
          <w:p w14:paraId="5E127D49">
            <w:pPr>
              <w:tabs>
                <w:tab w:val="center" w:pos="4535"/>
              </w:tabs>
              <w:spacing w:beforeLines="20" w:line="500" w:lineRule="exact"/>
              <w:jc w:val="center"/>
              <w:rPr>
                <w:b/>
                <w:color w:val="auto"/>
                <w:sz w:val="24"/>
              </w:rPr>
            </w:pPr>
          </w:p>
          <w:p w14:paraId="2BBC675F">
            <w:pPr>
              <w:tabs>
                <w:tab w:val="center" w:pos="4535"/>
              </w:tabs>
              <w:spacing w:beforeLines="20" w:line="500" w:lineRule="exact"/>
              <w:jc w:val="center"/>
              <w:rPr>
                <w:b/>
                <w:color w:val="auto"/>
                <w:sz w:val="24"/>
              </w:rPr>
            </w:pPr>
          </w:p>
          <w:p w14:paraId="524E52E9">
            <w:pPr>
              <w:tabs>
                <w:tab w:val="center" w:pos="4535"/>
              </w:tabs>
              <w:spacing w:beforeLines="20" w:line="500" w:lineRule="exact"/>
              <w:jc w:val="center"/>
              <w:rPr>
                <w:b/>
                <w:color w:val="auto"/>
                <w:sz w:val="24"/>
              </w:rPr>
            </w:pPr>
          </w:p>
          <w:p w14:paraId="7DB25FB9">
            <w:pPr>
              <w:tabs>
                <w:tab w:val="center" w:pos="4535"/>
              </w:tabs>
              <w:spacing w:beforeLines="20" w:line="500" w:lineRule="exact"/>
              <w:jc w:val="center"/>
              <w:rPr>
                <w:b/>
                <w:color w:val="auto"/>
                <w:sz w:val="24"/>
              </w:rPr>
            </w:pPr>
          </w:p>
          <w:p w14:paraId="6283C801">
            <w:pPr>
              <w:tabs>
                <w:tab w:val="center" w:pos="4535"/>
              </w:tabs>
              <w:spacing w:beforeLines="20" w:line="500" w:lineRule="exact"/>
              <w:jc w:val="center"/>
              <w:rPr>
                <w:b/>
                <w:color w:val="auto"/>
                <w:sz w:val="24"/>
              </w:rPr>
            </w:pPr>
          </w:p>
          <w:p w14:paraId="3137ED15">
            <w:pPr>
              <w:tabs>
                <w:tab w:val="center" w:pos="4535"/>
              </w:tabs>
              <w:spacing w:beforeLines="20" w:line="500" w:lineRule="exact"/>
              <w:jc w:val="center"/>
              <w:rPr>
                <w:b/>
                <w:color w:val="auto"/>
                <w:sz w:val="24"/>
              </w:rPr>
            </w:pPr>
          </w:p>
          <w:p w14:paraId="1693339A">
            <w:pPr>
              <w:tabs>
                <w:tab w:val="center" w:pos="4535"/>
              </w:tabs>
              <w:spacing w:beforeLines="20" w:line="500" w:lineRule="exact"/>
              <w:jc w:val="center"/>
              <w:rPr>
                <w:b/>
                <w:color w:val="auto"/>
                <w:sz w:val="24"/>
              </w:rPr>
            </w:pPr>
          </w:p>
          <w:p w14:paraId="172CC6D3">
            <w:pPr>
              <w:tabs>
                <w:tab w:val="center" w:pos="4535"/>
              </w:tabs>
              <w:spacing w:beforeLines="20" w:line="500" w:lineRule="exact"/>
              <w:jc w:val="center"/>
              <w:rPr>
                <w:b/>
                <w:color w:val="auto"/>
                <w:sz w:val="24"/>
              </w:rPr>
            </w:pPr>
          </w:p>
          <w:p w14:paraId="5A108622">
            <w:pPr>
              <w:tabs>
                <w:tab w:val="center" w:pos="4535"/>
              </w:tabs>
              <w:spacing w:beforeLines="20" w:line="500" w:lineRule="exact"/>
              <w:jc w:val="center"/>
              <w:rPr>
                <w:b/>
                <w:color w:val="auto"/>
                <w:sz w:val="24"/>
              </w:rPr>
            </w:pPr>
          </w:p>
          <w:p w14:paraId="01E03A45">
            <w:pPr>
              <w:spacing w:line="360" w:lineRule="auto"/>
              <w:jc w:val="center"/>
              <w:rPr>
                <w:rFonts w:hint="eastAsia" w:eastAsia="宋体"/>
                <w:b/>
                <w:bCs/>
                <w:color w:val="auto"/>
                <w:sz w:val="18"/>
                <w:szCs w:val="18"/>
                <w:lang w:val="en-US" w:eastAsia="zh-CN"/>
              </w:rPr>
            </w:pPr>
            <w:r>
              <w:rPr>
                <w:b/>
                <w:bCs/>
                <w:color w:val="auto"/>
                <w:sz w:val="18"/>
                <w:szCs w:val="18"/>
              </w:rPr>
              <w:t>图2-</w:t>
            </w:r>
            <w:r>
              <w:rPr>
                <w:rFonts w:hint="eastAsia"/>
                <w:b/>
                <w:bCs/>
                <w:color w:val="auto"/>
                <w:sz w:val="18"/>
                <w:szCs w:val="18"/>
              </w:rPr>
              <w:t>3</w:t>
            </w:r>
            <w:r>
              <w:rPr>
                <w:b/>
                <w:bCs/>
                <w:color w:val="auto"/>
                <w:sz w:val="18"/>
                <w:szCs w:val="18"/>
              </w:rPr>
              <w:t xml:space="preserve">    运营期工艺流程及排污节点图</w:t>
            </w:r>
          </w:p>
        </w:tc>
      </w:tr>
      <w:tr w14:paraId="6928695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19" w:hRule="atLeast"/>
          <w:jc w:val="center"/>
        </w:trPr>
        <w:tc>
          <w:tcPr>
            <w:tcW w:w="1491" w:type="dxa"/>
            <w:vAlign w:val="center"/>
          </w:tcPr>
          <w:p w14:paraId="1E79A652">
            <w:pPr>
              <w:pStyle w:val="41"/>
              <w:adjustRightInd w:val="0"/>
              <w:snapToGrid w:val="0"/>
              <w:spacing w:before="0" w:beforeAutospacing="0" w:after="0" w:afterAutospacing="0"/>
              <w:jc w:val="center"/>
              <w:rPr>
                <w:rFonts w:ascii="Times New Roman" w:hAnsi="Times New Roman"/>
                <w:color w:val="auto"/>
                <w:sz w:val="21"/>
                <w:szCs w:val="21"/>
              </w:rPr>
            </w:pPr>
            <w:r>
              <w:rPr>
                <w:rFonts w:ascii="Times New Roman" w:hAnsi="Times New Roman"/>
                <w:bCs/>
                <w:color w:val="auto"/>
                <w:kern w:val="2"/>
                <w:sz w:val="21"/>
                <w:szCs w:val="21"/>
              </w:rPr>
              <w:t>与项目有关的原有环境污染问题</w:t>
            </w:r>
          </w:p>
        </w:tc>
        <w:tc>
          <w:tcPr>
            <w:tcW w:w="7499" w:type="dxa"/>
          </w:tcPr>
          <w:p w14:paraId="0E503042">
            <w:pPr>
              <w:autoSpaceDE w:val="0"/>
              <w:autoSpaceDN w:val="0"/>
              <w:adjustRightInd w:val="0"/>
              <w:spacing w:line="360" w:lineRule="auto"/>
              <w:ind w:firstLine="420" w:firstLineChars="200"/>
              <w:jc w:val="left"/>
              <w:rPr>
                <w:rFonts w:hint="eastAsia"/>
                <w:bCs/>
                <w:color w:val="auto"/>
                <w:szCs w:val="21"/>
                <w:lang w:val="en-US" w:eastAsia="zh-CN"/>
              </w:rPr>
            </w:pPr>
          </w:p>
          <w:p w14:paraId="5B3C2ADD">
            <w:pPr>
              <w:autoSpaceDE w:val="0"/>
              <w:autoSpaceDN w:val="0"/>
              <w:adjustRightInd w:val="0"/>
              <w:spacing w:line="360" w:lineRule="auto"/>
              <w:ind w:firstLine="420" w:firstLineChars="200"/>
              <w:jc w:val="left"/>
              <w:rPr>
                <w:rFonts w:hint="eastAsia"/>
                <w:bCs/>
                <w:color w:val="auto"/>
                <w:szCs w:val="21"/>
                <w:lang w:val="en-US" w:eastAsia="zh-CN"/>
              </w:rPr>
            </w:pPr>
          </w:p>
          <w:p w14:paraId="5DB84496">
            <w:pPr>
              <w:autoSpaceDE w:val="0"/>
              <w:autoSpaceDN w:val="0"/>
              <w:adjustRightInd w:val="0"/>
              <w:spacing w:line="360" w:lineRule="auto"/>
              <w:ind w:firstLine="420" w:firstLineChars="200"/>
              <w:jc w:val="left"/>
              <w:rPr>
                <w:rFonts w:hint="eastAsia"/>
                <w:bCs/>
                <w:color w:val="auto"/>
                <w:szCs w:val="21"/>
                <w:lang w:val="en-US" w:eastAsia="zh-CN"/>
              </w:rPr>
            </w:pPr>
          </w:p>
          <w:p w14:paraId="49F65FA4">
            <w:pPr>
              <w:autoSpaceDE w:val="0"/>
              <w:autoSpaceDN w:val="0"/>
              <w:adjustRightInd w:val="0"/>
              <w:spacing w:line="360" w:lineRule="auto"/>
              <w:ind w:firstLine="420" w:firstLineChars="200"/>
              <w:jc w:val="left"/>
              <w:rPr>
                <w:rFonts w:hint="eastAsia"/>
                <w:bCs/>
                <w:color w:val="auto"/>
                <w:szCs w:val="21"/>
                <w:lang w:val="en-US" w:eastAsia="zh-CN"/>
              </w:rPr>
            </w:pPr>
          </w:p>
          <w:p w14:paraId="7D7ACC5D">
            <w:pPr>
              <w:autoSpaceDE w:val="0"/>
              <w:autoSpaceDN w:val="0"/>
              <w:adjustRightInd w:val="0"/>
              <w:spacing w:line="360" w:lineRule="auto"/>
              <w:ind w:firstLine="420" w:firstLineChars="200"/>
              <w:jc w:val="left"/>
              <w:rPr>
                <w:rFonts w:hint="eastAsia"/>
                <w:bCs/>
                <w:color w:val="auto"/>
                <w:szCs w:val="21"/>
                <w:lang w:val="en-US" w:eastAsia="zh-CN"/>
              </w:rPr>
            </w:pPr>
          </w:p>
          <w:p w14:paraId="084DFC36">
            <w:pPr>
              <w:autoSpaceDE w:val="0"/>
              <w:autoSpaceDN w:val="0"/>
              <w:adjustRightInd w:val="0"/>
              <w:spacing w:line="360" w:lineRule="auto"/>
              <w:ind w:firstLine="420" w:firstLineChars="200"/>
              <w:jc w:val="left"/>
              <w:rPr>
                <w:rFonts w:hint="eastAsia"/>
                <w:bCs/>
                <w:color w:val="auto"/>
                <w:szCs w:val="21"/>
                <w:lang w:val="en-US" w:eastAsia="zh-CN"/>
              </w:rPr>
            </w:pPr>
          </w:p>
          <w:p w14:paraId="1461F840">
            <w:pPr>
              <w:autoSpaceDE w:val="0"/>
              <w:autoSpaceDN w:val="0"/>
              <w:adjustRightInd w:val="0"/>
              <w:spacing w:line="360" w:lineRule="auto"/>
              <w:ind w:firstLine="420" w:firstLineChars="200"/>
              <w:jc w:val="left"/>
              <w:rPr>
                <w:rFonts w:hint="eastAsia"/>
                <w:bCs/>
                <w:color w:val="auto"/>
                <w:szCs w:val="21"/>
                <w:lang w:val="en-US" w:eastAsia="zh-CN"/>
              </w:rPr>
            </w:pPr>
          </w:p>
          <w:p w14:paraId="032AFC65">
            <w:pPr>
              <w:autoSpaceDE w:val="0"/>
              <w:autoSpaceDN w:val="0"/>
              <w:adjustRightInd w:val="0"/>
              <w:spacing w:line="360" w:lineRule="auto"/>
              <w:ind w:firstLine="420" w:firstLineChars="200"/>
              <w:jc w:val="left"/>
              <w:rPr>
                <w:rFonts w:hint="eastAsia"/>
                <w:bCs/>
                <w:color w:val="auto"/>
                <w:szCs w:val="21"/>
                <w:lang w:val="en-US" w:eastAsia="zh-CN"/>
              </w:rPr>
            </w:pPr>
          </w:p>
          <w:p w14:paraId="66B1D134">
            <w:pPr>
              <w:autoSpaceDE w:val="0"/>
              <w:autoSpaceDN w:val="0"/>
              <w:adjustRightInd w:val="0"/>
              <w:spacing w:line="360" w:lineRule="auto"/>
              <w:ind w:firstLine="420" w:firstLineChars="200"/>
              <w:jc w:val="left"/>
              <w:rPr>
                <w:rFonts w:hint="eastAsia"/>
                <w:bCs/>
                <w:color w:val="auto"/>
                <w:szCs w:val="21"/>
                <w:lang w:val="en-US" w:eastAsia="zh-CN"/>
              </w:rPr>
            </w:pPr>
          </w:p>
          <w:p w14:paraId="26E46C4F">
            <w:pPr>
              <w:autoSpaceDE w:val="0"/>
              <w:autoSpaceDN w:val="0"/>
              <w:adjustRightInd w:val="0"/>
              <w:spacing w:line="360" w:lineRule="auto"/>
              <w:ind w:firstLine="420" w:firstLineChars="200"/>
              <w:jc w:val="left"/>
              <w:rPr>
                <w:rFonts w:hint="eastAsia"/>
                <w:bCs/>
                <w:color w:val="auto"/>
                <w:szCs w:val="21"/>
                <w:lang w:val="en-US" w:eastAsia="zh-CN"/>
              </w:rPr>
            </w:pPr>
          </w:p>
          <w:p w14:paraId="4E75EEE0">
            <w:pPr>
              <w:autoSpaceDE w:val="0"/>
              <w:autoSpaceDN w:val="0"/>
              <w:adjustRightInd w:val="0"/>
              <w:spacing w:line="360" w:lineRule="auto"/>
              <w:ind w:firstLine="420" w:firstLineChars="200"/>
              <w:jc w:val="left"/>
              <w:rPr>
                <w:rFonts w:hint="eastAsia"/>
                <w:bCs/>
                <w:color w:val="auto"/>
                <w:szCs w:val="21"/>
                <w:lang w:val="en-US" w:eastAsia="zh-CN"/>
              </w:rPr>
            </w:pPr>
          </w:p>
          <w:p w14:paraId="56EEE152">
            <w:pPr>
              <w:autoSpaceDE w:val="0"/>
              <w:autoSpaceDN w:val="0"/>
              <w:adjustRightInd w:val="0"/>
              <w:spacing w:line="360" w:lineRule="auto"/>
              <w:ind w:firstLine="420" w:firstLineChars="200"/>
              <w:jc w:val="left"/>
              <w:rPr>
                <w:rFonts w:hint="eastAsia"/>
                <w:bCs/>
                <w:color w:val="auto"/>
                <w:szCs w:val="21"/>
                <w:lang w:val="en-US" w:eastAsia="zh-CN"/>
              </w:rPr>
            </w:pPr>
          </w:p>
          <w:p w14:paraId="303C7EB2">
            <w:pPr>
              <w:autoSpaceDE w:val="0"/>
              <w:autoSpaceDN w:val="0"/>
              <w:adjustRightInd w:val="0"/>
              <w:spacing w:line="360" w:lineRule="auto"/>
              <w:ind w:firstLine="420" w:firstLineChars="200"/>
              <w:jc w:val="left"/>
              <w:rPr>
                <w:rFonts w:hint="eastAsia"/>
                <w:bCs/>
                <w:color w:val="auto"/>
                <w:szCs w:val="21"/>
                <w:lang w:val="en-US" w:eastAsia="zh-CN"/>
              </w:rPr>
            </w:pPr>
            <w:r>
              <w:rPr>
                <w:rFonts w:hint="eastAsia"/>
                <w:bCs/>
                <w:color w:val="auto"/>
                <w:szCs w:val="21"/>
                <w:lang w:val="en-US" w:eastAsia="zh-CN"/>
              </w:rPr>
              <w:t>本项目为新建项目，建设单位原为大同市现代医院管理有限责任公司，原项目名称为大同市医康养中心建设项目，2018年8月委托山西清泽阳光环保科技有限公司编制《大同市现代医院管理有限责任公司大同市医康养中心建设项目环境影响报告表》，大同经济技术开发区行政审批局于2018年11月7日以同开审批环函[2018]22号文批复（见附件）。因市场经济等综合因素，建设单位未开工建设。</w:t>
            </w:r>
          </w:p>
          <w:p w14:paraId="155967A8">
            <w:pPr>
              <w:autoSpaceDE w:val="0"/>
              <w:autoSpaceDN w:val="0"/>
              <w:adjustRightInd w:val="0"/>
              <w:spacing w:line="360" w:lineRule="auto"/>
              <w:ind w:firstLine="420" w:firstLineChars="200"/>
              <w:jc w:val="left"/>
              <w:rPr>
                <w:rFonts w:hint="eastAsia" w:ascii="Times New Roman" w:hAnsi="Times New Roman" w:cs="Times New Roman"/>
                <w:color w:val="auto"/>
                <w:szCs w:val="21"/>
              </w:rPr>
            </w:pPr>
            <w:r>
              <w:rPr>
                <w:rFonts w:hint="eastAsia"/>
                <w:bCs/>
                <w:color w:val="auto"/>
                <w:szCs w:val="21"/>
                <w:lang w:val="en-US" w:eastAsia="zh-CN"/>
              </w:rPr>
              <w:t>经实地踏勘，项目占地已设置围挡，场地内</w:t>
            </w:r>
            <w:r>
              <w:rPr>
                <w:rFonts w:hint="eastAsia" w:ascii="Times New Roman" w:hAnsi="Times New Roman" w:cs="Times New Roman"/>
                <w:color w:val="auto"/>
                <w:szCs w:val="21"/>
                <w:lang w:val="en-US" w:eastAsia="zh-CN"/>
              </w:rPr>
              <w:t>无</w:t>
            </w:r>
            <w:r>
              <w:rPr>
                <w:rFonts w:hint="eastAsia" w:cs="Times New Roman"/>
                <w:color w:val="auto"/>
                <w:szCs w:val="21"/>
                <w:lang w:val="en-US" w:eastAsia="zh-CN"/>
              </w:rPr>
              <w:t>建设痕迹</w:t>
            </w:r>
            <w:r>
              <w:rPr>
                <w:rFonts w:hint="eastAsia" w:ascii="Times New Roman" w:hAnsi="Times New Roman" w:cs="Times New Roman"/>
                <w:color w:val="auto"/>
                <w:szCs w:val="21"/>
                <w:lang w:val="en-US" w:eastAsia="zh-CN"/>
              </w:rPr>
              <w:t>，项目占地</w:t>
            </w:r>
            <w:r>
              <w:rPr>
                <w:rFonts w:hint="eastAsia" w:ascii="Times New Roman" w:hAnsi="Times New Roman" w:cs="Times New Roman"/>
                <w:color w:val="auto"/>
                <w:szCs w:val="21"/>
              </w:rPr>
              <w:t>无原有环境问题。</w:t>
            </w:r>
          </w:p>
          <w:p w14:paraId="4DCCFF83">
            <w:pPr>
              <w:autoSpaceDE w:val="0"/>
              <w:autoSpaceDN w:val="0"/>
              <w:adjustRightInd w:val="0"/>
              <w:spacing w:line="360" w:lineRule="auto"/>
              <w:ind w:firstLine="420" w:firstLineChars="200"/>
              <w:jc w:val="left"/>
              <w:rPr>
                <w:rFonts w:hint="eastAsia" w:ascii="Times New Roman" w:hAnsi="Times New Roman" w:cs="Times New Roman"/>
                <w:color w:val="auto"/>
                <w:szCs w:val="21"/>
              </w:rPr>
            </w:pPr>
          </w:p>
          <w:p w14:paraId="0BB64EB0">
            <w:pPr>
              <w:autoSpaceDE w:val="0"/>
              <w:autoSpaceDN w:val="0"/>
              <w:adjustRightInd w:val="0"/>
              <w:spacing w:line="360" w:lineRule="auto"/>
              <w:ind w:firstLine="420" w:firstLineChars="200"/>
              <w:jc w:val="left"/>
              <w:rPr>
                <w:rFonts w:hint="eastAsia" w:ascii="Times New Roman" w:hAnsi="Times New Roman" w:cs="Times New Roman"/>
                <w:color w:val="auto"/>
                <w:szCs w:val="21"/>
              </w:rPr>
            </w:pPr>
          </w:p>
          <w:p w14:paraId="179BDE5B">
            <w:pPr>
              <w:autoSpaceDE w:val="0"/>
              <w:autoSpaceDN w:val="0"/>
              <w:adjustRightInd w:val="0"/>
              <w:spacing w:line="360" w:lineRule="auto"/>
              <w:ind w:firstLine="420" w:firstLineChars="200"/>
              <w:jc w:val="left"/>
              <w:rPr>
                <w:rFonts w:hint="eastAsia" w:ascii="Times New Roman" w:hAnsi="Times New Roman" w:cs="Times New Roman"/>
                <w:color w:val="auto"/>
                <w:szCs w:val="21"/>
              </w:rPr>
            </w:pPr>
          </w:p>
          <w:p w14:paraId="21A0CE3D">
            <w:pPr>
              <w:autoSpaceDE w:val="0"/>
              <w:autoSpaceDN w:val="0"/>
              <w:adjustRightInd w:val="0"/>
              <w:spacing w:line="360" w:lineRule="auto"/>
              <w:ind w:firstLine="420" w:firstLineChars="200"/>
              <w:jc w:val="left"/>
              <w:rPr>
                <w:rFonts w:hint="eastAsia" w:ascii="Times New Roman" w:hAnsi="Times New Roman" w:cs="Times New Roman"/>
                <w:color w:val="auto"/>
                <w:szCs w:val="21"/>
              </w:rPr>
            </w:pPr>
          </w:p>
          <w:p w14:paraId="511043AF">
            <w:pPr>
              <w:autoSpaceDE w:val="0"/>
              <w:autoSpaceDN w:val="0"/>
              <w:adjustRightInd w:val="0"/>
              <w:spacing w:line="360" w:lineRule="auto"/>
              <w:ind w:firstLine="420" w:firstLineChars="200"/>
              <w:jc w:val="left"/>
              <w:rPr>
                <w:rFonts w:hint="eastAsia" w:ascii="Times New Roman" w:hAnsi="Times New Roman" w:cs="Times New Roman"/>
                <w:color w:val="auto"/>
                <w:szCs w:val="21"/>
              </w:rPr>
            </w:pPr>
          </w:p>
          <w:p w14:paraId="69257193">
            <w:pPr>
              <w:autoSpaceDE w:val="0"/>
              <w:autoSpaceDN w:val="0"/>
              <w:adjustRightInd w:val="0"/>
              <w:spacing w:line="360" w:lineRule="auto"/>
              <w:ind w:firstLine="420" w:firstLineChars="200"/>
              <w:jc w:val="left"/>
              <w:rPr>
                <w:rFonts w:hint="eastAsia" w:ascii="Times New Roman" w:hAnsi="Times New Roman" w:cs="Times New Roman"/>
                <w:color w:val="auto"/>
                <w:szCs w:val="21"/>
              </w:rPr>
            </w:pPr>
          </w:p>
          <w:p w14:paraId="70BE0C40">
            <w:pPr>
              <w:autoSpaceDE w:val="0"/>
              <w:autoSpaceDN w:val="0"/>
              <w:adjustRightInd w:val="0"/>
              <w:spacing w:line="360" w:lineRule="auto"/>
              <w:ind w:firstLine="420" w:firstLineChars="200"/>
              <w:jc w:val="left"/>
              <w:rPr>
                <w:rFonts w:hint="eastAsia" w:ascii="Times New Roman" w:hAnsi="Times New Roman" w:cs="Times New Roman"/>
                <w:color w:val="auto"/>
                <w:szCs w:val="21"/>
              </w:rPr>
            </w:pPr>
          </w:p>
          <w:p w14:paraId="2FCD80C5">
            <w:pPr>
              <w:autoSpaceDE w:val="0"/>
              <w:autoSpaceDN w:val="0"/>
              <w:adjustRightInd w:val="0"/>
              <w:spacing w:line="360" w:lineRule="auto"/>
              <w:ind w:firstLine="420" w:firstLineChars="200"/>
              <w:jc w:val="left"/>
              <w:rPr>
                <w:rFonts w:hint="eastAsia" w:ascii="Times New Roman" w:hAnsi="Times New Roman" w:cs="Times New Roman"/>
                <w:color w:val="auto"/>
                <w:szCs w:val="21"/>
              </w:rPr>
            </w:pPr>
          </w:p>
          <w:p w14:paraId="002BFF80">
            <w:pPr>
              <w:autoSpaceDE w:val="0"/>
              <w:autoSpaceDN w:val="0"/>
              <w:adjustRightInd w:val="0"/>
              <w:spacing w:line="360" w:lineRule="auto"/>
              <w:ind w:firstLine="420" w:firstLineChars="200"/>
              <w:jc w:val="left"/>
              <w:rPr>
                <w:rFonts w:hint="eastAsia" w:ascii="Times New Roman" w:hAnsi="Times New Roman" w:cs="Times New Roman"/>
                <w:color w:val="auto"/>
                <w:szCs w:val="21"/>
              </w:rPr>
            </w:pPr>
          </w:p>
          <w:p w14:paraId="70017B37">
            <w:pPr>
              <w:autoSpaceDE w:val="0"/>
              <w:autoSpaceDN w:val="0"/>
              <w:adjustRightInd w:val="0"/>
              <w:spacing w:line="360" w:lineRule="auto"/>
              <w:ind w:firstLine="420" w:firstLineChars="200"/>
              <w:jc w:val="left"/>
              <w:rPr>
                <w:rFonts w:hint="eastAsia" w:ascii="Times New Roman" w:hAnsi="Times New Roman" w:cs="Times New Roman"/>
                <w:color w:val="auto"/>
                <w:szCs w:val="21"/>
              </w:rPr>
            </w:pPr>
          </w:p>
          <w:p w14:paraId="3212013D">
            <w:pPr>
              <w:autoSpaceDE w:val="0"/>
              <w:autoSpaceDN w:val="0"/>
              <w:adjustRightInd w:val="0"/>
              <w:spacing w:line="360" w:lineRule="auto"/>
              <w:ind w:firstLine="420" w:firstLineChars="200"/>
              <w:jc w:val="left"/>
              <w:rPr>
                <w:rFonts w:hint="eastAsia" w:ascii="Times New Roman" w:hAnsi="Times New Roman" w:cs="Times New Roman"/>
                <w:color w:val="auto"/>
                <w:szCs w:val="21"/>
              </w:rPr>
            </w:pPr>
          </w:p>
          <w:p w14:paraId="23739544">
            <w:pPr>
              <w:autoSpaceDE w:val="0"/>
              <w:autoSpaceDN w:val="0"/>
              <w:adjustRightInd w:val="0"/>
              <w:spacing w:line="360" w:lineRule="auto"/>
              <w:ind w:firstLine="420" w:firstLineChars="200"/>
              <w:jc w:val="left"/>
              <w:rPr>
                <w:rFonts w:hint="eastAsia" w:ascii="Times New Roman" w:hAnsi="Times New Roman" w:cs="Times New Roman"/>
                <w:color w:val="auto"/>
                <w:szCs w:val="21"/>
              </w:rPr>
            </w:pPr>
          </w:p>
          <w:p w14:paraId="04CF9A1C">
            <w:pPr>
              <w:autoSpaceDE w:val="0"/>
              <w:autoSpaceDN w:val="0"/>
              <w:adjustRightInd w:val="0"/>
              <w:spacing w:line="360" w:lineRule="auto"/>
              <w:ind w:firstLine="420" w:firstLineChars="200"/>
              <w:jc w:val="left"/>
              <w:rPr>
                <w:rFonts w:hint="eastAsia" w:ascii="Times New Roman" w:hAnsi="Times New Roman" w:cs="Times New Roman"/>
                <w:color w:val="auto"/>
                <w:szCs w:val="21"/>
              </w:rPr>
            </w:pPr>
          </w:p>
          <w:p w14:paraId="6C8E282F">
            <w:pPr>
              <w:autoSpaceDE w:val="0"/>
              <w:autoSpaceDN w:val="0"/>
              <w:adjustRightInd w:val="0"/>
              <w:spacing w:line="360" w:lineRule="auto"/>
              <w:ind w:firstLine="420" w:firstLineChars="200"/>
              <w:jc w:val="left"/>
              <w:rPr>
                <w:rFonts w:hint="eastAsia" w:ascii="Times New Roman" w:hAnsi="Times New Roman" w:cs="Times New Roman"/>
                <w:color w:val="auto"/>
                <w:szCs w:val="21"/>
              </w:rPr>
            </w:pPr>
          </w:p>
          <w:p w14:paraId="2314C204">
            <w:pPr>
              <w:autoSpaceDE w:val="0"/>
              <w:autoSpaceDN w:val="0"/>
              <w:adjustRightInd w:val="0"/>
              <w:spacing w:line="360" w:lineRule="auto"/>
              <w:ind w:firstLine="420" w:firstLineChars="200"/>
              <w:jc w:val="left"/>
              <w:rPr>
                <w:rFonts w:hint="eastAsia" w:ascii="Times New Roman" w:hAnsi="Times New Roman" w:cs="Times New Roman"/>
                <w:color w:val="auto"/>
                <w:szCs w:val="21"/>
              </w:rPr>
            </w:pPr>
          </w:p>
          <w:p w14:paraId="5BB7A25D">
            <w:pPr>
              <w:autoSpaceDE w:val="0"/>
              <w:autoSpaceDN w:val="0"/>
              <w:adjustRightInd w:val="0"/>
              <w:spacing w:line="360" w:lineRule="auto"/>
              <w:ind w:firstLine="420" w:firstLineChars="200"/>
              <w:jc w:val="left"/>
              <w:rPr>
                <w:rFonts w:hint="eastAsia" w:ascii="Times New Roman" w:hAnsi="Times New Roman" w:cs="Times New Roman"/>
                <w:color w:val="auto"/>
                <w:szCs w:val="21"/>
              </w:rPr>
            </w:pPr>
          </w:p>
          <w:p w14:paraId="48493B11">
            <w:pPr>
              <w:autoSpaceDE w:val="0"/>
              <w:autoSpaceDN w:val="0"/>
              <w:adjustRightInd w:val="0"/>
              <w:spacing w:line="360" w:lineRule="auto"/>
              <w:ind w:firstLine="420" w:firstLineChars="200"/>
              <w:jc w:val="left"/>
              <w:rPr>
                <w:rFonts w:hint="eastAsia" w:ascii="Times New Roman" w:hAnsi="Times New Roman" w:cs="Times New Roman"/>
                <w:color w:val="auto"/>
                <w:szCs w:val="21"/>
              </w:rPr>
            </w:pPr>
          </w:p>
        </w:tc>
      </w:tr>
    </w:tbl>
    <w:p w14:paraId="7F0B0453">
      <w:pPr>
        <w:pStyle w:val="41"/>
        <w:jc w:val="center"/>
        <w:rPr>
          <w:rFonts w:ascii="Times New Roman" w:hAnsi="Times New Roman" w:eastAsia="黑体"/>
          <w:snapToGrid w:val="0"/>
          <w:color w:val="auto"/>
          <w:sz w:val="36"/>
          <w:szCs w:val="36"/>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35CD9963">
      <w:pPr>
        <w:pStyle w:val="41"/>
        <w:jc w:val="center"/>
        <w:outlineLvl w:val="0"/>
        <w:rPr>
          <w:rFonts w:ascii="Times New Roman" w:hAnsi="Times New Roman" w:eastAsia="黑体"/>
          <w:snapToGrid w:val="0"/>
          <w:color w:val="auto"/>
          <w:sz w:val="30"/>
          <w:szCs w:val="30"/>
        </w:rPr>
      </w:pPr>
      <w:bookmarkStart w:id="4" w:name="_Toc24880"/>
      <w:r>
        <w:rPr>
          <w:rFonts w:ascii="Times New Roman" w:hAnsi="Times New Roman" w:eastAsia="黑体"/>
          <w:snapToGrid w:val="0"/>
          <w:color w:val="auto"/>
          <w:sz w:val="30"/>
          <w:szCs w:val="30"/>
        </w:rPr>
        <w:t>三、区域环境质量现状、环境保护目标及评价标准</w:t>
      </w:r>
      <w:bookmarkEnd w:id="4"/>
    </w:p>
    <w:tbl>
      <w:tblPr>
        <w:tblStyle w:val="47"/>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800"/>
        <w:gridCol w:w="8190"/>
      </w:tblGrid>
      <w:tr w14:paraId="6C94D6F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906" w:hRule="atLeast"/>
          <w:jc w:val="center"/>
        </w:trPr>
        <w:tc>
          <w:tcPr>
            <w:tcW w:w="800" w:type="dxa"/>
            <w:vAlign w:val="center"/>
          </w:tcPr>
          <w:p w14:paraId="60219063">
            <w:pPr>
              <w:adjustRightInd w:val="0"/>
              <w:snapToGrid w:val="0"/>
              <w:jc w:val="center"/>
              <w:rPr>
                <w:color w:val="auto"/>
                <w:kern w:val="0"/>
                <w:szCs w:val="21"/>
              </w:rPr>
            </w:pPr>
            <w:r>
              <w:rPr>
                <w:color w:val="auto"/>
                <w:kern w:val="0"/>
                <w:szCs w:val="21"/>
              </w:rPr>
              <w:t>区域</w:t>
            </w:r>
          </w:p>
          <w:p w14:paraId="603BD78A">
            <w:pPr>
              <w:adjustRightInd w:val="0"/>
              <w:snapToGrid w:val="0"/>
              <w:jc w:val="center"/>
              <w:rPr>
                <w:color w:val="auto"/>
                <w:kern w:val="0"/>
                <w:szCs w:val="21"/>
              </w:rPr>
            </w:pPr>
            <w:r>
              <w:rPr>
                <w:color w:val="auto"/>
                <w:kern w:val="0"/>
                <w:szCs w:val="21"/>
              </w:rPr>
              <w:t>环境</w:t>
            </w:r>
          </w:p>
          <w:p w14:paraId="7281E8FB">
            <w:pPr>
              <w:adjustRightInd w:val="0"/>
              <w:snapToGrid w:val="0"/>
              <w:jc w:val="center"/>
              <w:rPr>
                <w:color w:val="auto"/>
                <w:kern w:val="0"/>
                <w:szCs w:val="21"/>
              </w:rPr>
            </w:pPr>
            <w:r>
              <w:rPr>
                <w:color w:val="auto"/>
                <w:kern w:val="0"/>
                <w:szCs w:val="21"/>
              </w:rPr>
              <w:t>质量</w:t>
            </w:r>
          </w:p>
          <w:p w14:paraId="4799C145">
            <w:pPr>
              <w:adjustRightInd w:val="0"/>
              <w:snapToGrid w:val="0"/>
              <w:jc w:val="center"/>
              <w:rPr>
                <w:color w:val="auto"/>
                <w:kern w:val="0"/>
                <w:szCs w:val="21"/>
              </w:rPr>
            </w:pPr>
            <w:r>
              <w:rPr>
                <w:color w:val="auto"/>
                <w:kern w:val="0"/>
                <w:szCs w:val="21"/>
              </w:rPr>
              <w:t>现状</w:t>
            </w:r>
          </w:p>
        </w:tc>
        <w:tc>
          <w:tcPr>
            <w:tcW w:w="8190" w:type="dxa"/>
            <w:vAlign w:val="center"/>
          </w:tcPr>
          <w:p w14:paraId="084E886D">
            <w:pPr>
              <w:spacing w:line="360" w:lineRule="auto"/>
              <w:ind w:firstLine="422" w:firstLineChars="200"/>
              <w:rPr>
                <w:rFonts w:hint="default" w:eastAsia="宋体"/>
                <w:b/>
                <w:color w:val="auto"/>
                <w:szCs w:val="21"/>
                <w:lang w:val="en-US" w:eastAsia="zh-CN"/>
              </w:rPr>
            </w:pPr>
            <w:r>
              <w:rPr>
                <w:rFonts w:hint="eastAsia"/>
                <w:b/>
                <w:color w:val="auto"/>
                <w:szCs w:val="21"/>
                <w:lang w:val="en-US" w:eastAsia="zh-CN"/>
              </w:rPr>
              <w:t>3.</w:t>
            </w:r>
            <w:r>
              <w:rPr>
                <w:b/>
                <w:color w:val="auto"/>
                <w:szCs w:val="21"/>
              </w:rPr>
              <w:t>1</w:t>
            </w:r>
            <w:r>
              <w:rPr>
                <w:rFonts w:hint="eastAsia"/>
                <w:b/>
                <w:color w:val="auto"/>
                <w:szCs w:val="21"/>
                <w:lang w:val="en-US" w:eastAsia="zh-CN"/>
              </w:rPr>
              <w:t>大气环境</w:t>
            </w:r>
          </w:p>
          <w:p w14:paraId="3F1EFEA5">
            <w:pPr>
              <w:spacing w:line="360" w:lineRule="auto"/>
              <w:ind w:firstLine="420" w:firstLineChars="200"/>
              <w:rPr>
                <w:rFonts w:hint="default" w:eastAsia="宋体"/>
                <w:color w:val="auto"/>
                <w:szCs w:val="21"/>
                <w:lang w:val="en-US" w:eastAsia="zh-CN"/>
              </w:rPr>
            </w:pPr>
            <w:r>
              <w:rPr>
                <w:rFonts w:hint="eastAsia"/>
                <w:color w:val="auto"/>
                <w:szCs w:val="21"/>
                <w:lang w:eastAsia="zh-CN"/>
              </w:rPr>
              <w:t>（</w:t>
            </w:r>
            <w:r>
              <w:rPr>
                <w:rFonts w:hint="eastAsia"/>
                <w:color w:val="auto"/>
                <w:szCs w:val="21"/>
                <w:lang w:val="en-US" w:eastAsia="zh-CN"/>
              </w:rPr>
              <w:t>1</w:t>
            </w:r>
            <w:r>
              <w:rPr>
                <w:rFonts w:hint="eastAsia"/>
                <w:color w:val="auto"/>
                <w:szCs w:val="21"/>
                <w:lang w:eastAsia="zh-CN"/>
              </w:rPr>
              <w:t>）</w:t>
            </w:r>
            <w:r>
              <w:rPr>
                <w:rFonts w:hint="eastAsia"/>
                <w:color w:val="auto"/>
                <w:szCs w:val="21"/>
                <w:lang w:val="en-US" w:eastAsia="zh-CN"/>
              </w:rPr>
              <w:t>常规污染物</w:t>
            </w:r>
          </w:p>
          <w:p w14:paraId="22F367BE">
            <w:pPr>
              <w:spacing w:line="360" w:lineRule="auto"/>
              <w:ind w:firstLine="420" w:firstLineChars="200"/>
              <w:rPr>
                <w:color w:val="auto"/>
                <w:szCs w:val="21"/>
              </w:rPr>
            </w:pPr>
            <w:r>
              <w:rPr>
                <w:color w:val="auto"/>
                <w:szCs w:val="21"/>
              </w:rPr>
              <w:t>本项目厂址属于行政区划为</w:t>
            </w:r>
            <w:r>
              <w:rPr>
                <w:rFonts w:hint="eastAsia"/>
                <w:color w:val="auto"/>
                <w:szCs w:val="21"/>
                <w:lang w:val="en-US" w:eastAsia="zh-CN"/>
              </w:rPr>
              <w:t>大同市云州</w:t>
            </w:r>
            <w:r>
              <w:rPr>
                <w:color w:val="auto"/>
                <w:szCs w:val="21"/>
              </w:rPr>
              <w:t>区，选用</w:t>
            </w:r>
            <w:r>
              <w:rPr>
                <w:rFonts w:hint="eastAsia"/>
                <w:color w:val="auto"/>
                <w:szCs w:val="21"/>
                <w:lang w:val="en-US" w:eastAsia="zh-CN"/>
              </w:rPr>
              <w:t>大同市云州</w:t>
            </w:r>
            <w:r>
              <w:rPr>
                <w:color w:val="auto"/>
                <w:szCs w:val="21"/>
              </w:rPr>
              <w:t>区</w:t>
            </w:r>
            <w:r>
              <w:rPr>
                <w:rFonts w:hint="eastAsia"/>
                <w:color w:val="auto"/>
                <w:szCs w:val="21"/>
                <w:lang w:val="en-US" w:eastAsia="zh-CN"/>
              </w:rPr>
              <w:t>2023年</w:t>
            </w:r>
            <w:r>
              <w:rPr>
                <w:color w:val="auto"/>
                <w:szCs w:val="21"/>
              </w:rPr>
              <w:t>例行监测资料对本项目区域空气环境质量进行简要评价，监测数据可反应区域空气质量现状</w:t>
            </w:r>
            <w:r>
              <w:rPr>
                <w:rFonts w:hint="eastAsia"/>
                <w:color w:val="auto"/>
                <w:szCs w:val="21"/>
              </w:rPr>
              <w:t>。</w:t>
            </w:r>
            <w:r>
              <w:rPr>
                <w:color w:val="auto"/>
                <w:szCs w:val="21"/>
              </w:rPr>
              <w:t>评价标准为《环境空气质量标准》（GB3095-2012）二级标准。监测污染物为SO</w:t>
            </w:r>
            <w:r>
              <w:rPr>
                <w:color w:val="auto"/>
                <w:szCs w:val="21"/>
                <w:vertAlign w:val="subscript"/>
              </w:rPr>
              <w:t>2</w:t>
            </w:r>
            <w:r>
              <w:rPr>
                <w:color w:val="auto"/>
                <w:szCs w:val="21"/>
              </w:rPr>
              <w:t>、NO</w:t>
            </w:r>
            <w:r>
              <w:rPr>
                <w:color w:val="auto"/>
                <w:szCs w:val="21"/>
                <w:vertAlign w:val="subscript"/>
              </w:rPr>
              <w:t>2</w:t>
            </w:r>
            <w:r>
              <w:rPr>
                <w:color w:val="auto"/>
                <w:szCs w:val="21"/>
              </w:rPr>
              <w:t>、PM</w:t>
            </w:r>
            <w:r>
              <w:rPr>
                <w:color w:val="auto"/>
                <w:szCs w:val="21"/>
                <w:vertAlign w:val="subscript"/>
              </w:rPr>
              <w:t>10</w:t>
            </w:r>
            <w:r>
              <w:rPr>
                <w:color w:val="auto"/>
                <w:szCs w:val="21"/>
              </w:rPr>
              <w:t>、PM</w:t>
            </w:r>
            <w:r>
              <w:rPr>
                <w:color w:val="auto"/>
                <w:szCs w:val="21"/>
                <w:vertAlign w:val="subscript"/>
              </w:rPr>
              <w:t>2.5</w:t>
            </w:r>
            <w:r>
              <w:rPr>
                <w:color w:val="auto"/>
                <w:szCs w:val="21"/>
              </w:rPr>
              <w:t>、CO、O</w:t>
            </w:r>
            <w:r>
              <w:rPr>
                <w:color w:val="auto"/>
                <w:szCs w:val="21"/>
                <w:vertAlign w:val="subscript"/>
              </w:rPr>
              <w:t>3</w:t>
            </w:r>
            <w:r>
              <w:rPr>
                <w:color w:val="auto"/>
                <w:szCs w:val="21"/>
              </w:rPr>
              <w:t>。监测结果统计见表3-1。</w:t>
            </w:r>
          </w:p>
          <w:p w14:paraId="0FBC3D2C">
            <w:pPr>
              <w:spacing w:line="240" w:lineRule="exact"/>
              <w:jc w:val="center"/>
              <w:rPr>
                <w:b/>
                <w:sz w:val="18"/>
                <w:szCs w:val="18"/>
              </w:rPr>
            </w:pPr>
            <w:r>
              <w:rPr>
                <w:b/>
                <w:sz w:val="18"/>
                <w:szCs w:val="18"/>
              </w:rPr>
              <w:t>表3-1    20</w:t>
            </w:r>
            <w:r>
              <w:rPr>
                <w:rFonts w:hint="eastAsia"/>
                <w:b/>
                <w:sz w:val="18"/>
                <w:szCs w:val="18"/>
              </w:rPr>
              <w:t>2</w:t>
            </w:r>
            <w:r>
              <w:rPr>
                <w:rFonts w:hint="eastAsia"/>
                <w:b/>
                <w:sz w:val="18"/>
                <w:szCs w:val="18"/>
                <w:lang w:val="en-US" w:eastAsia="zh-CN"/>
              </w:rPr>
              <w:t>3</w:t>
            </w:r>
            <w:r>
              <w:rPr>
                <w:b/>
                <w:sz w:val="18"/>
                <w:szCs w:val="18"/>
              </w:rPr>
              <w:t>年</w:t>
            </w:r>
            <w:r>
              <w:rPr>
                <w:rFonts w:hint="eastAsia"/>
                <w:b/>
                <w:sz w:val="18"/>
                <w:szCs w:val="18"/>
              </w:rPr>
              <w:t>大同市云州区</w:t>
            </w:r>
            <w:r>
              <w:rPr>
                <w:b/>
                <w:sz w:val="18"/>
                <w:szCs w:val="18"/>
              </w:rPr>
              <w:t>环境空气现状监测结果统计表</w:t>
            </w:r>
          </w:p>
          <w:tbl>
            <w:tblPr>
              <w:tblStyle w:val="47"/>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604"/>
              <w:gridCol w:w="783"/>
              <w:gridCol w:w="1690"/>
              <w:gridCol w:w="1207"/>
              <w:gridCol w:w="1308"/>
              <w:gridCol w:w="1176"/>
              <w:gridCol w:w="1176"/>
            </w:tblGrid>
            <w:tr w14:paraId="15762F1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380" w:type="pct"/>
                  <w:tcBorders>
                    <w:top w:val="single" w:color="auto" w:sz="12" w:space="0"/>
                    <w:left w:val="single" w:color="auto" w:sz="12" w:space="0"/>
                    <w:bottom w:val="single" w:color="auto" w:sz="6" w:space="0"/>
                    <w:right w:val="single" w:color="auto" w:sz="6" w:space="0"/>
                  </w:tcBorders>
                  <w:vAlign w:val="center"/>
                </w:tcPr>
                <w:p w14:paraId="1B2965A2">
                  <w:pPr>
                    <w:pStyle w:val="220"/>
                    <w:spacing w:line="280" w:lineRule="exact"/>
                    <w:rPr>
                      <w:rFonts w:eastAsia="宋体"/>
                      <w:kern w:val="2"/>
                      <w:sz w:val="18"/>
                      <w:szCs w:val="18"/>
                    </w:rPr>
                  </w:pPr>
                  <w:r>
                    <w:rPr>
                      <w:rFonts w:eastAsia="宋体"/>
                      <w:kern w:val="2"/>
                      <w:sz w:val="18"/>
                      <w:szCs w:val="18"/>
                    </w:rPr>
                    <w:t>所在区域</w:t>
                  </w:r>
                </w:p>
              </w:tc>
              <w:tc>
                <w:tcPr>
                  <w:tcW w:w="493" w:type="pct"/>
                  <w:tcBorders>
                    <w:top w:val="single" w:color="auto" w:sz="12" w:space="0"/>
                    <w:left w:val="single" w:color="auto" w:sz="6" w:space="0"/>
                    <w:bottom w:val="single" w:color="auto" w:sz="6" w:space="0"/>
                    <w:right w:val="single" w:color="auto" w:sz="6" w:space="0"/>
                  </w:tcBorders>
                  <w:vAlign w:val="center"/>
                </w:tcPr>
                <w:p w14:paraId="1CFDB7F8">
                  <w:pPr>
                    <w:pStyle w:val="220"/>
                    <w:spacing w:line="280" w:lineRule="exact"/>
                    <w:rPr>
                      <w:rFonts w:eastAsia="宋体"/>
                      <w:kern w:val="2"/>
                      <w:sz w:val="18"/>
                      <w:szCs w:val="18"/>
                    </w:rPr>
                  </w:pPr>
                  <w:r>
                    <w:rPr>
                      <w:rFonts w:eastAsia="宋体"/>
                      <w:kern w:val="2"/>
                      <w:sz w:val="18"/>
                      <w:szCs w:val="18"/>
                    </w:rPr>
                    <w:t>污染物</w:t>
                  </w:r>
                </w:p>
              </w:tc>
              <w:tc>
                <w:tcPr>
                  <w:tcW w:w="1064" w:type="pct"/>
                  <w:tcBorders>
                    <w:top w:val="single" w:color="auto" w:sz="12" w:space="0"/>
                    <w:left w:val="single" w:color="auto" w:sz="6" w:space="0"/>
                    <w:bottom w:val="single" w:color="auto" w:sz="6" w:space="0"/>
                    <w:right w:val="single" w:color="auto" w:sz="6" w:space="0"/>
                  </w:tcBorders>
                  <w:vAlign w:val="center"/>
                </w:tcPr>
                <w:p w14:paraId="1515AD6D">
                  <w:pPr>
                    <w:pStyle w:val="220"/>
                    <w:spacing w:line="280" w:lineRule="exact"/>
                    <w:rPr>
                      <w:rFonts w:eastAsia="宋体"/>
                      <w:kern w:val="2"/>
                      <w:sz w:val="18"/>
                      <w:szCs w:val="18"/>
                    </w:rPr>
                  </w:pPr>
                  <w:r>
                    <w:rPr>
                      <w:rFonts w:eastAsia="宋体"/>
                      <w:kern w:val="2"/>
                      <w:sz w:val="18"/>
                      <w:szCs w:val="18"/>
                    </w:rPr>
                    <w:t>年评价指标</w:t>
                  </w:r>
                </w:p>
              </w:tc>
              <w:tc>
                <w:tcPr>
                  <w:tcW w:w="760" w:type="pct"/>
                  <w:tcBorders>
                    <w:top w:val="single" w:color="auto" w:sz="12" w:space="0"/>
                    <w:left w:val="single" w:color="auto" w:sz="6" w:space="0"/>
                    <w:bottom w:val="single" w:color="auto" w:sz="6" w:space="0"/>
                    <w:right w:val="single" w:color="auto" w:sz="6" w:space="0"/>
                  </w:tcBorders>
                  <w:vAlign w:val="center"/>
                </w:tcPr>
                <w:p w14:paraId="7D20CD0C">
                  <w:pPr>
                    <w:pStyle w:val="220"/>
                    <w:spacing w:line="280" w:lineRule="exact"/>
                    <w:rPr>
                      <w:rFonts w:hint="eastAsia" w:eastAsia="宋体"/>
                      <w:kern w:val="2"/>
                      <w:sz w:val="18"/>
                      <w:szCs w:val="18"/>
                      <w:lang w:eastAsia="zh-CN"/>
                    </w:rPr>
                  </w:pPr>
                  <w:r>
                    <w:rPr>
                      <w:rFonts w:eastAsia="宋体"/>
                      <w:kern w:val="2"/>
                      <w:sz w:val="18"/>
                      <w:szCs w:val="18"/>
                    </w:rPr>
                    <w:t>现状浓度</w:t>
                  </w:r>
                  <w:r>
                    <w:rPr>
                      <w:rFonts w:hint="eastAsia" w:eastAsia="宋体"/>
                      <w:kern w:val="2"/>
                      <w:sz w:val="18"/>
                      <w:szCs w:val="18"/>
                      <w:lang w:eastAsia="zh-CN"/>
                    </w:rPr>
                    <w:t>（</w:t>
                  </w:r>
                  <w:r>
                    <w:rPr>
                      <w:rFonts w:eastAsia="宋体"/>
                      <w:kern w:val="2"/>
                      <w:sz w:val="18"/>
                      <w:szCs w:val="18"/>
                    </w:rPr>
                    <w:t>µg/m</w:t>
                  </w:r>
                  <w:r>
                    <w:rPr>
                      <w:rFonts w:eastAsia="宋体"/>
                      <w:kern w:val="2"/>
                      <w:sz w:val="18"/>
                      <w:szCs w:val="18"/>
                      <w:vertAlign w:val="superscript"/>
                    </w:rPr>
                    <w:t>3</w:t>
                  </w:r>
                  <w:r>
                    <w:rPr>
                      <w:rFonts w:hint="eastAsia" w:eastAsia="宋体"/>
                      <w:kern w:val="2"/>
                      <w:sz w:val="18"/>
                      <w:szCs w:val="18"/>
                      <w:lang w:eastAsia="zh-CN"/>
                    </w:rPr>
                    <w:t>）</w:t>
                  </w:r>
                </w:p>
              </w:tc>
              <w:tc>
                <w:tcPr>
                  <w:tcW w:w="823" w:type="pct"/>
                  <w:tcBorders>
                    <w:top w:val="single" w:color="auto" w:sz="12" w:space="0"/>
                    <w:left w:val="single" w:color="auto" w:sz="6" w:space="0"/>
                    <w:bottom w:val="single" w:color="auto" w:sz="6" w:space="0"/>
                    <w:right w:val="single" w:color="auto" w:sz="6" w:space="0"/>
                  </w:tcBorders>
                  <w:vAlign w:val="center"/>
                </w:tcPr>
                <w:p w14:paraId="07B6BE62">
                  <w:pPr>
                    <w:pStyle w:val="220"/>
                    <w:spacing w:line="280" w:lineRule="exact"/>
                    <w:rPr>
                      <w:rFonts w:eastAsia="宋体"/>
                      <w:kern w:val="2"/>
                      <w:sz w:val="18"/>
                      <w:szCs w:val="18"/>
                    </w:rPr>
                  </w:pPr>
                  <w:r>
                    <w:rPr>
                      <w:rFonts w:eastAsia="宋体"/>
                      <w:kern w:val="2"/>
                      <w:sz w:val="18"/>
                      <w:szCs w:val="18"/>
                    </w:rPr>
                    <w:t>标准值</w:t>
                  </w:r>
                  <w:r>
                    <w:rPr>
                      <w:rFonts w:hint="eastAsia" w:eastAsia="宋体"/>
                      <w:kern w:val="2"/>
                      <w:sz w:val="18"/>
                      <w:szCs w:val="18"/>
                      <w:lang w:eastAsia="zh-CN"/>
                    </w:rPr>
                    <w:t>（</w:t>
                  </w:r>
                  <w:r>
                    <w:rPr>
                      <w:rFonts w:eastAsia="宋体"/>
                      <w:kern w:val="2"/>
                      <w:sz w:val="18"/>
                      <w:szCs w:val="18"/>
                    </w:rPr>
                    <w:t>µg/m</w:t>
                  </w:r>
                  <w:r>
                    <w:rPr>
                      <w:rFonts w:eastAsia="宋体"/>
                      <w:kern w:val="2"/>
                      <w:sz w:val="18"/>
                      <w:szCs w:val="18"/>
                      <w:vertAlign w:val="superscript"/>
                    </w:rPr>
                    <w:t>3</w:t>
                  </w:r>
                  <w:r>
                    <w:rPr>
                      <w:rFonts w:hint="eastAsia" w:eastAsia="宋体"/>
                      <w:kern w:val="2"/>
                      <w:sz w:val="18"/>
                      <w:szCs w:val="18"/>
                      <w:lang w:eastAsia="zh-CN"/>
                    </w:rPr>
                    <w:t>）</w:t>
                  </w:r>
                </w:p>
              </w:tc>
              <w:tc>
                <w:tcPr>
                  <w:tcW w:w="740" w:type="pct"/>
                  <w:tcBorders>
                    <w:top w:val="single" w:color="auto" w:sz="12" w:space="0"/>
                    <w:left w:val="single" w:color="auto" w:sz="6" w:space="0"/>
                    <w:bottom w:val="single" w:color="auto" w:sz="6" w:space="0"/>
                    <w:right w:val="single" w:color="auto" w:sz="6" w:space="0"/>
                  </w:tcBorders>
                  <w:vAlign w:val="center"/>
                </w:tcPr>
                <w:p w14:paraId="7AB3A834">
                  <w:pPr>
                    <w:pStyle w:val="220"/>
                    <w:spacing w:line="280" w:lineRule="exact"/>
                    <w:rPr>
                      <w:rFonts w:eastAsia="宋体"/>
                      <w:kern w:val="2"/>
                      <w:sz w:val="18"/>
                      <w:szCs w:val="18"/>
                    </w:rPr>
                  </w:pPr>
                  <w:r>
                    <w:rPr>
                      <w:rFonts w:eastAsia="宋体"/>
                      <w:kern w:val="2"/>
                      <w:sz w:val="18"/>
                      <w:szCs w:val="18"/>
                    </w:rPr>
                    <w:t>占标率</w:t>
                  </w:r>
                </w:p>
              </w:tc>
              <w:tc>
                <w:tcPr>
                  <w:tcW w:w="741" w:type="pct"/>
                  <w:tcBorders>
                    <w:top w:val="single" w:color="auto" w:sz="12" w:space="0"/>
                    <w:left w:val="single" w:color="auto" w:sz="6" w:space="0"/>
                    <w:bottom w:val="single" w:color="auto" w:sz="6" w:space="0"/>
                    <w:right w:val="single" w:color="auto" w:sz="12" w:space="0"/>
                  </w:tcBorders>
                  <w:vAlign w:val="center"/>
                </w:tcPr>
                <w:p w14:paraId="3AC833F4">
                  <w:pPr>
                    <w:pStyle w:val="220"/>
                    <w:spacing w:line="280" w:lineRule="exact"/>
                    <w:rPr>
                      <w:rFonts w:eastAsia="宋体"/>
                      <w:kern w:val="2"/>
                      <w:sz w:val="18"/>
                      <w:szCs w:val="18"/>
                    </w:rPr>
                  </w:pPr>
                  <w:r>
                    <w:rPr>
                      <w:rFonts w:eastAsia="宋体"/>
                      <w:kern w:val="2"/>
                      <w:sz w:val="18"/>
                      <w:szCs w:val="18"/>
                    </w:rPr>
                    <w:t>达标情况</w:t>
                  </w:r>
                </w:p>
              </w:tc>
            </w:tr>
            <w:tr w14:paraId="5CEF428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380" w:type="pct"/>
                  <w:vMerge w:val="restart"/>
                  <w:tcBorders>
                    <w:top w:val="single" w:color="auto" w:sz="6" w:space="0"/>
                    <w:left w:val="single" w:color="auto" w:sz="12" w:space="0"/>
                    <w:bottom w:val="single" w:color="auto" w:sz="12" w:space="0"/>
                    <w:right w:val="single" w:color="auto" w:sz="6" w:space="0"/>
                  </w:tcBorders>
                  <w:vAlign w:val="center"/>
                </w:tcPr>
                <w:p w14:paraId="1AE813B9">
                  <w:pPr>
                    <w:pStyle w:val="220"/>
                    <w:spacing w:line="280" w:lineRule="exact"/>
                    <w:rPr>
                      <w:rFonts w:eastAsia="宋体"/>
                      <w:kern w:val="2"/>
                      <w:sz w:val="18"/>
                      <w:szCs w:val="18"/>
                    </w:rPr>
                  </w:pPr>
                  <w:r>
                    <w:rPr>
                      <w:rFonts w:hint="eastAsia" w:eastAsia="宋体"/>
                      <w:kern w:val="2"/>
                      <w:sz w:val="18"/>
                      <w:szCs w:val="18"/>
                    </w:rPr>
                    <w:t>大同市云州区</w:t>
                  </w:r>
                </w:p>
              </w:tc>
              <w:tc>
                <w:tcPr>
                  <w:tcW w:w="493" w:type="pct"/>
                  <w:tcBorders>
                    <w:top w:val="single" w:color="auto" w:sz="6" w:space="0"/>
                    <w:left w:val="single" w:color="auto" w:sz="6" w:space="0"/>
                    <w:bottom w:val="single" w:color="auto" w:sz="6" w:space="0"/>
                    <w:right w:val="single" w:color="auto" w:sz="6" w:space="0"/>
                  </w:tcBorders>
                  <w:vAlign w:val="center"/>
                </w:tcPr>
                <w:p w14:paraId="5E42F716">
                  <w:pPr>
                    <w:pStyle w:val="220"/>
                    <w:spacing w:line="280" w:lineRule="exact"/>
                    <w:rPr>
                      <w:rFonts w:eastAsia="宋体"/>
                      <w:kern w:val="2"/>
                      <w:sz w:val="18"/>
                      <w:szCs w:val="18"/>
                    </w:rPr>
                  </w:pPr>
                  <w:r>
                    <w:rPr>
                      <w:rFonts w:eastAsia="宋体"/>
                      <w:kern w:val="2"/>
                      <w:sz w:val="18"/>
                      <w:szCs w:val="18"/>
                    </w:rPr>
                    <w:t>SO</w:t>
                  </w:r>
                  <w:r>
                    <w:rPr>
                      <w:rFonts w:eastAsia="宋体"/>
                      <w:kern w:val="2"/>
                      <w:sz w:val="18"/>
                      <w:szCs w:val="18"/>
                      <w:vertAlign w:val="subscript"/>
                    </w:rPr>
                    <w:t>2</w:t>
                  </w:r>
                </w:p>
              </w:tc>
              <w:tc>
                <w:tcPr>
                  <w:tcW w:w="1064" w:type="pct"/>
                  <w:vMerge w:val="restart"/>
                  <w:tcBorders>
                    <w:top w:val="single" w:color="auto" w:sz="6" w:space="0"/>
                    <w:left w:val="single" w:color="auto" w:sz="6" w:space="0"/>
                    <w:right w:val="single" w:color="auto" w:sz="6" w:space="0"/>
                  </w:tcBorders>
                  <w:vAlign w:val="center"/>
                </w:tcPr>
                <w:p w14:paraId="63FF2202">
                  <w:pPr>
                    <w:pStyle w:val="220"/>
                    <w:spacing w:line="280" w:lineRule="exact"/>
                    <w:rPr>
                      <w:rFonts w:eastAsia="宋体"/>
                      <w:kern w:val="2"/>
                      <w:sz w:val="18"/>
                      <w:szCs w:val="18"/>
                    </w:rPr>
                  </w:pPr>
                  <w:r>
                    <w:rPr>
                      <w:rFonts w:eastAsia="宋体"/>
                      <w:kern w:val="2"/>
                      <w:sz w:val="18"/>
                      <w:szCs w:val="18"/>
                    </w:rPr>
                    <w:t>年平均质量浓度</w:t>
                  </w:r>
                </w:p>
              </w:tc>
              <w:tc>
                <w:tcPr>
                  <w:tcW w:w="760" w:type="pct"/>
                  <w:tcBorders>
                    <w:top w:val="single" w:color="auto" w:sz="6" w:space="0"/>
                    <w:left w:val="single" w:color="auto" w:sz="6" w:space="0"/>
                    <w:bottom w:val="single" w:color="auto" w:sz="6" w:space="0"/>
                    <w:right w:val="single" w:color="auto" w:sz="6" w:space="0"/>
                  </w:tcBorders>
                  <w:vAlign w:val="center"/>
                </w:tcPr>
                <w:p w14:paraId="14DCD213">
                  <w:pPr>
                    <w:pStyle w:val="220"/>
                    <w:spacing w:line="280" w:lineRule="exact"/>
                    <w:rPr>
                      <w:rFonts w:eastAsia="宋体"/>
                      <w:kern w:val="2"/>
                      <w:sz w:val="18"/>
                      <w:szCs w:val="18"/>
                    </w:rPr>
                  </w:pPr>
                  <w:r>
                    <w:rPr>
                      <w:rFonts w:hint="eastAsia" w:eastAsia="宋体"/>
                      <w:kern w:val="2"/>
                      <w:sz w:val="18"/>
                      <w:szCs w:val="18"/>
                    </w:rPr>
                    <w:t>1</w:t>
                  </w:r>
                  <w:r>
                    <w:rPr>
                      <w:rFonts w:hint="eastAsia" w:eastAsia="宋体"/>
                      <w:kern w:val="2"/>
                      <w:sz w:val="18"/>
                      <w:szCs w:val="18"/>
                      <w:lang w:val="en-US" w:eastAsia="zh-CN"/>
                    </w:rPr>
                    <w:t>5</w:t>
                  </w:r>
                </w:p>
              </w:tc>
              <w:tc>
                <w:tcPr>
                  <w:tcW w:w="823" w:type="pct"/>
                  <w:tcBorders>
                    <w:top w:val="single" w:color="auto" w:sz="6" w:space="0"/>
                    <w:left w:val="single" w:color="auto" w:sz="6" w:space="0"/>
                    <w:bottom w:val="single" w:color="auto" w:sz="6" w:space="0"/>
                    <w:right w:val="single" w:color="auto" w:sz="6" w:space="0"/>
                  </w:tcBorders>
                  <w:vAlign w:val="center"/>
                </w:tcPr>
                <w:p w14:paraId="6E3C0CE1">
                  <w:pPr>
                    <w:pStyle w:val="220"/>
                    <w:spacing w:line="280" w:lineRule="exact"/>
                    <w:rPr>
                      <w:rFonts w:eastAsia="宋体"/>
                      <w:kern w:val="2"/>
                      <w:sz w:val="18"/>
                      <w:szCs w:val="18"/>
                    </w:rPr>
                  </w:pPr>
                  <w:r>
                    <w:rPr>
                      <w:rFonts w:eastAsia="宋体"/>
                      <w:kern w:val="2"/>
                      <w:sz w:val="18"/>
                      <w:szCs w:val="18"/>
                    </w:rPr>
                    <w:t>60</w:t>
                  </w:r>
                </w:p>
              </w:tc>
              <w:tc>
                <w:tcPr>
                  <w:tcW w:w="740" w:type="pct"/>
                  <w:tcBorders>
                    <w:top w:val="single" w:color="auto" w:sz="6" w:space="0"/>
                    <w:left w:val="single" w:color="auto" w:sz="6" w:space="0"/>
                    <w:bottom w:val="single" w:color="auto" w:sz="6" w:space="0"/>
                    <w:right w:val="single" w:color="auto" w:sz="6" w:space="0"/>
                  </w:tcBorders>
                  <w:vAlign w:val="center"/>
                </w:tcPr>
                <w:p w14:paraId="4A777CA9">
                  <w:pPr>
                    <w:pStyle w:val="220"/>
                    <w:spacing w:line="280" w:lineRule="exact"/>
                    <w:rPr>
                      <w:rFonts w:eastAsia="宋体"/>
                      <w:kern w:val="2"/>
                      <w:sz w:val="18"/>
                      <w:szCs w:val="18"/>
                    </w:rPr>
                  </w:pPr>
                  <w:r>
                    <w:rPr>
                      <w:rFonts w:hint="eastAsia" w:eastAsia="宋体"/>
                      <w:kern w:val="2"/>
                      <w:sz w:val="18"/>
                      <w:szCs w:val="18"/>
                      <w:lang w:val="en-US" w:eastAsia="zh-CN"/>
                    </w:rPr>
                    <w:t>25</w:t>
                  </w:r>
                  <w:r>
                    <w:rPr>
                      <w:rFonts w:hint="eastAsia" w:eastAsia="宋体"/>
                      <w:kern w:val="2"/>
                      <w:sz w:val="18"/>
                      <w:szCs w:val="18"/>
                    </w:rPr>
                    <w:t>.0</w:t>
                  </w:r>
                  <w:r>
                    <w:rPr>
                      <w:rFonts w:eastAsia="宋体"/>
                      <w:kern w:val="2"/>
                      <w:sz w:val="18"/>
                      <w:szCs w:val="18"/>
                    </w:rPr>
                    <w:t>%</w:t>
                  </w:r>
                </w:p>
              </w:tc>
              <w:tc>
                <w:tcPr>
                  <w:tcW w:w="741" w:type="pct"/>
                  <w:tcBorders>
                    <w:top w:val="single" w:color="auto" w:sz="6" w:space="0"/>
                    <w:left w:val="single" w:color="auto" w:sz="6" w:space="0"/>
                    <w:bottom w:val="single" w:color="auto" w:sz="6" w:space="0"/>
                    <w:right w:val="single" w:color="auto" w:sz="12" w:space="0"/>
                  </w:tcBorders>
                  <w:vAlign w:val="center"/>
                </w:tcPr>
                <w:p w14:paraId="09AC3C14">
                  <w:pPr>
                    <w:pStyle w:val="220"/>
                    <w:spacing w:line="280" w:lineRule="exact"/>
                    <w:rPr>
                      <w:rFonts w:eastAsia="宋体"/>
                      <w:kern w:val="2"/>
                      <w:sz w:val="18"/>
                      <w:szCs w:val="18"/>
                    </w:rPr>
                  </w:pPr>
                  <w:r>
                    <w:rPr>
                      <w:rFonts w:eastAsia="宋体"/>
                      <w:kern w:val="2"/>
                      <w:sz w:val="18"/>
                      <w:szCs w:val="18"/>
                    </w:rPr>
                    <w:t>达标</w:t>
                  </w:r>
                </w:p>
              </w:tc>
            </w:tr>
            <w:tr w14:paraId="1593EF4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380" w:type="pct"/>
                  <w:vMerge w:val="continue"/>
                  <w:tcBorders>
                    <w:top w:val="single" w:color="auto" w:sz="6" w:space="0"/>
                    <w:left w:val="single" w:color="auto" w:sz="12" w:space="0"/>
                    <w:bottom w:val="single" w:color="auto" w:sz="12" w:space="0"/>
                    <w:right w:val="single" w:color="auto" w:sz="6" w:space="0"/>
                  </w:tcBorders>
                  <w:vAlign w:val="center"/>
                </w:tcPr>
                <w:p w14:paraId="4243F70A">
                  <w:pPr>
                    <w:widowControl/>
                    <w:spacing w:line="280" w:lineRule="exact"/>
                    <w:jc w:val="center"/>
                    <w:rPr>
                      <w:sz w:val="18"/>
                      <w:szCs w:val="18"/>
                    </w:rPr>
                  </w:pPr>
                </w:p>
              </w:tc>
              <w:tc>
                <w:tcPr>
                  <w:tcW w:w="493" w:type="pct"/>
                  <w:tcBorders>
                    <w:top w:val="single" w:color="auto" w:sz="6" w:space="0"/>
                    <w:left w:val="single" w:color="auto" w:sz="6" w:space="0"/>
                    <w:bottom w:val="single" w:color="auto" w:sz="6" w:space="0"/>
                    <w:right w:val="single" w:color="auto" w:sz="6" w:space="0"/>
                  </w:tcBorders>
                  <w:vAlign w:val="center"/>
                </w:tcPr>
                <w:p w14:paraId="71625ED8">
                  <w:pPr>
                    <w:pStyle w:val="220"/>
                    <w:spacing w:line="280" w:lineRule="exact"/>
                    <w:rPr>
                      <w:rFonts w:eastAsia="宋体"/>
                      <w:kern w:val="2"/>
                      <w:sz w:val="18"/>
                      <w:szCs w:val="18"/>
                    </w:rPr>
                  </w:pPr>
                  <w:r>
                    <w:rPr>
                      <w:rFonts w:eastAsia="宋体"/>
                      <w:kern w:val="2"/>
                      <w:sz w:val="18"/>
                      <w:szCs w:val="18"/>
                    </w:rPr>
                    <w:t>NO</w:t>
                  </w:r>
                  <w:r>
                    <w:rPr>
                      <w:rFonts w:eastAsia="宋体"/>
                      <w:kern w:val="2"/>
                      <w:sz w:val="18"/>
                      <w:szCs w:val="18"/>
                      <w:vertAlign w:val="subscript"/>
                    </w:rPr>
                    <w:t>2</w:t>
                  </w:r>
                </w:p>
              </w:tc>
              <w:tc>
                <w:tcPr>
                  <w:tcW w:w="1064" w:type="pct"/>
                  <w:vMerge w:val="continue"/>
                  <w:tcBorders>
                    <w:left w:val="single" w:color="auto" w:sz="6" w:space="0"/>
                    <w:right w:val="single" w:color="auto" w:sz="6" w:space="0"/>
                  </w:tcBorders>
                  <w:vAlign w:val="center"/>
                </w:tcPr>
                <w:p w14:paraId="1C9BD194">
                  <w:pPr>
                    <w:pStyle w:val="220"/>
                    <w:spacing w:line="280" w:lineRule="exact"/>
                    <w:rPr>
                      <w:sz w:val="18"/>
                      <w:szCs w:val="18"/>
                    </w:rPr>
                  </w:pPr>
                </w:p>
              </w:tc>
              <w:tc>
                <w:tcPr>
                  <w:tcW w:w="760" w:type="pct"/>
                  <w:tcBorders>
                    <w:top w:val="single" w:color="auto" w:sz="6" w:space="0"/>
                    <w:left w:val="single" w:color="auto" w:sz="6" w:space="0"/>
                    <w:bottom w:val="single" w:color="auto" w:sz="6" w:space="0"/>
                    <w:right w:val="single" w:color="auto" w:sz="6" w:space="0"/>
                  </w:tcBorders>
                  <w:vAlign w:val="center"/>
                </w:tcPr>
                <w:p w14:paraId="35ABB470">
                  <w:pPr>
                    <w:pStyle w:val="220"/>
                    <w:spacing w:line="280" w:lineRule="exact"/>
                    <w:rPr>
                      <w:rFonts w:eastAsia="宋体"/>
                      <w:kern w:val="2"/>
                      <w:sz w:val="18"/>
                      <w:szCs w:val="18"/>
                    </w:rPr>
                  </w:pPr>
                  <w:r>
                    <w:rPr>
                      <w:rFonts w:hint="eastAsia" w:eastAsia="宋体"/>
                      <w:kern w:val="2"/>
                      <w:sz w:val="18"/>
                      <w:szCs w:val="18"/>
                      <w:lang w:val="en-US" w:eastAsia="zh-CN"/>
                    </w:rPr>
                    <w:t>22</w:t>
                  </w:r>
                </w:p>
              </w:tc>
              <w:tc>
                <w:tcPr>
                  <w:tcW w:w="823" w:type="pct"/>
                  <w:tcBorders>
                    <w:top w:val="single" w:color="auto" w:sz="6" w:space="0"/>
                    <w:left w:val="single" w:color="auto" w:sz="6" w:space="0"/>
                    <w:bottom w:val="single" w:color="auto" w:sz="6" w:space="0"/>
                    <w:right w:val="single" w:color="auto" w:sz="6" w:space="0"/>
                  </w:tcBorders>
                  <w:vAlign w:val="center"/>
                </w:tcPr>
                <w:p w14:paraId="6887C8BB">
                  <w:pPr>
                    <w:pStyle w:val="220"/>
                    <w:spacing w:line="280" w:lineRule="exact"/>
                    <w:rPr>
                      <w:rFonts w:eastAsia="宋体"/>
                      <w:kern w:val="2"/>
                      <w:sz w:val="18"/>
                      <w:szCs w:val="18"/>
                    </w:rPr>
                  </w:pPr>
                  <w:r>
                    <w:rPr>
                      <w:rFonts w:eastAsia="宋体"/>
                      <w:kern w:val="2"/>
                      <w:sz w:val="18"/>
                      <w:szCs w:val="18"/>
                    </w:rPr>
                    <w:t>40</w:t>
                  </w:r>
                </w:p>
              </w:tc>
              <w:tc>
                <w:tcPr>
                  <w:tcW w:w="740" w:type="pct"/>
                  <w:tcBorders>
                    <w:top w:val="single" w:color="auto" w:sz="6" w:space="0"/>
                    <w:left w:val="single" w:color="auto" w:sz="6" w:space="0"/>
                    <w:bottom w:val="single" w:color="auto" w:sz="6" w:space="0"/>
                    <w:right w:val="single" w:color="auto" w:sz="6" w:space="0"/>
                  </w:tcBorders>
                  <w:vAlign w:val="center"/>
                </w:tcPr>
                <w:p w14:paraId="0F058916">
                  <w:pPr>
                    <w:pStyle w:val="220"/>
                    <w:spacing w:line="280" w:lineRule="exact"/>
                    <w:rPr>
                      <w:rFonts w:eastAsia="宋体"/>
                      <w:kern w:val="2"/>
                      <w:sz w:val="18"/>
                      <w:szCs w:val="18"/>
                    </w:rPr>
                  </w:pPr>
                  <w:r>
                    <w:rPr>
                      <w:rFonts w:hint="eastAsia" w:eastAsia="宋体"/>
                      <w:kern w:val="2"/>
                      <w:sz w:val="18"/>
                      <w:szCs w:val="18"/>
                      <w:lang w:val="en-US" w:eastAsia="zh-CN"/>
                    </w:rPr>
                    <w:t>5</w:t>
                  </w:r>
                  <w:r>
                    <w:rPr>
                      <w:rFonts w:hint="eastAsia" w:eastAsia="宋体"/>
                      <w:kern w:val="2"/>
                      <w:sz w:val="18"/>
                      <w:szCs w:val="18"/>
                    </w:rPr>
                    <w:t>5.0</w:t>
                  </w:r>
                  <w:r>
                    <w:rPr>
                      <w:rFonts w:eastAsia="宋体"/>
                      <w:kern w:val="2"/>
                      <w:sz w:val="18"/>
                      <w:szCs w:val="18"/>
                    </w:rPr>
                    <w:t>%</w:t>
                  </w:r>
                </w:p>
              </w:tc>
              <w:tc>
                <w:tcPr>
                  <w:tcW w:w="741" w:type="pct"/>
                  <w:tcBorders>
                    <w:top w:val="single" w:color="auto" w:sz="6" w:space="0"/>
                    <w:left w:val="single" w:color="auto" w:sz="6" w:space="0"/>
                    <w:bottom w:val="single" w:color="auto" w:sz="6" w:space="0"/>
                    <w:right w:val="single" w:color="auto" w:sz="12" w:space="0"/>
                  </w:tcBorders>
                  <w:vAlign w:val="center"/>
                </w:tcPr>
                <w:p w14:paraId="7232B790">
                  <w:pPr>
                    <w:pStyle w:val="220"/>
                    <w:spacing w:line="280" w:lineRule="exact"/>
                    <w:rPr>
                      <w:rFonts w:eastAsia="宋体"/>
                      <w:kern w:val="2"/>
                      <w:sz w:val="18"/>
                      <w:szCs w:val="18"/>
                    </w:rPr>
                  </w:pPr>
                  <w:r>
                    <w:rPr>
                      <w:rFonts w:eastAsia="宋体"/>
                      <w:kern w:val="2"/>
                      <w:sz w:val="18"/>
                      <w:szCs w:val="18"/>
                    </w:rPr>
                    <w:t>达标</w:t>
                  </w:r>
                </w:p>
              </w:tc>
            </w:tr>
            <w:tr w14:paraId="25DE825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380" w:type="pct"/>
                  <w:vMerge w:val="continue"/>
                  <w:tcBorders>
                    <w:top w:val="single" w:color="auto" w:sz="6" w:space="0"/>
                    <w:left w:val="single" w:color="auto" w:sz="12" w:space="0"/>
                    <w:bottom w:val="single" w:color="auto" w:sz="12" w:space="0"/>
                    <w:right w:val="single" w:color="auto" w:sz="6" w:space="0"/>
                  </w:tcBorders>
                  <w:vAlign w:val="center"/>
                </w:tcPr>
                <w:p w14:paraId="55159A03">
                  <w:pPr>
                    <w:widowControl/>
                    <w:spacing w:line="280" w:lineRule="exact"/>
                    <w:jc w:val="center"/>
                    <w:rPr>
                      <w:sz w:val="18"/>
                      <w:szCs w:val="18"/>
                    </w:rPr>
                  </w:pPr>
                </w:p>
              </w:tc>
              <w:tc>
                <w:tcPr>
                  <w:tcW w:w="493" w:type="pct"/>
                  <w:tcBorders>
                    <w:top w:val="single" w:color="auto" w:sz="6" w:space="0"/>
                    <w:left w:val="single" w:color="auto" w:sz="6" w:space="0"/>
                    <w:bottom w:val="single" w:color="auto" w:sz="6" w:space="0"/>
                    <w:right w:val="single" w:color="auto" w:sz="6" w:space="0"/>
                  </w:tcBorders>
                  <w:vAlign w:val="center"/>
                </w:tcPr>
                <w:p w14:paraId="50A0887A">
                  <w:pPr>
                    <w:pStyle w:val="220"/>
                    <w:spacing w:line="280" w:lineRule="exact"/>
                    <w:rPr>
                      <w:rFonts w:eastAsia="宋体"/>
                      <w:kern w:val="2"/>
                      <w:sz w:val="18"/>
                      <w:szCs w:val="18"/>
                    </w:rPr>
                  </w:pPr>
                  <w:r>
                    <w:rPr>
                      <w:rFonts w:eastAsia="宋体"/>
                      <w:kern w:val="2"/>
                      <w:sz w:val="18"/>
                      <w:szCs w:val="18"/>
                    </w:rPr>
                    <w:t>PM</w:t>
                  </w:r>
                  <w:r>
                    <w:rPr>
                      <w:rFonts w:eastAsia="宋体"/>
                      <w:kern w:val="2"/>
                      <w:sz w:val="18"/>
                      <w:szCs w:val="18"/>
                      <w:vertAlign w:val="subscript"/>
                    </w:rPr>
                    <w:t>10</w:t>
                  </w:r>
                </w:p>
              </w:tc>
              <w:tc>
                <w:tcPr>
                  <w:tcW w:w="1064" w:type="pct"/>
                  <w:vMerge w:val="continue"/>
                  <w:tcBorders>
                    <w:left w:val="single" w:color="auto" w:sz="6" w:space="0"/>
                    <w:right w:val="single" w:color="auto" w:sz="6" w:space="0"/>
                  </w:tcBorders>
                  <w:vAlign w:val="center"/>
                </w:tcPr>
                <w:p w14:paraId="57D59715">
                  <w:pPr>
                    <w:pStyle w:val="220"/>
                    <w:spacing w:line="280" w:lineRule="exact"/>
                    <w:rPr>
                      <w:sz w:val="18"/>
                      <w:szCs w:val="18"/>
                    </w:rPr>
                  </w:pPr>
                </w:p>
              </w:tc>
              <w:tc>
                <w:tcPr>
                  <w:tcW w:w="760" w:type="pct"/>
                  <w:tcBorders>
                    <w:top w:val="single" w:color="auto" w:sz="6" w:space="0"/>
                    <w:left w:val="single" w:color="auto" w:sz="6" w:space="0"/>
                    <w:bottom w:val="single" w:color="auto" w:sz="6" w:space="0"/>
                    <w:right w:val="single" w:color="auto" w:sz="6" w:space="0"/>
                  </w:tcBorders>
                  <w:vAlign w:val="center"/>
                </w:tcPr>
                <w:p w14:paraId="542B2481">
                  <w:pPr>
                    <w:pStyle w:val="220"/>
                    <w:spacing w:line="280" w:lineRule="exact"/>
                    <w:rPr>
                      <w:rFonts w:eastAsia="宋体"/>
                      <w:kern w:val="2"/>
                      <w:sz w:val="18"/>
                      <w:szCs w:val="18"/>
                    </w:rPr>
                  </w:pPr>
                  <w:r>
                    <w:rPr>
                      <w:rFonts w:hint="eastAsia" w:eastAsia="宋体"/>
                      <w:kern w:val="2"/>
                      <w:sz w:val="18"/>
                      <w:szCs w:val="18"/>
                    </w:rPr>
                    <w:t>5</w:t>
                  </w:r>
                  <w:r>
                    <w:rPr>
                      <w:rFonts w:hint="eastAsia" w:eastAsia="宋体"/>
                      <w:kern w:val="2"/>
                      <w:sz w:val="18"/>
                      <w:szCs w:val="18"/>
                      <w:lang w:val="en-US" w:eastAsia="zh-CN"/>
                    </w:rPr>
                    <w:t>4</w:t>
                  </w:r>
                </w:p>
              </w:tc>
              <w:tc>
                <w:tcPr>
                  <w:tcW w:w="823" w:type="pct"/>
                  <w:tcBorders>
                    <w:top w:val="single" w:color="auto" w:sz="6" w:space="0"/>
                    <w:left w:val="single" w:color="auto" w:sz="6" w:space="0"/>
                    <w:bottom w:val="single" w:color="auto" w:sz="6" w:space="0"/>
                    <w:right w:val="single" w:color="auto" w:sz="6" w:space="0"/>
                  </w:tcBorders>
                  <w:vAlign w:val="center"/>
                </w:tcPr>
                <w:p w14:paraId="618E7144">
                  <w:pPr>
                    <w:pStyle w:val="220"/>
                    <w:spacing w:line="280" w:lineRule="exact"/>
                    <w:rPr>
                      <w:rFonts w:eastAsia="宋体"/>
                      <w:kern w:val="2"/>
                      <w:sz w:val="18"/>
                      <w:szCs w:val="18"/>
                    </w:rPr>
                  </w:pPr>
                  <w:r>
                    <w:rPr>
                      <w:rFonts w:eastAsia="宋体"/>
                      <w:kern w:val="2"/>
                      <w:sz w:val="18"/>
                      <w:szCs w:val="18"/>
                    </w:rPr>
                    <w:t>70</w:t>
                  </w:r>
                </w:p>
              </w:tc>
              <w:tc>
                <w:tcPr>
                  <w:tcW w:w="740" w:type="pct"/>
                  <w:tcBorders>
                    <w:top w:val="single" w:color="auto" w:sz="6" w:space="0"/>
                    <w:left w:val="single" w:color="auto" w:sz="6" w:space="0"/>
                    <w:bottom w:val="single" w:color="auto" w:sz="6" w:space="0"/>
                    <w:right w:val="single" w:color="auto" w:sz="6" w:space="0"/>
                  </w:tcBorders>
                  <w:vAlign w:val="center"/>
                </w:tcPr>
                <w:p w14:paraId="773BB304">
                  <w:pPr>
                    <w:pStyle w:val="220"/>
                    <w:spacing w:line="280" w:lineRule="exact"/>
                    <w:rPr>
                      <w:rFonts w:eastAsia="宋体"/>
                      <w:kern w:val="2"/>
                      <w:sz w:val="18"/>
                      <w:szCs w:val="18"/>
                    </w:rPr>
                  </w:pPr>
                  <w:r>
                    <w:rPr>
                      <w:rFonts w:hint="eastAsia" w:eastAsia="宋体"/>
                      <w:kern w:val="2"/>
                      <w:sz w:val="18"/>
                      <w:szCs w:val="18"/>
                    </w:rPr>
                    <w:t>7</w:t>
                  </w:r>
                  <w:r>
                    <w:rPr>
                      <w:rFonts w:hint="eastAsia" w:eastAsia="宋体"/>
                      <w:kern w:val="2"/>
                      <w:sz w:val="18"/>
                      <w:szCs w:val="18"/>
                      <w:lang w:val="en-US" w:eastAsia="zh-CN"/>
                    </w:rPr>
                    <w:t>7.1</w:t>
                  </w:r>
                  <w:r>
                    <w:rPr>
                      <w:rFonts w:eastAsia="宋体"/>
                      <w:kern w:val="2"/>
                      <w:sz w:val="18"/>
                      <w:szCs w:val="18"/>
                    </w:rPr>
                    <w:t>%</w:t>
                  </w:r>
                </w:p>
              </w:tc>
              <w:tc>
                <w:tcPr>
                  <w:tcW w:w="741" w:type="pct"/>
                  <w:tcBorders>
                    <w:top w:val="single" w:color="auto" w:sz="6" w:space="0"/>
                    <w:left w:val="single" w:color="auto" w:sz="6" w:space="0"/>
                    <w:bottom w:val="single" w:color="auto" w:sz="6" w:space="0"/>
                    <w:right w:val="single" w:color="auto" w:sz="12" w:space="0"/>
                  </w:tcBorders>
                  <w:vAlign w:val="center"/>
                </w:tcPr>
                <w:p w14:paraId="476DE46E">
                  <w:pPr>
                    <w:pStyle w:val="220"/>
                    <w:spacing w:line="280" w:lineRule="exact"/>
                    <w:rPr>
                      <w:rFonts w:eastAsia="宋体"/>
                      <w:kern w:val="2"/>
                      <w:sz w:val="18"/>
                      <w:szCs w:val="18"/>
                    </w:rPr>
                  </w:pPr>
                  <w:r>
                    <w:rPr>
                      <w:rFonts w:hint="eastAsia" w:eastAsia="宋体"/>
                      <w:kern w:val="2"/>
                      <w:sz w:val="18"/>
                      <w:szCs w:val="18"/>
                    </w:rPr>
                    <w:t>达</w:t>
                  </w:r>
                  <w:r>
                    <w:rPr>
                      <w:rFonts w:eastAsia="宋体"/>
                      <w:kern w:val="2"/>
                      <w:sz w:val="18"/>
                      <w:szCs w:val="18"/>
                    </w:rPr>
                    <w:t>标</w:t>
                  </w:r>
                </w:p>
              </w:tc>
            </w:tr>
            <w:tr w14:paraId="6568987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380" w:type="pct"/>
                  <w:vMerge w:val="continue"/>
                  <w:tcBorders>
                    <w:top w:val="single" w:color="auto" w:sz="6" w:space="0"/>
                    <w:left w:val="single" w:color="auto" w:sz="12" w:space="0"/>
                    <w:bottom w:val="single" w:color="auto" w:sz="12" w:space="0"/>
                    <w:right w:val="single" w:color="auto" w:sz="6" w:space="0"/>
                  </w:tcBorders>
                  <w:vAlign w:val="center"/>
                </w:tcPr>
                <w:p w14:paraId="2E60B4A9">
                  <w:pPr>
                    <w:widowControl/>
                    <w:spacing w:line="280" w:lineRule="exact"/>
                    <w:jc w:val="center"/>
                    <w:rPr>
                      <w:sz w:val="18"/>
                      <w:szCs w:val="18"/>
                    </w:rPr>
                  </w:pPr>
                </w:p>
              </w:tc>
              <w:tc>
                <w:tcPr>
                  <w:tcW w:w="493" w:type="pct"/>
                  <w:tcBorders>
                    <w:top w:val="single" w:color="auto" w:sz="6" w:space="0"/>
                    <w:left w:val="single" w:color="auto" w:sz="6" w:space="0"/>
                    <w:bottom w:val="single" w:color="auto" w:sz="6" w:space="0"/>
                    <w:right w:val="single" w:color="auto" w:sz="6" w:space="0"/>
                  </w:tcBorders>
                  <w:vAlign w:val="center"/>
                </w:tcPr>
                <w:p w14:paraId="0FDD5086">
                  <w:pPr>
                    <w:pStyle w:val="220"/>
                    <w:spacing w:line="280" w:lineRule="exact"/>
                    <w:rPr>
                      <w:rFonts w:eastAsia="宋体"/>
                      <w:kern w:val="2"/>
                      <w:sz w:val="18"/>
                      <w:szCs w:val="18"/>
                    </w:rPr>
                  </w:pPr>
                  <w:r>
                    <w:rPr>
                      <w:rFonts w:eastAsia="宋体"/>
                      <w:kern w:val="2"/>
                      <w:sz w:val="18"/>
                      <w:szCs w:val="18"/>
                    </w:rPr>
                    <w:t>PM</w:t>
                  </w:r>
                  <w:r>
                    <w:rPr>
                      <w:rFonts w:eastAsia="宋体"/>
                      <w:kern w:val="2"/>
                      <w:sz w:val="18"/>
                      <w:szCs w:val="18"/>
                      <w:vertAlign w:val="subscript"/>
                    </w:rPr>
                    <w:t>2.5</w:t>
                  </w:r>
                </w:p>
              </w:tc>
              <w:tc>
                <w:tcPr>
                  <w:tcW w:w="1064" w:type="pct"/>
                  <w:vMerge w:val="continue"/>
                  <w:tcBorders>
                    <w:left w:val="single" w:color="auto" w:sz="6" w:space="0"/>
                    <w:bottom w:val="single" w:color="auto" w:sz="4" w:space="0"/>
                    <w:right w:val="single" w:color="auto" w:sz="6" w:space="0"/>
                  </w:tcBorders>
                  <w:vAlign w:val="center"/>
                </w:tcPr>
                <w:p w14:paraId="05F69BF0">
                  <w:pPr>
                    <w:pStyle w:val="220"/>
                    <w:spacing w:line="280" w:lineRule="exact"/>
                    <w:rPr>
                      <w:rFonts w:eastAsia="宋体"/>
                      <w:kern w:val="2"/>
                      <w:sz w:val="18"/>
                      <w:szCs w:val="18"/>
                    </w:rPr>
                  </w:pPr>
                </w:p>
              </w:tc>
              <w:tc>
                <w:tcPr>
                  <w:tcW w:w="760" w:type="pct"/>
                  <w:tcBorders>
                    <w:top w:val="single" w:color="auto" w:sz="6" w:space="0"/>
                    <w:left w:val="single" w:color="auto" w:sz="6" w:space="0"/>
                    <w:bottom w:val="single" w:color="auto" w:sz="6" w:space="0"/>
                    <w:right w:val="single" w:color="auto" w:sz="6" w:space="0"/>
                  </w:tcBorders>
                  <w:vAlign w:val="center"/>
                </w:tcPr>
                <w:p w14:paraId="255090B4">
                  <w:pPr>
                    <w:pStyle w:val="220"/>
                    <w:spacing w:line="280" w:lineRule="exact"/>
                    <w:rPr>
                      <w:rFonts w:eastAsia="宋体"/>
                      <w:kern w:val="2"/>
                      <w:sz w:val="18"/>
                      <w:szCs w:val="18"/>
                    </w:rPr>
                  </w:pPr>
                  <w:r>
                    <w:rPr>
                      <w:rFonts w:hint="eastAsia" w:eastAsia="宋体"/>
                      <w:kern w:val="2"/>
                      <w:sz w:val="18"/>
                      <w:szCs w:val="18"/>
                    </w:rPr>
                    <w:t>25</w:t>
                  </w:r>
                </w:p>
              </w:tc>
              <w:tc>
                <w:tcPr>
                  <w:tcW w:w="823" w:type="pct"/>
                  <w:tcBorders>
                    <w:top w:val="single" w:color="auto" w:sz="6" w:space="0"/>
                    <w:left w:val="single" w:color="auto" w:sz="6" w:space="0"/>
                    <w:bottom w:val="single" w:color="auto" w:sz="6" w:space="0"/>
                    <w:right w:val="single" w:color="auto" w:sz="6" w:space="0"/>
                  </w:tcBorders>
                  <w:vAlign w:val="center"/>
                </w:tcPr>
                <w:p w14:paraId="61752DB8">
                  <w:pPr>
                    <w:pStyle w:val="220"/>
                    <w:spacing w:line="280" w:lineRule="exact"/>
                    <w:rPr>
                      <w:rFonts w:eastAsia="宋体"/>
                      <w:kern w:val="2"/>
                      <w:sz w:val="18"/>
                      <w:szCs w:val="18"/>
                    </w:rPr>
                  </w:pPr>
                  <w:r>
                    <w:rPr>
                      <w:rFonts w:eastAsia="宋体"/>
                      <w:kern w:val="2"/>
                      <w:sz w:val="18"/>
                      <w:szCs w:val="18"/>
                    </w:rPr>
                    <w:t>35</w:t>
                  </w:r>
                </w:p>
              </w:tc>
              <w:tc>
                <w:tcPr>
                  <w:tcW w:w="740" w:type="pct"/>
                  <w:tcBorders>
                    <w:top w:val="single" w:color="auto" w:sz="6" w:space="0"/>
                    <w:left w:val="single" w:color="auto" w:sz="6" w:space="0"/>
                    <w:bottom w:val="single" w:color="auto" w:sz="6" w:space="0"/>
                    <w:right w:val="single" w:color="auto" w:sz="6" w:space="0"/>
                  </w:tcBorders>
                  <w:vAlign w:val="center"/>
                </w:tcPr>
                <w:p w14:paraId="4ACB4909">
                  <w:pPr>
                    <w:pStyle w:val="220"/>
                    <w:spacing w:line="280" w:lineRule="exact"/>
                    <w:rPr>
                      <w:rFonts w:eastAsia="宋体"/>
                      <w:kern w:val="2"/>
                      <w:sz w:val="18"/>
                      <w:szCs w:val="18"/>
                    </w:rPr>
                  </w:pPr>
                  <w:r>
                    <w:rPr>
                      <w:rFonts w:hint="eastAsia" w:eastAsia="宋体"/>
                      <w:kern w:val="2"/>
                      <w:sz w:val="18"/>
                      <w:szCs w:val="18"/>
                    </w:rPr>
                    <w:t>71.4</w:t>
                  </w:r>
                  <w:r>
                    <w:rPr>
                      <w:rFonts w:eastAsia="宋体"/>
                      <w:kern w:val="2"/>
                      <w:sz w:val="18"/>
                      <w:szCs w:val="18"/>
                    </w:rPr>
                    <w:t>%</w:t>
                  </w:r>
                </w:p>
              </w:tc>
              <w:tc>
                <w:tcPr>
                  <w:tcW w:w="741" w:type="pct"/>
                  <w:tcBorders>
                    <w:top w:val="single" w:color="auto" w:sz="6" w:space="0"/>
                    <w:left w:val="single" w:color="auto" w:sz="6" w:space="0"/>
                    <w:bottom w:val="single" w:color="auto" w:sz="6" w:space="0"/>
                    <w:right w:val="single" w:color="auto" w:sz="12" w:space="0"/>
                  </w:tcBorders>
                  <w:vAlign w:val="center"/>
                </w:tcPr>
                <w:p w14:paraId="6B35E251">
                  <w:pPr>
                    <w:pStyle w:val="220"/>
                    <w:spacing w:line="280" w:lineRule="exact"/>
                    <w:rPr>
                      <w:rFonts w:eastAsia="宋体"/>
                      <w:kern w:val="2"/>
                      <w:sz w:val="18"/>
                      <w:szCs w:val="18"/>
                    </w:rPr>
                  </w:pPr>
                  <w:r>
                    <w:rPr>
                      <w:rFonts w:eastAsia="宋体"/>
                      <w:kern w:val="2"/>
                      <w:sz w:val="18"/>
                      <w:szCs w:val="18"/>
                    </w:rPr>
                    <w:t>达标</w:t>
                  </w:r>
                </w:p>
              </w:tc>
            </w:tr>
            <w:tr w14:paraId="2017BDF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380" w:type="pct"/>
                  <w:vMerge w:val="continue"/>
                  <w:tcBorders>
                    <w:top w:val="single" w:color="auto" w:sz="6" w:space="0"/>
                    <w:left w:val="single" w:color="auto" w:sz="12" w:space="0"/>
                    <w:bottom w:val="single" w:color="auto" w:sz="12" w:space="0"/>
                    <w:right w:val="single" w:color="auto" w:sz="6" w:space="0"/>
                  </w:tcBorders>
                  <w:vAlign w:val="center"/>
                </w:tcPr>
                <w:p w14:paraId="3DD3250F">
                  <w:pPr>
                    <w:widowControl/>
                    <w:spacing w:line="280" w:lineRule="exact"/>
                    <w:jc w:val="center"/>
                    <w:rPr>
                      <w:sz w:val="18"/>
                      <w:szCs w:val="18"/>
                    </w:rPr>
                  </w:pPr>
                </w:p>
              </w:tc>
              <w:tc>
                <w:tcPr>
                  <w:tcW w:w="493" w:type="pct"/>
                  <w:tcBorders>
                    <w:top w:val="single" w:color="auto" w:sz="6" w:space="0"/>
                    <w:left w:val="single" w:color="auto" w:sz="6" w:space="0"/>
                    <w:bottom w:val="single" w:color="auto" w:sz="6" w:space="0"/>
                    <w:right w:val="single" w:color="auto" w:sz="6" w:space="0"/>
                  </w:tcBorders>
                  <w:vAlign w:val="center"/>
                </w:tcPr>
                <w:p w14:paraId="45D2807B">
                  <w:pPr>
                    <w:pStyle w:val="220"/>
                    <w:spacing w:line="280" w:lineRule="exact"/>
                    <w:rPr>
                      <w:rFonts w:eastAsia="宋体"/>
                      <w:kern w:val="2"/>
                      <w:sz w:val="18"/>
                      <w:szCs w:val="18"/>
                    </w:rPr>
                  </w:pPr>
                  <w:r>
                    <w:rPr>
                      <w:rFonts w:eastAsia="宋体"/>
                      <w:kern w:val="2"/>
                      <w:sz w:val="18"/>
                      <w:szCs w:val="18"/>
                    </w:rPr>
                    <w:t>CO</w:t>
                  </w:r>
                </w:p>
              </w:tc>
              <w:tc>
                <w:tcPr>
                  <w:tcW w:w="1064" w:type="pct"/>
                  <w:tcBorders>
                    <w:top w:val="single" w:color="auto" w:sz="4" w:space="0"/>
                    <w:left w:val="single" w:color="auto" w:sz="6" w:space="0"/>
                    <w:bottom w:val="single" w:color="auto" w:sz="6" w:space="0"/>
                    <w:right w:val="single" w:color="auto" w:sz="6" w:space="0"/>
                  </w:tcBorders>
                  <w:vAlign w:val="center"/>
                </w:tcPr>
                <w:p w14:paraId="7E6A49A2">
                  <w:pPr>
                    <w:widowControl/>
                    <w:spacing w:line="280" w:lineRule="exact"/>
                    <w:jc w:val="center"/>
                    <w:rPr>
                      <w:sz w:val="18"/>
                      <w:szCs w:val="18"/>
                    </w:rPr>
                  </w:pPr>
                  <w:r>
                    <w:rPr>
                      <w:rFonts w:hint="eastAsia"/>
                      <w:sz w:val="18"/>
                      <w:szCs w:val="18"/>
                    </w:rPr>
                    <w:t>24小时平均</w:t>
                  </w:r>
                </w:p>
              </w:tc>
              <w:tc>
                <w:tcPr>
                  <w:tcW w:w="760" w:type="pct"/>
                  <w:tcBorders>
                    <w:top w:val="single" w:color="auto" w:sz="6" w:space="0"/>
                    <w:left w:val="single" w:color="auto" w:sz="6" w:space="0"/>
                    <w:bottom w:val="single" w:color="auto" w:sz="6" w:space="0"/>
                    <w:right w:val="single" w:color="auto" w:sz="6" w:space="0"/>
                  </w:tcBorders>
                  <w:vAlign w:val="center"/>
                </w:tcPr>
                <w:p w14:paraId="09596ED0">
                  <w:pPr>
                    <w:pStyle w:val="220"/>
                    <w:spacing w:line="280" w:lineRule="exact"/>
                    <w:rPr>
                      <w:rFonts w:eastAsia="宋体"/>
                      <w:kern w:val="2"/>
                      <w:sz w:val="18"/>
                      <w:szCs w:val="18"/>
                    </w:rPr>
                  </w:pPr>
                  <w:r>
                    <w:rPr>
                      <w:rFonts w:hint="eastAsia" w:eastAsia="宋体"/>
                      <w:kern w:val="2"/>
                      <w:sz w:val="18"/>
                      <w:szCs w:val="18"/>
                    </w:rPr>
                    <w:t>1.</w:t>
                  </w:r>
                  <w:r>
                    <w:rPr>
                      <w:rFonts w:hint="eastAsia" w:eastAsia="宋体"/>
                      <w:kern w:val="2"/>
                      <w:sz w:val="18"/>
                      <w:szCs w:val="18"/>
                      <w:lang w:val="en-US" w:eastAsia="zh-CN"/>
                    </w:rPr>
                    <w:t>3</w:t>
                  </w:r>
                  <w:r>
                    <w:rPr>
                      <w:rFonts w:eastAsia="宋体"/>
                      <w:kern w:val="2"/>
                      <w:sz w:val="18"/>
                      <w:szCs w:val="18"/>
                    </w:rPr>
                    <w:t>mg/m</w:t>
                  </w:r>
                  <w:r>
                    <w:rPr>
                      <w:rFonts w:eastAsia="宋体"/>
                      <w:kern w:val="2"/>
                      <w:sz w:val="18"/>
                      <w:szCs w:val="18"/>
                      <w:vertAlign w:val="superscript"/>
                    </w:rPr>
                    <w:t>3</w:t>
                  </w:r>
                </w:p>
              </w:tc>
              <w:tc>
                <w:tcPr>
                  <w:tcW w:w="823" w:type="pct"/>
                  <w:tcBorders>
                    <w:top w:val="single" w:color="auto" w:sz="6" w:space="0"/>
                    <w:left w:val="single" w:color="auto" w:sz="6" w:space="0"/>
                    <w:bottom w:val="single" w:color="auto" w:sz="6" w:space="0"/>
                    <w:right w:val="single" w:color="auto" w:sz="6" w:space="0"/>
                  </w:tcBorders>
                  <w:vAlign w:val="center"/>
                </w:tcPr>
                <w:p w14:paraId="373A3F3A">
                  <w:pPr>
                    <w:pStyle w:val="220"/>
                    <w:spacing w:line="280" w:lineRule="exact"/>
                    <w:rPr>
                      <w:rFonts w:eastAsia="宋体"/>
                      <w:kern w:val="2"/>
                      <w:sz w:val="18"/>
                      <w:szCs w:val="18"/>
                    </w:rPr>
                  </w:pPr>
                  <w:r>
                    <w:rPr>
                      <w:rFonts w:eastAsia="宋体"/>
                      <w:kern w:val="2"/>
                      <w:sz w:val="18"/>
                      <w:szCs w:val="18"/>
                    </w:rPr>
                    <w:t>4mg/m</w:t>
                  </w:r>
                  <w:r>
                    <w:rPr>
                      <w:rFonts w:eastAsia="宋体"/>
                      <w:kern w:val="2"/>
                      <w:sz w:val="18"/>
                      <w:szCs w:val="18"/>
                      <w:vertAlign w:val="superscript"/>
                    </w:rPr>
                    <w:t>3</w:t>
                  </w:r>
                </w:p>
              </w:tc>
              <w:tc>
                <w:tcPr>
                  <w:tcW w:w="740" w:type="pct"/>
                  <w:tcBorders>
                    <w:top w:val="single" w:color="auto" w:sz="6" w:space="0"/>
                    <w:left w:val="single" w:color="auto" w:sz="6" w:space="0"/>
                    <w:bottom w:val="single" w:color="auto" w:sz="6" w:space="0"/>
                    <w:right w:val="single" w:color="auto" w:sz="6" w:space="0"/>
                  </w:tcBorders>
                  <w:vAlign w:val="center"/>
                </w:tcPr>
                <w:p w14:paraId="4D6CE7FB">
                  <w:pPr>
                    <w:pStyle w:val="220"/>
                    <w:spacing w:line="280" w:lineRule="exact"/>
                    <w:rPr>
                      <w:rFonts w:eastAsia="宋体"/>
                      <w:kern w:val="2"/>
                      <w:sz w:val="18"/>
                      <w:szCs w:val="18"/>
                    </w:rPr>
                  </w:pPr>
                  <w:r>
                    <w:rPr>
                      <w:rFonts w:hint="eastAsia" w:eastAsia="宋体"/>
                      <w:kern w:val="2"/>
                      <w:sz w:val="18"/>
                      <w:szCs w:val="18"/>
                    </w:rPr>
                    <w:t>3</w:t>
                  </w:r>
                  <w:r>
                    <w:rPr>
                      <w:rFonts w:hint="eastAsia" w:eastAsia="宋体"/>
                      <w:kern w:val="2"/>
                      <w:sz w:val="18"/>
                      <w:szCs w:val="18"/>
                      <w:lang w:val="en-US" w:eastAsia="zh-CN"/>
                    </w:rPr>
                    <w:t>2.5</w:t>
                  </w:r>
                  <w:r>
                    <w:rPr>
                      <w:rFonts w:eastAsia="宋体"/>
                      <w:kern w:val="2"/>
                      <w:sz w:val="18"/>
                      <w:szCs w:val="18"/>
                    </w:rPr>
                    <w:t>%</w:t>
                  </w:r>
                </w:p>
              </w:tc>
              <w:tc>
                <w:tcPr>
                  <w:tcW w:w="741" w:type="pct"/>
                  <w:tcBorders>
                    <w:top w:val="single" w:color="auto" w:sz="6" w:space="0"/>
                    <w:left w:val="single" w:color="auto" w:sz="6" w:space="0"/>
                    <w:bottom w:val="single" w:color="auto" w:sz="6" w:space="0"/>
                    <w:right w:val="single" w:color="auto" w:sz="12" w:space="0"/>
                  </w:tcBorders>
                  <w:vAlign w:val="center"/>
                </w:tcPr>
                <w:p w14:paraId="55D2D8E3">
                  <w:pPr>
                    <w:pStyle w:val="220"/>
                    <w:spacing w:line="280" w:lineRule="exact"/>
                    <w:rPr>
                      <w:rFonts w:eastAsia="宋体"/>
                      <w:kern w:val="2"/>
                      <w:sz w:val="18"/>
                      <w:szCs w:val="18"/>
                    </w:rPr>
                  </w:pPr>
                  <w:r>
                    <w:rPr>
                      <w:rFonts w:eastAsia="宋体"/>
                      <w:kern w:val="2"/>
                      <w:sz w:val="18"/>
                      <w:szCs w:val="18"/>
                    </w:rPr>
                    <w:t>达标</w:t>
                  </w:r>
                </w:p>
              </w:tc>
            </w:tr>
            <w:tr w14:paraId="2101D5C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380" w:type="pct"/>
                  <w:vMerge w:val="continue"/>
                  <w:tcBorders>
                    <w:top w:val="single" w:color="auto" w:sz="6" w:space="0"/>
                    <w:left w:val="single" w:color="auto" w:sz="12" w:space="0"/>
                    <w:bottom w:val="single" w:color="auto" w:sz="12" w:space="0"/>
                    <w:right w:val="single" w:color="auto" w:sz="6" w:space="0"/>
                  </w:tcBorders>
                  <w:vAlign w:val="center"/>
                </w:tcPr>
                <w:p w14:paraId="5EE2C8FC">
                  <w:pPr>
                    <w:widowControl/>
                    <w:spacing w:line="280" w:lineRule="exact"/>
                    <w:jc w:val="center"/>
                    <w:rPr>
                      <w:sz w:val="18"/>
                      <w:szCs w:val="18"/>
                    </w:rPr>
                  </w:pPr>
                </w:p>
              </w:tc>
              <w:tc>
                <w:tcPr>
                  <w:tcW w:w="493" w:type="pct"/>
                  <w:tcBorders>
                    <w:top w:val="single" w:color="auto" w:sz="6" w:space="0"/>
                    <w:left w:val="single" w:color="auto" w:sz="6" w:space="0"/>
                    <w:bottom w:val="single" w:color="auto" w:sz="12" w:space="0"/>
                    <w:right w:val="single" w:color="auto" w:sz="6" w:space="0"/>
                  </w:tcBorders>
                  <w:vAlign w:val="center"/>
                </w:tcPr>
                <w:p w14:paraId="77D96D91">
                  <w:pPr>
                    <w:pStyle w:val="220"/>
                    <w:spacing w:line="280" w:lineRule="exact"/>
                    <w:rPr>
                      <w:rFonts w:eastAsia="宋体"/>
                      <w:kern w:val="2"/>
                      <w:sz w:val="18"/>
                      <w:szCs w:val="18"/>
                    </w:rPr>
                  </w:pPr>
                  <w:r>
                    <w:rPr>
                      <w:rFonts w:eastAsia="宋体"/>
                      <w:kern w:val="2"/>
                      <w:sz w:val="18"/>
                      <w:szCs w:val="18"/>
                    </w:rPr>
                    <w:t>O</w:t>
                  </w:r>
                  <w:r>
                    <w:rPr>
                      <w:rFonts w:eastAsia="宋体"/>
                      <w:kern w:val="2"/>
                      <w:sz w:val="18"/>
                      <w:szCs w:val="18"/>
                      <w:vertAlign w:val="subscript"/>
                    </w:rPr>
                    <w:t>3</w:t>
                  </w:r>
                </w:p>
              </w:tc>
              <w:tc>
                <w:tcPr>
                  <w:tcW w:w="1064" w:type="pct"/>
                  <w:tcBorders>
                    <w:top w:val="single" w:color="auto" w:sz="6" w:space="0"/>
                    <w:left w:val="single" w:color="auto" w:sz="6" w:space="0"/>
                    <w:bottom w:val="single" w:color="auto" w:sz="12" w:space="0"/>
                    <w:right w:val="single" w:color="auto" w:sz="6" w:space="0"/>
                  </w:tcBorders>
                  <w:vAlign w:val="center"/>
                </w:tcPr>
                <w:p w14:paraId="14235F3F">
                  <w:pPr>
                    <w:widowControl/>
                    <w:spacing w:line="280" w:lineRule="exact"/>
                    <w:jc w:val="center"/>
                    <w:rPr>
                      <w:sz w:val="18"/>
                      <w:szCs w:val="18"/>
                    </w:rPr>
                  </w:pPr>
                  <w:r>
                    <w:rPr>
                      <w:rFonts w:hint="eastAsia"/>
                      <w:sz w:val="18"/>
                      <w:szCs w:val="18"/>
                    </w:rPr>
                    <w:t>日最大8h平均</w:t>
                  </w:r>
                </w:p>
              </w:tc>
              <w:tc>
                <w:tcPr>
                  <w:tcW w:w="760" w:type="pct"/>
                  <w:tcBorders>
                    <w:top w:val="single" w:color="auto" w:sz="6" w:space="0"/>
                    <w:left w:val="single" w:color="auto" w:sz="6" w:space="0"/>
                    <w:bottom w:val="single" w:color="auto" w:sz="12" w:space="0"/>
                    <w:right w:val="single" w:color="auto" w:sz="6" w:space="0"/>
                  </w:tcBorders>
                  <w:vAlign w:val="center"/>
                </w:tcPr>
                <w:p w14:paraId="2AC11D47">
                  <w:pPr>
                    <w:pStyle w:val="220"/>
                    <w:spacing w:line="280" w:lineRule="exact"/>
                    <w:rPr>
                      <w:rFonts w:eastAsia="宋体"/>
                      <w:kern w:val="2"/>
                      <w:sz w:val="18"/>
                      <w:szCs w:val="18"/>
                    </w:rPr>
                  </w:pPr>
                  <w:r>
                    <w:rPr>
                      <w:rFonts w:hint="eastAsia" w:eastAsia="宋体"/>
                      <w:kern w:val="2"/>
                      <w:sz w:val="18"/>
                      <w:szCs w:val="18"/>
                    </w:rPr>
                    <w:t>1</w:t>
                  </w:r>
                  <w:r>
                    <w:rPr>
                      <w:rFonts w:hint="eastAsia" w:eastAsia="宋体"/>
                      <w:kern w:val="2"/>
                      <w:sz w:val="18"/>
                      <w:szCs w:val="18"/>
                      <w:lang w:val="en-US" w:eastAsia="zh-CN"/>
                    </w:rPr>
                    <w:t>5</w:t>
                  </w:r>
                  <w:r>
                    <w:rPr>
                      <w:rFonts w:hint="eastAsia" w:eastAsia="宋体"/>
                      <w:kern w:val="2"/>
                      <w:sz w:val="18"/>
                      <w:szCs w:val="18"/>
                    </w:rPr>
                    <w:t>6</w:t>
                  </w:r>
                </w:p>
              </w:tc>
              <w:tc>
                <w:tcPr>
                  <w:tcW w:w="823" w:type="pct"/>
                  <w:tcBorders>
                    <w:top w:val="single" w:color="auto" w:sz="6" w:space="0"/>
                    <w:left w:val="single" w:color="auto" w:sz="6" w:space="0"/>
                    <w:bottom w:val="single" w:color="auto" w:sz="12" w:space="0"/>
                    <w:right w:val="single" w:color="auto" w:sz="6" w:space="0"/>
                  </w:tcBorders>
                  <w:vAlign w:val="center"/>
                </w:tcPr>
                <w:p w14:paraId="6042460F">
                  <w:pPr>
                    <w:pStyle w:val="220"/>
                    <w:spacing w:line="280" w:lineRule="exact"/>
                    <w:rPr>
                      <w:rFonts w:eastAsia="宋体"/>
                      <w:kern w:val="2"/>
                      <w:sz w:val="18"/>
                      <w:szCs w:val="18"/>
                    </w:rPr>
                  </w:pPr>
                  <w:r>
                    <w:rPr>
                      <w:rFonts w:eastAsia="宋体"/>
                      <w:kern w:val="2"/>
                      <w:sz w:val="18"/>
                      <w:szCs w:val="18"/>
                    </w:rPr>
                    <w:t>160</w:t>
                  </w:r>
                </w:p>
              </w:tc>
              <w:tc>
                <w:tcPr>
                  <w:tcW w:w="740" w:type="pct"/>
                  <w:tcBorders>
                    <w:top w:val="single" w:color="auto" w:sz="6" w:space="0"/>
                    <w:left w:val="single" w:color="auto" w:sz="6" w:space="0"/>
                    <w:bottom w:val="single" w:color="auto" w:sz="12" w:space="0"/>
                    <w:right w:val="single" w:color="auto" w:sz="6" w:space="0"/>
                  </w:tcBorders>
                  <w:vAlign w:val="center"/>
                </w:tcPr>
                <w:p w14:paraId="7C2865A0">
                  <w:pPr>
                    <w:pStyle w:val="220"/>
                    <w:spacing w:line="280" w:lineRule="exact"/>
                    <w:rPr>
                      <w:rFonts w:eastAsia="宋体"/>
                      <w:kern w:val="2"/>
                      <w:sz w:val="18"/>
                      <w:szCs w:val="18"/>
                    </w:rPr>
                  </w:pPr>
                  <w:r>
                    <w:rPr>
                      <w:rFonts w:hint="eastAsia" w:eastAsia="宋体"/>
                      <w:kern w:val="2"/>
                      <w:sz w:val="18"/>
                      <w:szCs w:val="18"/>
                    </w:rPr>
                    <w:t>9</w:t>
                  </w:r>
                  <w:r>
                    <w:rPr>
                      <w:rFonts w:hint="eastAsia" w:eastAsia="宋体"/>
                      <w:kern w:val="2"/>
                      <w:sz w:val="18"/>
                      <w:szCs w:val="18"/>
                      <w:lang w:val="en-US" w:eastAsia="zh-CN"/>
                    </w:rPr>
                    <w:t>7.5</w:t>
                  </w:r>
                  <w:r>
                    <w:rPr>
                      <w:rFonts w:eastAsia="宋体"/>
                      <w:kern w:val="2"/>
                      <w:sz w:val="18"/>
                      <w:szCs w:val="18"/>
                    </w:rPr>
                    <w:t>%</w:t>
                  </w:r>
                </w:p>
              </w:tc>
              <w:tc>
                <w:tcPr>
                  <w:tcW w:w="741" w:type="pct"/>
                  <w:tcBorders>
                    <w:top w:val="single" w:color="auto" w:sz="6" w:space="0"/>
                    <w:left w:val="single" w:color="auto" w:sz="6" w:space="0"/>
                    <w:bottom w:val="single" w:color="auto" w:sz="12" w:space="0"/>
                    <w:right w:val="single" w:color="auto" w:sz="12" w:space="0"/>
                  </w:tcBorders>
                  <w:vAlign w:val="center"/>
                </w:tcPr>
                <w:p w14:paraId="34AF4F25">
                  <w:pPr>
                    <w:pStyle w:val="220"/>
                    <w:spacing w:line="280" w:lineRule="exact"/>
                    <w:rPr>
                      <w:rFonts w:eastAsia="宋体"/>
                      <w:kern w:val="2"/>
                      <w:sz w:val="18"/>
                      <w:szCs w:val="18"/>
                    </w:rPr>
                  </w:pPr>
                  <w:r>
                    <w:rPr>
                      <w:rFonts w:hint="eastAsia" w:eastAsia="宋体"/>
                      <w:kern w:val="2"/>
                      <w:sz w:val="18"/>
                      <w:szCs w:val="18"/>
                    </w:rPr>
                    <w:t>达</w:t>
                  </w:r>
                  <w:r>
                    <w:rPr>
                      <w:rFonts w:eastAsia="宋体"/>
                      <w:kern w:val="2"/>
                      <w:sz w:val="18"/>
                      <w:szCs w:val="18"/>
                    </w:rPr>
                    <w:t>标</w:t>
                  </w:r>
                </w:p>
              </w:tc>
            </w:tr>
          </w:tbl>
          <w:p w14:paraId="2BDC5B08">
            <w:pPr>
              <w:spacing w:line="360" w:lineRule="auto"/>
              <w:ind w:firstLine="420" w:firstLineChars="200"/>
              <w:rPr>
                <w:szCs w:val="21"/>
              </w:rPr>
            </w:pPr>
            <w:r>
              <w:rPr>
                <w:szCs w:val="21"/>
              </w:rPr>
              <w:t>由该监测结果数据分析</w:t>
            </w:r>
            <w:r>
              <w:rPr>
                <w:rFonts w:hint="eastAsia"/>
                <w:szCs w:val="21"/>
              </w:rPr>
              <w:t>可知</w:t>
            </w:r>
            <w:r>
              <w:rPr>
                <w:rFonts w:hint="eastAsia"/>
                <w:szCs w:val="21"/>
                <w:lang w:val="zh-CN"/>
              </w:rPr>
              <w:t>污染物</w:t>
            </w:r>
            <w:r>
              <w:rPr>
                <w:szCs w:val="21"/>
              </w:rPr>
              <w:t>SO</w:t>
            </w:r>
            <w:r>
              <w:rPr>
                <w:szCs w:val="21"/>
                <w:vertAlign w:val="subscript"/>
              </w:rPr>
              <w:t>2</w:t>
            </w:r>
            <w:r>
              <w:rPr>
                <w:szCs w:val="21"/>
              </w:rPr>
              <w:t>、NO</w:t>
            </w:r>
            <w:r>
              <w:rPr>
                <w:szCs w:val="21"/>
                <w:vertAlign w:val="subscript"/>
              </w:rPr>
              <w:t>2</w:t>
            </w:r>
            <w:r>
              <w:rPr>
                <w:szCs w:val="21"/>
              </w:rPr>
              <w:t>、PM</w:t>
            </w:r>
            <w:r>
              <w:rPr>
                <w:szCs w:val="21"/>
                <w:vertAlign w:val="subscript"/>
              </w:rPr>
              <w:t>10</w:t>
            </w:r>
            <w:r>
              <w:rPr>
                <w:szCs w:val="21"/>
              </w:rPr>
              <w:t>、PM</w:t>
            </w:r>
            <w:r>
              <w:rPr>
                <w:szCs w:val="21"/>
                <w:vertAlign w:val="subscript"/>
              </w:rPr>
              <w:t>2.5</w:t>
            </w:r>
            <w:r>
              <w:rPr>
                <w:szCs w:val="21"/>
              </w:rPr>
              <w:t>、CO、O</w:t>
            </w:r>
            <w:r>
              <w:rPr>
                <w:szCs w:val="21"/>
                <w:vertAlign w:val="subscript"/>
              </w:rPr>
              <w:t>3</w:t>
            </w:r>
            <w:r>
              <w:rPr>
                <w:rFonts w:hint="eastAsia"/>
                <w:szCs w:val="21"/>
                <w:lang w:val="zh-CN"/>
              </w:rPr>
              <w:t>均未</w:t>
            </w:r>
            <w:r>
              <w:rPr>
                <w:szCs w:val="21"/>
                <w:lang w:val="zh-CN"/>
              </w:rPr>
              <w:t>超标</w:t>
            </w:r>
            <w:r>
              <w:rPr>
                <w:rFonts w:hint="eastAsia"/>
                <w:szCs w:val="21"/>
                <w:lang w:val="zh-CN"/>
              </w:rPr>
              <w:t>，达到</w:t>
            </w:r>
            <w:r>
              <w:rPr>
                <w:szCs w:val="21"/>
              </w:rPr>
              <w:t>《环境空气质量标准》（GB3095-2012）二级标准</w:t>
            </w:r>
            <w:r>
              <w:rPr>
                <w:rFonts w:hint="eastAsia"/>
                <w:szCs w:val="21"/>
                <w:lang w:val="zh-CN"/>
              </w:rPr>
              <w:t>，</w:t>
            </w:r>
            <w:r>
              <w:rPr>
                <w:szCs w:val="21"/>
              </w:rPr>
              <w:t>区域</w:t>
            </w:r>
            <w:r>
              <w:rPr>
                <w:rFonts w:hint="eastAsia"/>
                <w:szCs w:val="21"/>
              </w:rPr>
              <w:t>属</w:t>
            </w:r>
            <w:r>
              <w:rPr>
                <w:szCs w:val="21"/>
              </w:rPr>
              <w:t>达标区</w:t>
            </w:r>
            <w:r>
              <w:rPr>
                <w:rFonts w:hint="eastAsia"/>
                <w:szCs w:val="21"/>
              </w:rPr>
              <w:t>。</w:t>
            </w:r>
          </w:p>
          <w:p w14:paraId="1469AF56">
            <w:pPr>
              <w:spacing w:line="360" w:lineRule="auto"/>
              <w:ind w:firstLine="420" w:firstLineChars="200"/>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eastAsia="zh-CN"/>
              </w:rPr>
              <w:t>（</w:t>
            </w:r>
            <w:r>
              <w:rPr>
                <w:rFonts w:hint="eastAsia" w:ascii="Times New Roman" w:hAnsi="Times New Roman" w:eastAsia="宋体" w:cs="Times New Roman"/>
                <w:color w:val="auto"/>
                <w:szCs w:val="21"/>
                <w:lang w:val="en-US" w:eastAsia="zh-CN"/>
              </w:rPr>
              <w:t>2</w:t>
            </w:r>
            <w:r>
              <w:rPr>
                <w:rFonts w:hint="eastAsia" w:ascii="Times New Roman" w:hAnsi="Times New Roman" w:eastAsia="宋体" w:cs="Times New Roman"/>
                <w:color w:val="auto"/>
                <w:szCs w:val="21"/>
                <w:lang w:eastAsia="zh-CN"/>
              </w:rPr>
              <w:t>）</w:t>
            </w:r>
            <w:r>
              <w:rPr>
                <w:rFonts w:hint="eastAsia" w:ascii="Times New Roman" w:hAnsi="Times New Roman" w:eastAsia="宋体" w:cs="Times New Roman"/>
                <w:color w:val="auto"/>
                <w:szCs w:val="21"/>
                <w:lang w:val="en-US" w:eastAsia="zh-CN"/>
              </w:rPr>
              <w:t>特征污染物</w:t>
            </w:r>
          </w:p>
          <w:p w14:paraId="7EE7C914">
            <w:pPr>
              <w:spacing w:line="360" w:lineRule="auto"/>
              <w:ind w:firstLine="420" w:firstLineChars="200"/>
              <w:rPr>
                <w:rFonts w:hint="eastAsia"/>
                <w:color w:val="auto"/>
                <w:lang w:val="en-US" w:eastAsia="zh-CN"/>
              </w:rPr>
            </w:pPr>
            <w:r>
              <w:rPr>
                <w:rFonts w:hint="eastAsia"/>
                <w:color w:val="auto"/>
                <w:lang w:val="en-US" w:eastAsia="zh-CN"/>
              </w:rPr>
              <w:t>本项目运营期大气特征污染物为氨和硫化氢，为了解区域环境空气质量，本次评价引用</w:t>
            </w:r>
            <w:r>
              <w:rPr>
                <w:rFonts w:hint="eastAsia" w:ascii="Times New Roman" w:hAnsi="Times New Roman" w:eastAsia="宋体" w:cs="Times New Roman"/>
                <w:b w:val="0"/>
                <w:bCs w:val="0"/>
                <w:color w:val="auto"/>
                <w:szCs w:val="21"/>
                <w:lang w:val="en-US" w:eastAsia="zh-CN"/>
              </w:rPr>
              <w:t>《大同经济技术开发区起步区控制性详细规划（现代服务产业园区）（2021-2035年）环境影响报告书》</w:t>
            </w:r>
            <w:r>
              <w:rPr>
                <w:rFonts w:hint="eastAsia"/>
                <w:color w:val="auto"/>
                <w:lang w:val="en-US" w:eastAsia="zh-CN"/>
              </w:rPr>
              <w:t>中现状监测数据，对本项目所在区域进行简要分析评价。</w:t>
            </w:r>
          </w:p>
          <w:p w14:paraId="3034FBDE">
            <w:pPr>
              <w:spacing w:line="360" w:lineRule="auto"/>
              <w:ind w:firstLine="420" w:firstLineChars="200"/>
              <w:rPr>
                <w:rFonts w:hint="eastAsia"/>
                <w:color w:val="auto"/>
                <w:lang w:val="en-US" w:eastAsia="zh-CN"/>
              </w:rPr>
            </w:pPr>
            <w:r>
              <w:rPr>
                <w:rFonts w:hint="eastAsia"/>
                <w:color w:val="auto"/>
                <w:lang w:val="en-US" w:eastAsia="zh-CN"/>
              </w:rPr>
              <w:t>引用监测资料监测时间：2022年9月4日~10日；</w:t>
            </w:r>
          </w:p>
          <w:p w14:paraId="1796A6A7">
            <w:pPr>
              <w:spacing w:line="360" w:lineRule="auto"/>
              <w:ind w:firstLine="420" w:firstLineChars="200"/>
              <w:rPr>
                <w:rFonts w:hint="eastAsia"/>
                <w:color w:val="auto"/>
                <w:lang w:val="en-US" w:eastAsia="zh-CN"/>
              </w:rPr>
            </w:pPr>
            <w:r>
              <w:rPr>
                <w:rFonts w:hint="eastAsia"/>
                <w:color w:val="auto"/>
                <w:lang w:val="en-US" w:eastAsia="zh-CN"/>
              </w:rPr>
              <w:t>引用监测点位：交警六大队（监测点位位于本项目厂址西南侧0.5km处）；</w:t>
            </w:r>
          </w:p>
          <w:p w14:paraId="5196D7D1">
            <w:pPr>
              <w:spacing w:line="360" w:lineRule="auto"/>
              <w:ind w:firstLine="420" w:firstLineChars="200"/>
              <w:rPr>
                <w:rFonts w:hint="eastAsia"/>
                <w:color w:val="auto"/>
                <w:lang w:val="en-US" w:eastAsia="zh-CN"/>
              </w:rPr>
            </w:pPr>
            <w:r>
              <w:rPr>
                <w:rFonts w:hint="eastAsia"/>
                <w:color w:val="auto"/>
                <w:lang w:val="en-US" w:eastAsia="zh-CN"/>
              </w:rPr>
              <w:t>引用监测项目：氨、硫化氢；</w:t>
            </w:r>
          </w:p>
          <w:p w14:paraId="31FC49A5">
            <w:pPr>
              <w:spacing w:line="360" w:lineRule="auto"/>
              <w:ind w:firstLine="420" w:firstLineChars="200"/>
              <w:rPr>
                <w:rFonts w:hint="default"/>
                <w:color w:val="auto"/>
                <w:lang w:val="en-US" w:eastAsia="zh-CN"/>
              </w:rPr>
            </w:pPr>
            <w:r>
              <w:rPr>
                <w:rFonts w:hint="eastAsia"/>
                <w:color w:val="auto"/>
                <w:lang w:val="en-US" w:eastAsia="zh-CN"/>
              </w:rPr>
              <w:t>引用监测资料可行性分析：引用监测点位与本项目厂址距离未超过5km，引用监测时间距今未超过3年，引用监测资料监测时间超过3天，满足《建设项目环境影响报告表编制技术指南（污染影响类）》（试行）中的要求，合理可行。引用监测报告见附件。</w:t>
            </w:r>
          </w:p>
          <w:p w14:paraId="2BFA3C43">
            <w:pPr>
              <w:spacing w:line="240" w:lineRule="exact"/>
              <w:jc w:val="center"/>
              <w:rPr>
                <w:b/>
                <w:color w:val="auto"/>
                <w:sz w:val="18"/>
                <w:szCs w:val="18"/>
              </w:rPr>
            </w:pPr>
            <w:r>
              <w:rPr>
                <w:b/>
                <w:color w:val="auto"/>
                <w:sz w:val="18"/>
                <w:szCs w:val="18"/>
              </w:rPr>
              <w:t>表3-</w:t>
            </w:r>
            <w:r>
              <w:rPr>
                <w:rFonts w:hint="eastAsia"/>
                <w:b/>
                <w:color w:val="auto"/>
                <w:sz w:val="18"/>
                <w:szCs w:val="18"/>
                <w:lang w:val="en-US" w:eastAsia="zh-CN"/>
              </w:rPr>
              <w:t>2</w:t>
            </w:r>
            <w:r>
              <w:rPr>
                <w:b/>
                <w:color w:val="auto"/>
                <w:sz w:val="18"/>
                <w:szCs w:val="18"/>
              </w:rPr>
              <w:t xml:space="preserve">    </w:t>
            </w:r>
            <w:r>
              <w:rPr>
                <w:rFonts w:hint="eastAsia"/>
                <w:b/>
                <w:color w:val="auto"/>
                <w:sz w:val="18"/>
                <w:szCs w:val="18"/>
                <w:lang w:val="en-US" w:eastAsia="zh-CN"/>
              </w:rPr>
              <w:t>引用</w:t>
            </w:r>
            <w:r>
              <w:rPr>
                <w:b/>
                <w:color w:val="auto"/>
                <w:sz w:val="18"/>
                <w:szCs w:val="18"/>
              </w:rPr>
              <w:t>环境空气现状监测结果统计表</w:t>
            </w:r>
          </w:p>
          <w:tbl>
            <w:tblPr>
              <w:tblStyle w:val="47"/>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24"/>
              <w:gridCol w:w="644"/>
              <w:gridCol w:w="562"/>
              <w:gridCol w:w="1901"/>
              <w:gridCol w:w="902"/>
              <w:gridCol w:w="1044"/>
              <w:gridCol w:w="713"/>
              <w:gridCol w:w="810"/>
              <w:gridCol w:w="644"/>
            </w:tblGrid>
            <w:tr w14:paraId="362F728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456" w:type="pct"/>
                  <w:tcBorders>
                    <w:tl2br w:val="nil"/>
                    <w:tr2bl w:val="nil"/>
                  </w:tcBorders>
                  <w:vAlign w:val="center"/>
                </w:tcPr>
                <w:p w14:paraId="188E2342">
                  <w:pPr>
                    <w:pStyle w:val="220"/>
                    <w:spacing w:line="280" w:lineRule="exact"/>
                    <w:rPr>
                      <w:rFonts w:hint="default" w:eastAsia="宋体"/>
                      <w:color w:val="auto"/>
                      <w:kern w:val="2"/>
                      <w:sz w:val="18"/>
                      <w:szCs w:val="18"/>
                      <w:lang w:val="en-US" w:eastAsia="zh-CN"/>
                    </w:rPr>
                  </w:pPr>
                  <w:r>
                    <w:rPr>
                      <w:rFonts w:hint="eastAsia" w:eastAsia="宋体"/>
                      <w:color w:val="auto"/>
                      <w:kern w:val="2"/>
                      <w:sz w:val="18"/>
                      <w:szCs w:val="18"/>
                      <w:lang w:val="en-US" w:eastAsia="zh-CN"/>
                    </w:rPr>
                    <w:t>监测点位</w:t>
                  </w:r>
                </w:p>
              </w:tc>
              <w:tc>
                <w:tcPr>
                  <w:tcW w:w="405" w:type="pct"/>
                  <w:tcBorders>
                    <w:tl2br w:val="nil"/>
                    <w:tr2bl w:val="nil"/>
                  </w:tcBorders>
                  <w:vAlign w:val="center"/>
                </w:tcPr>
                <w:p w14:paraId="2BDFDC1E">
                  <w:pPr>
                    <w:pStyle w:val="220"/>
                    <w:spacing w:line="280" w:lineRule="exact"/>
                    <w:rPr>
                      <w:rFonts w:hint="default" w:eastAsia="宋体"/>
                      <w:color w:val="auto"/>
                      <w:kern w:val="2"/>
                      <w:sz w:val="18"/>
                      <w:szCs w:val="18"/>
                      <w:lang w:val="en-US" w:eastAsia="zh-CN"/>
                    </w:rPr>
                  </w:pPr>
                  <w:r>
                    <w:rPr>
                      <w:rFonts w:hint="eastAsia" w:eastAsia="宋体"/>
                      <w:color w:val="auto"/>
                      <w:kern w:val="2"/>
                      <w:sz w:val="18"/>
                      <w:szCs w:val="18"/>
                      <w:lang w:val="en-US" w:eastAsia="zh-CN"/>
                    </w:rPr>
                    <w:t>监测项目</w:t>
                  </w:r>
                </w:p>
              </w:tc>
              <w:tc>
                <w:tcPr>
                  <w:tcW w:w="353" w:type="pct"/>
                  <w:tcBorders>
                    <w:tl2br w:val="nil"/>
                    <w:tr2bl w:val="nil"/>
                  </w:tcBorders>
                  <w:vAlign w:val="center"/>
                </w:tcPr>
                <w:p w14:paraId="30DBA5F6">
                  <w:pPr>
                    <w:pStyle w:val="220"/>
                    <w:spacing w:line="280" w:lineRule="exact"/>
                    <w:rPr>
                      <w:rFonts w:hint="eastAsia" w:eastAsia="宋体"/>
                      <w:color w:val="auto"/>
                      <w:kern w:val="2"/>
                      <w:sz w:val="18"/>
                      <w:szCs w:val="18"/>
                      <w:lang w:val="en-US" w:eastAsia="zh-CN"/>
                    </w:rPr>
                  </w:pPr>
                  <w:r>
                    <w:rPr>
                      <w:rFonts w:hint="eastAsia" w:eastAsia="宋体"/>
                      <w:color w:val="auto"/>
                      <w:kern w:val="2"/>
                      <w:sz w:val="18"/>
                      <w:szCs w:val="18"/>
                      <w:lang w:val="en-US" w:eastAsia="zh-CN"/>
                    </w:rPr>
                    <w:t>样品数</w:t>
                  </w:r>
                </w:p>
              </w:tc>
              <w:tc>
                <w:tcPr>
                  <w:tcW w:w="1195" w:type="pct"/>
                  <w:tcBorders>
                    <w:tl2br w:val="nil"/>
                    <w:tr2bl w:val="nil"/>
                  </w:tcBorders>
                  <w:vAlign w:val="center"/>
                </w:tcPr>
                <w:p w14:paraId="0C2EA776">
                  <w:pPr>
                    <w:pStyle w:val="220"/>
                    <w:spacing w:line="280" w:lineRule="exact"/>
                    <w:rPr>
                      <w:rFonts w:hint="eastAsia" w:eastAsia="宋体"/>
                      <w:color w:val="auto"/>
                      <w:kern w:val="2"/>
                      <w:sz w:val="18"/>
                      <w:szCs w:val="18"/>
                      <w:lang w:eastAsia="zh-CN"/>
                    </w:rPr>
                  </w:pPr>
                  <w:r>
                    <w:rPr>
                      <w:rFonts w:hint="eastAsia" w:eastAsia="宋体"/>
                      <w:color w:val="auto"/>
                      <w:kern w:val="2"/>
                      <w:sz w:val="18"/>
                      <w:szCs w:val="18"/>
                      <w:lang w:val="en-US" w:eastAsia="zh-CN"/>
                    </w:rPr>
                    <w:t>1小时平均浓度值范围</w:t>
                  </w:r>
                  <w:r>
                    <w:rPr>
                      <w:rFonts w:hint="eastAsia" w:eastAsia="宋体"/>
                      <w:color w:val="auto"/>
                      <w:kern w:val="2"/>
                      <w:sz w:val="18"/>
                      <w:szCs w:val="18"/>
                      <w:lang w:eastAsia="zh-CN"/>
                    </w:rPr>
                    <w:t>（</w:t>
                  </w:r>
                  <w:r>
                    <w:rPr>
                      <w:rFonts w:hint="eastAsia" w:eastAsia="宋体"/>
                      <w:color w:val="auto"/>
                      <w:kern w:val="2"/>
                      <w:sz w:val="18"/>
                      <w:szCs w:val="18"/>
                      <w:lang w:val="en-US" w:eastAsia="zh-CN"/>
                    </w:rPr>
                    <w:t>m</w:t>
                  </w:r>
                  <w:r>
                    <w:rPr>
                      <w:rFonts w:eastAsia="宋体"/>
                      <w:color w:val="auto"/>
                      <w:kern w:val="2"/>
                      <w:sz w:val="18"/>
                      <w:szCs w:val="18"/>
                    </w:rPr>
                    <w:t>g/m</w:t>
                  </w:r>
                  <w:r>
                    <w:rPr>
                      <w:rFonts w:eastAsia="宋体"/>
                      <w:color w:val="auto"/>
                      <w:kern w:val="2"/>
                      <w:sz w:val="18"/>
                      <w:szCs w:val="18"/>
                      <w:vertAlign w:val="superscript"/>
                    </w:rPr>
                    <w:t>3</w:t>
                  </w:r>
                  <w:r>
                    <w:rPr>
                      <w:rFonts w:hint="eastAsia" w:eastAsia="宋体"/>
                      <w:color w:val="auto"/>
                      <w:kern w:val="2"/>
                      <w:sz w:val="18"/>
                      <w:szCs w:val="18"/>
                      <w:lang w:eastAsia="zh-CN"/>
                    </w:rPr>
                    <w:t>）</w:t>
                  </w:r>
                </w:p>
              </w:tc>
              <w:tc>
                <w:tcPr>
                  <w:tcW w:w="567" w:type="pct"/>
                  <w:tcBorders>
                    <w:tl2br w:val="nil"/>
                    <w:tr2bl w:val="nil"/>
                  </w:tcBorders>
                  <w:vAlign w:val="center"/>
                </w:tcPr>
                <w:p w14:paraId="3898B539">
                  <w:pPr>
                    <w:pStyle w:val="220"/>
                    <w:spacing w:line="280" w:lineRule="exact"/>
                    <w:rPr>
                      <w:rFonts w:eastAsia="宋体"/>
                      <w:color w:val="auto"/>
                      <w:kern w:val="2"/>
                      <w:sz w:val="18"/>
                      <w:szCs w:val="18"/>
                    </w:rPr>
                  </w:pPr>
                  <w:r>
                    <w:rPr>
                      <w:rFonts w:eastAsia="宋体"/>
                      <w:color w:val="auto"/>
                      <w:kern w:val="2"/>
                      <w:sz w:val="18"/>
                      <w:szCs w:val="18"/>
                    </w:rPr>
                    <w:t>标准值</w:t>
                  </w:r>
                </w:p>
                <w:p w14:paraId="20440D1E">
                  <w:pPr>
                    <w:pStyle w:val="220"/>
                    <w:spacing w:line="280" w:lineRule="exact"/>
                    <w:rPr>
                      <w:rFonts w:eastAsia="宋体"/>
                      <w:color w:val="auto"/>
                      <w:kern w:val="2"/>
                      <w:sz w:val="18"/>
                      <w:szCs w:val="18"/>
                    </w:rPr>
                  </w:pPr>
                  <w:r>
                    <w:rPr>
                      <w:rFonts w:hint="eastAsia" w:eastAsia="宋体"/>
                      <w:color w:val="auto"/>
                      <w:kern w:val="2"/>
                      <w:sz w:val="18"/>
                      <w:szCs w:val="18"/>
                      <w:lang w:eastAsia="zh-CN"/>
                    </w:rPr>
                    <w:t>（</w:t>
                  </w:r>
                  <w:r>
                    <w:rPr>
                      <w:rFonts w:hint="eastAsia" w:eastAsia="宋体"/>
                      <w:color w:val="auto"/>
                      <w:kern w:val="2"/>
                      <w:sz w:val="18"/>
                      <w:szCs w:val="18"/>
                      <w:lang w:val="en-US" w:eastAsia="zh-CN"/>
                    </w:rPr>
                    <w:t>μ</w:t>
                  </w:r>
                  <w:r>
                    <w:rPr>
                      <w:rFonts w:eastAsia="宋体"/>
                      <w:color w:val="auto"/>
                      <w:kern w:val="2"/>
                      <w:sz w:val="18"/>
                      <w:szCs w:val="18"/>
                    </w:rPr>
                    <w:t>g/m</w:t>
                  </w:r>
                  <w:r>
                    <w:rPr>
                      <w:rFonts w:eastAsia="宋体"/>
                      <w:color w:val="auto"/>
                      <w:kern w:val="2"/>
                      <w:sz w:val="18"/>
                      <w:szCs w:val="18"/>
                      <w:vertAlign w:val="superscript"/>
                    </w:rPr>
                    <w:t>3</w:t>
                  </w:r>
                  <w:r>
                    <w:rPr>
                      <w:rFonts w:hint="eastAsia" w:eastAsia="宋体"/>
                      <w:color w:val="auto"/>
                      <w:kern w:val="2"/>
                      <w:sz w:val="18"/>
                      <w:szCs w:val="18"/>
                      <w:lang w:eastAsia="zh-CN"/>
                    </w:rPr>
                    <w:t>）</w:t>
                  </w:r>
                </w:p>
              </w:tc>
              <w:tc>
                <w:tcPr>
                  <w:tcW w:w="656" w:type="pct"/>
                  <w:tcBorders>
                    <w:tl2br w:val="nil"/>
                    <w:tr2bl w:val="nil"/>
                  </w:tcBorders>
                  <w:vAlign w:val="center"/>
                </w:tcPr>
                <w:p w14:paraId="112EF236">
                  <w:pPr>
                    <w:pStyle w:val="220"/>
                    <w:spacing w:line="280" w:lineRule="exact"/>
                    <w:rPr>
                      <w:rFonts w:hint="default" w:eastAsia="宋体"/>
                      <w:color w:val="auto"/>
                      <w:kern w:val="2"/>
                      <w:sz w:val="18"/>
                      <w:szCs w:val="18"/>
                      <w:lang w:val="en-US" w:eastAsia="zh-CN"/>
                    </w:rPr>
                  </w:pPr>
                  <w:r>
                    <w:rPr>
                      <w:rFonts w:hint="eastAsia" w:eastAsia="宋体"/>
                      <w:color w:val="auto"/>
                      <w:kern w:val="2"/>
                      <w:sz w:val="18"/>
                      <w:szCs w:val="18"/>
                      <w:lang w:val="en-US" w:eastAsia="zh-CN"/>
                    </w:rPr>
                    <w:t>最大浓度占标率%</w:t>
                  </w:r>
                </w:p>
              </w:tc>
              <w:tc>
                <w:tcPr>
                  <w:tcW w:w="448" w:type="pct"/>
                  <w:tcBorders>
                    <w:tl2br w:val="nil"/>
                    <w:tr2bl w:val="nil"/>
                  </w:tcBorders>
                  <w:vAlign w:val="center"/>
                </w:tcPr>
                <w:p w14:paraId="2E812F46">
                  <w:pPr>
                    <w:pStyle w:val="220"/>
                    <w:spacing w:line="280" w:lineRule="exact"/>
                    <w:rPr>
                      <w:rFonts w:hint="default" w:eastAsia="宋体"/>
                      <w:color w:val="auto"/>
                      <w:kern w:val="2"/>
                      <w:sz w:val="18"/>
                      <w:szCs w:val="18"/>
                      <w:lang w:val="en-US" w:eastAsia="zh-CN"/>
                    </w:rPr>
                  </w:pPr>
                  <w:r>
                    <w:rPr>
                      <w:rFonts w:hint="eastAsia" w:eastAsia="宋体"/>
                      <w:color w:val="auto"/>
                      <w:kern w:val="2"/>
                      <w:sz w:val="18"/>
                      <w:szCs w:val="18"/>
                      <w:lang w:val="en-US" w:eastAsia="zh-CN"/>
                    </w:rPr>
                    <w:t>超标率%</w:t>
                  </w:r>
                </w:p>
              </w:tc>
              <w:tc>
                <w:tcPr>
                  <w:tcW w:w="509" w:type="pct"/>
                  <w:tcBorders>
                    <w:tl2br w:val="nil"/>
                    <w:tr2bl w:val="nil"/>
                  </w:tcBorders>
                  <w:vAlign w:val="center"/>
                </w:tcPr>
                <w:p w14:paraId="34449194">
                  <w:pPr>
                    <w:pStyle w:val="220"/>
                    <w:spacing w:line="280" w:lineRule="exact"/>
                    <w:rPr>
                      <w:rFonts w:eastAsia="宋体"/>
                      <w:color w:val="auto"/>
                      <w:kern w:val="2"/>
                      <w:sz w:val="18"/>
                      <w:szCs w:val="18"/>
                    </w:rPr>
                  </w:pPr>
                  <w:r>
                    <w:rPr>
                      <w:rFonts w:hint="eastAsia" w:eastAsia="宋体"/>
                      <w:color w:val="auto"/>
                      <w:kern w:val="2"/>
                      <w:sz w:val="18"/>
                      <w:szCs w:val="18"/>
                      <w:lang w:val="en-US" w:eastAsia="zh-CN"/>
                    </w:rPr>
                    <w:t>最大超标倍数</w:t>
                  </w:r>
                </w:p>
              </w:tc>
              <w:tc>
                <w:tcPr>
                  <w:tcW w:w="405" w:type="pct"/>
                  <w:tcBorders>
                    <w:tl2br w:val="nil"/>
                    <w:tr2bl w:val="nil"/>
                  </w:tcBorders>
                  <w:vAlign w:val="center"/>
                </w:tcPr>
                <w:p w14:paraId="2DAA3F9A">
                  <w:pPr>
                    <w:pStyle w:val="220"/>
                    <w:spacing w:line="280" w:lineRule="exact"/>
                    <w:rPr>
                      <w:rFonts w:hint="default" w:eastAsia="宋体"/>
                      <w:color w:val="auto"/>
                      <w:kern w:val="2"/>
                      <w:sz w:val="18"/>
                      <w:szCs w:val="18"/>
                      <w:lang w:val="en-US" w:eastAsia="zh-CN"/>
                    </w:rPr>
                  </w:pPr>
                  <w:r>
                    <w:rPr>
                      <w:rFonts w:hint="eastAsia" w:eastAsia="宋体"/>
                      <w:color w:val="auto"/>
                      <w:kern w:val="2"/>
                      <w:sz w:val="18"/>
                      <w:szCs w:val="18"/>
                      <w:lang w:val="en-US" w:eastAsia="zh-CN"/>
                    </w:rPr>
                    <w:t>达标情况</w:t>
                  </w:r>
                </w:p>
              </w:tc>
            </w:tr>
            <w:tr w14:paraId="6AA2F08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456" w:type="pct"/>
                  <w:vMerge w:val="restart"/>
                  <w:tcBorders>
                    <w:tl2br w:val="nil"/>
                    <w:tr2bl w:val="nil"/>
                  </w:tcBorders>
                  <w:vAlign w:val="center"/>
                </w:tcPr>
                <w:p w14:paraId="205E6130">
                  <w:pPr>
                    <w:pStyle w:val="220"/>
                    <w:spacing w:line="280" w:lineRule="exact"/>
                    <w:rPr>
                      <w:rFonts w:hint="default" w:ascii="Times New Roman" w:hAnsi="Times New Roman" w:eastAsia="宋体" w:cs="Times New Roman"/>
                      <w:color w:val="auto"/>
                      <w:kern w:val="2"/>
                      <w:sz w:val="18"/>
                      <w:szCs w:val="18"/>
                      <w:lang w:val="en-US" w:eastAsia="zh-CN" w:bidi="ar-SA"/>
                    </w:rPr>
                  </w:pPr>
                  <w:r>
                    <w:rPr>
                      <w:rFonts w:hint="eastAsia" w:eastAsia="宋体"/>
                      <w:color w:val="auto"/>
                      <w:kern w:val="2"/>
                      <w:sz w:val="18"/>
                      <w:szCs w:val="18"/>
                      <w:lang w:val="en-US" w:eastAsia="zh-CN"/>
                    </w:rPr>
                    <w:t>交警六大队</w:t>
                  </w:r>
                </w:p>
              </w:tc>
              <w:tc>
                <w:tcPr>
                  <w:tcW w:w="405" w:type="pct"/>
                  <w:tcBorders>
                    <w:tl2br w:val="nil"/>
                    <w:tr2bl w:val="nil"/>
                  </w:tcBorders>
                  <w:vAlign w:val="center"/>
                </w:tcPr>
                <w:p w14:paraId="66FED621">
                  <w:pPr>
                    <w:pStyle w:val="220"/>
                    <w:spacing w:line="280" w:lineRule="exact"/>
                    <w:rPr>
                      <w:rFonts w:hint="default" w:ascii="Times New Roman" w:hAnsi="Times New Roman" w:eastAsia="宋体" w:cs="Times New Roman"/>
                      <w:color w:val="auto"/>
                      <w:kern w:val="2"/>
                      <w:sz w:val="18"/>
                      <w:szCs w:val="18"/>
                      <w:lang w:val="en-US" w:eastAsia="zh-CN" w:bidi="ar-SA"/>
                    </w:rPr>
                  </w:pPr>
                  <w:r>
                    <w:rPr>
                      <w:rFonts w:hint="eastAsia" w:eastAsia="宋体" w:cs="Times New Roman"/>
                      <w:color w:val="auto"/>
                      <w:kern w:val="2"/>
                      <w:sz w:val="18"/>
                      <w:szCs w:val="18"/>
                      <w:lang w:val="en-US" w:eastAsia="zh-CN" w:bidi="ar-SA"/>
                    </w:rPr>
                    <w:t>氨</w:t>
                  </w:r>
                </w:p>
              </w:tc>
              <w:tc>
                <w:tcPr>
                  <w:tcW w:w="353" w:type="pct"/>
                  <w:tcBorders>
                    <w:tl2br w:val="nil"/>
                    <w:tr2bl w:val="nil"/>
                  </w:tcBorders>
                  <w:vAlign w:val="center"/>
                </w:tcPr>
                <w:p w14:paraId="4DEDA227">
                  <w:pPr>
                    <w:pStyle w:val="220"/>
                    <w:spacing w:line="280" w:lineRule="exact"/>
                    <w:rPr>
                      <w:rFonts w:hint="eastAsia" w:eastAsia="宋体"/>
                      <w:color w:val="auto"/>
                      <w:kern w:val="2"/>
                      <w:sz w:val="18"/>
                      <w:szCs w:val="18"/>
                      <w:lang w:val="en-US" w:eastAsia="zh-CN"/>
                    </w:rPr>
                  </w:pPr>
                  <w:r>
                    <w:rPr>
                      <w:rFonts w:hint="eastAsia" w:eastAsia="宋体"/>
                      <w:color w:val="auto"/>
                      <w:kern w:val="2"/>
                      <w:sz w:val="18"/>
                      <w:szCs w:val="18"/>
                      <w:lang w:val="en-US" w:eastAsia="zh-CN"/>
                    </w:rPr>
                    <w:t>28</w:t>
                  </w:r>
                </w:p>
              </w:tc>
              <w:tc>
                <w:tcPr>
                  <w:tcW w:w="1195" w:type="pct"/>
                  <w:tcBorders>
                    <w:tl2br w:val="nil"/>
                    <w:tr2bl w:val="nil"/>
                  </w:tcBorders>
                  <w:vAlign w:val="center"/>
                </w:tcPr>
                <w:p w14:paraId="6D43D5D1">
                  <w:pPr>
                    <w:pStyle w:val="220"/>
                    <w:spacing w:line="280" w:lineRule="exact"/>
                    <w:rPr>
                      <w:rFonts w:hint="default" w:ascii="Times New Roman" w:hAnsi="Times New Roman" w:eastAsia="宋体" w:cs="Times New Roman"/>
                      <w:color w:val="auto"/>
                      <w:kern w:val="2"/>
                      <w:sz w:val="18"/>
                      <w:szCs w:val="18"/>
                      <w:lang w:val="en-US" w:eastAsia="zh-CN" w:bidi="ar-SA"/>
                    </w:rPr>
                  </w:pPr>
                  <w:r>
                    <w:rPr>
                      <w:rFonts w:hint="eastAsia" w:eastAsia="宋体"/>
                      <w:color w:val="auto"/>
                      <w:kern w:val="2"/>
                      <w:sz w:val="18"/>
                      <w:szCs w:val="18"/>
                      <w:lang w:val="en-US" w:eastAsia="zh-CN"/>
                    </w:rPr>
                    <w:t>0.02-~0.08</w:t>
                  </w:r>
                </w:p>
              </w:tc>
              <w:tc>
                <w:tcPr>
                  <w:tcW w:w="567" w:type="pct"/>
                  <w:tcBorders>
                    <w:tl2br w:val="nil"/>
                    <w:tr2bl w:val="nil"/>
                  </w:tcBorders>
                  <w:vAlign w:val="center"/>
                </w:tcPr>
                <w:p w14:paraId="6EC4449D">
                  <w:pPr>
                    <w:pStyle w:val="220"/>
                    <w:spacing w:line="280" w:lineRule="exact"/>
                    <w:rPr>
                      <w:rFonts w:hint="default" w:eastAsia="宋体"/>
                      <w:color w:val="auto"/>
                      <w:kern w:val="2"/>
                      <w:sz w:val="18"/>
                      <w:szCs w:val="18"/>
                      <w:lang w:val="en-US" w:eastAsia="zh-CN"/>
                    </w:rPr>
                  </w:pPr>
                  <w:r>
                    <w:rPr>
                      <w:rFonts w:hint="eastAsia" w:eastAsia="宋体"/>
                      <w:color w:val="auto"/>
                      <w:kern w:val="2"/>
                      <w:sz w:val="18"/>
                      <w:szCs w:val="18"/>
                      <w:lang w:val="en-US" w:eastAsia="zh-CN"/>
                    </w:rPr>
                    <w:t>200</w:t>
                  </w:r>
                </w:p>
              </w:tc>
              <w:tc>
                <w:tcPr>
                  <w:tcW w:w="656" w:type="pct"/>
                  <w:tcBorders>
                    <w:tl2br w:val="nil"/>
                    <w:tr2bl w:val="nil"/>
                  </w:tcBorders>
                  <w:vAlign w:val="center"/>
                </w:tcPr>
                <w:p w14:paraId="65F24FD4">
                  <w:pPr>
                    <w:pStyle w:val="220"/>
                    <w:spacing w:line="280" w:lineRule="exact"/>
                    <w:rPr>
                      <w:rFonts w:hint="default" w:ascii="Times New Roman" w:hAnsi="Times New Roman" w:eastAsia="宋体" w:cs="Times New Roman"/>
                      <w:color w:val="auto"/>
                      <w:kern w:val="2"/>
                      <w:sz w:val="18"/>
                      <w:szCs w:val="18"/>
                      <w:lang w:val="en-US" w:eastAsia="zh-CN" w:bidi="ar-SA"/>
                    </w:rPr>
                  </w:pPr>
                  <w:r>
                    <w:rPr>
                      <w:rFonts w:hint="eastAsia" w:eastAsia="宋体"/>
                      <w:color w:val="auto"/>
                      <w:kern w:val="2"/>
                      <w:sz w:val="18"/>
                      <w:szCs w:val="18"/>
                      <w:lang w:val="en-US" w:eastAsia="zh-CN"/>
                    </w:rPr>
                    <w:t>40</w:t>
                  </w:r>
                </w:p>
              </w:tc>
              <w:tc>
                <w:tcPr>
                  <w:tcW w:w="448" w:type="pct"/>
                  <w:tcBorders>
                    <w:tl2br w:val="nil"/>
                    <w:tr2bl w:val="nil"/>
                  </w:tcBorders>
                  <w:vAlign w:val="center"/>
                </w:tcPr>
                <w:p w14:paraId="6D133283">
                  <w:pPr>
                    <w:pStyle w:val="220"/>
                    <w:spacing w:line="280" w:lineRule="exact"/>
                    <w:rPr>
                      <w:rFonts w:hint="eastAsia" w:ascii="Times New Roman" w:hAnsi="Times New Roman" w:eastAsia="宋体" w:cs="Times New Roman"/>
                      <w:color w:val="auto"/>
                      <w:kern w:val="2"/>
                      <w:sz w:val="18"/>
                      <w:szCs w:val="18"/>
                      <w:lang w:val="en-US" w:eastAsia="zh-CN" w:bidi="ar-SA"/>
                    </w:rPr>
                  </w:pPr>
                  <w:r>
                    <w:rPr>
                      <w:rFonts w:hint="eastAsia" w:eastAsia="宋体"/>
                      <w:color w:val="auto"/>
                      <w:kern w:val="2"/>
                      <w:sz w:val="18"/>
                      <w:szCs w:val="18"/>
                      <w:lang w:val="en-US" w:eastAsia="zh-CN"/>
                    </w:rPr>
                    <w:t>0</w:t>
                  </w:r>
                </w:p>
              </w:tc>
              <w:tc>
                <w:tcPr>
                  <w:tcW w:w="509" w:type="pct"/>
                  <w:tcBorders>
                    <w:tl2br w:val="nil"/>
                    <w:tr2bl w:val="nil"/>
                  </w:tcBorders>
                  <w:vAlign w:val="center"/>
                </w:tcPr>
                <w:p w14:paraId="4DBAD19E">
                  <w:pPr>
                    <w:pStyle w:val="220"/>
                    <w:spacing w:line="280" w:lineRule="exact"/>
                    <w:rPr>
                      <w:rFonts w:hint="eastAsia" w:ascii="Times New Roman" w:hAnsi="Times New Roman" w:eastAsia="宋体" w:cs="Times New Roman"/>
                      <w:color w:val="auto"/>
                      <w:kern w:val="2"/>
                      <w:sz w:val="18"/>
                      <w:szCs w:val="18"/>
                      <w:lang w:val="en-US" w:eastAsia="zh-CN" w:bidi="ar-SA"/>
                    </w:rPr>
                  </w:pPr>
                  <w:r>
                    <w:rPr>
                      <w:rFonts w:hint="eastAsia" w:eastAsia="宋体"/>
                      <w:color w:val="auto"/>
                      <w:kern w:val="2"/>
                      <w:sz w:val="18"/>
                      <w:szCs w:val="18"/>
                      <w:lang w:val="en-US" w:eastAsia="zh-CN"/>
                    </w:rPr>
                    <w:t>0</w:t>
                  </w:r>
                </w:p>
              </w:tc>
              <w:tc>
                <w:tcPr>
                  <w:tcW w:w="405" w:type="pct"/>
                  <w:tcBorders>
                    <w:tl2br w:val="nil"/>
                    <w:tr2bl w:val="nil"/>
                  </w:tcBorders>
                  <w:vAlign w:val="center"/>
                </w:tcPr>
                <w:p w14:paraId="5154ECA4">
                  <w:pPr>
                    <w:pStyle w:val="220"/>
                    <w:spacing w:line="280" w:lineRule="exact"/>
                    <w:rPr>
                      <w:rFonts w:hint="default" w:eastAsia="宋体"/>
                      <w:color w:val="auto"/>
                      <w:kern w:val="2"/>
                      <w:sz w:val="18"/>
                      <w:szCs w:val="18"/>
                      <w:lang w:val="en-US" w:eastAsia="zh-CN"/>
                    </w:rPr>
                  </w:pPr>
                  <w:r>
                    <w:rPr>
                      <w:rFonts w:hint="eastAsia" w:eastAsia="宋体"/>
                      <w:color w:val="auto"/>
                      <w:kern w:val="2"/>
                      <w:sz w:val="18"/>
                      <w:szCs w:val="18"/>
                      <w:lang w:val="en-US" w:eastAsia="zh-CN"/>
                    </w:rPr>
                    <w:t>达标</w:t>
                  </w:r>
                </w:p>
              </w:tc>
            </w:tr>
            <w:tr w14:paraId="269E44C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456" w:type="pct"/>
                  <w:vMerge w:val="continue"/>
                  <w:tcBorders>
                    <w:tl2br w:val="nil"/>
                    <w:tr2bl w:val="nil"/>
                  </w:tcBorders>
                  <w:vAlign w:val="center"/>
                </w:tcPr>
                <w:p w14:paraId="680DCD72">
                  <w:pPr>
                    <w:pStyle w:val="220"/>
                    <w:spacing w:line="280" w:lineRule="exact"/>
                    <w:rPr>
                      <w:rFonts w:hint="eastAsia" w:eastAsia="宋体"/>
                      <w:color w:val="auto"/>
                      <w:kern w:val="2"/>
                      <w:sz w:val="18"/>
                      <w:szCs w:val="18"/>
                      <w:lang w:val="en-US" w:eastAsia="zh-CN"/>
                    </w:rPr>
                  </w:pPr>
                </w:p>
              </w:tc>
              <w:tc>
                <w:tcPr>
                  <w:tcW w:w="405" w:type="pct"/>
                  <w:tcBorders>
                    <w:tl2br w:val="nil"/>
                    <w:tr2bl w:val="nil"/>
                  </w:tcBorders>
                  <w:vAlign w:val="center"/>
                </w:tcPr>
                <w:p w14:paraId="24AC897F">
                  <w:pPr>
                    <w:pStyle w:val="220"/>
                    <w:spacing w:line="280" w:lineRule="exact"/>
                    <w:rPr>
                      <w:rFonts w:hint="default" w:eastAsia="宋体"/>
                      <w:color w:val="auto"/>
                      <w:kern w:val="2"/>
                      <w:sz w:val="18"/>
                      <w:szCs w:val="18"/>
                      <w:lang w:val="en-US" w:eastAsia="zh-CN"/>
                    </w:rPr>
                  </w:pPr>
                  <w:r>
                    <w:rPr>
                      <w:rFonts w:hint="eastAsia" w:eastAsia="宋体"/>
                      <w:color w:val="auto"/>
                      <w:kern w:val="2"/>
                      <w:sz w:val="18"/>
                      <w:szCs w:val="18"/>
                      <w:lang w:val="en-US" w:eastAsia="zh-CN"/>
                    </w:rPr>
                    <w:t>硫化氢</w:t>
                  </w:r>
                </w:p>
              </w:tc>
              <w:tc>
                <w:tcPr>
                  <w:tcW w:w="353" w:type="pct"/>
                  <w:tcBorders>
                    <w:tl2br w:val="nil"/>
                    <w:tr2bl w:val="nil"/>
                  </w:tcBorders>
                  <w:vAlign w:val="center"/>
                </w:tcPr>
                <w:p w14:paraId="47D3A0D1">
                  <w:pPr>
                    <w:pStyle w:val="220"/>
                    <w:spacing w:line="280" w:lineRule="exact"/>
                    <w:rPr>
                      <w:rFonts w:hint="default" w:eastAsia="宋体"/>
                      <w:color w:val="auto"/>
                      <w:kern w:val="2"/>
                      <w:sz w:val="18"/>
                      <w:szCs w:val="18"/>
                      <w:lang w:val="en-US" w:eastAsia="zh-CN"/>
                    </w:rPr>
                  </w:pPr>
                  <w:r>
                    <w:rPr>
                      <w:rFonts w:hint="eastAsia" w:eastAsia="宋体"/>
                      <w:color w:val="auto"/>
                      <w:kern w:val="2"/>
                      <w:sz w:val="18"/>
                      <w:szCs w:val="18"/>
                      <w:lang w:val="en-US" w:eastAsia="zh-CN"/>
                    </w:rPr>
                    <w:t>28</w:t>
                  </w:r>
                </w:p>
              </w:tc>
              <w:tc>
                <w:tcPr>
                  <w:tcW w:w="1195" w:type="pct"/>
                  <w:tcBorders>
                    <w:tl2br w:val="nil"/>
                    <w:tr2bl w:val="nil"/>
                  </w:tcBorders>
                  <w:vAlign w:val="center"/>
                </w:tcPr>
                <w:p w14:paraId="0EF4D3C0">
                  <w:pPr>
                    <w:pStyle w:val="220"/>
                    <w:spacing w:line="280" w:lineRule="exact"/>
                    <w:rPr>
                      <w:rFonts w:hint="default" w:eastAsia="宋体"/>
                      <w:color w:val="auto"/>
                      <w:kern w:val="2"/>
                      <w:sz w:val="18"/>
                      <w:szCs w:val="18"/>
                      <w:lang w:val="en-US" w:eastAsia="zh-CN"/>
                    </w:rPr>
                  </w:pPr>
                  <w:r>
                    <w:rPr>
                      <w:rFonts w:hint="eastAsia" w:eastAsia="宋体"/>
                      <w:color w:val="auto"/>
                      <w:kern w:val="2"/>
                      <w:sz w:val="18"/>
                      <w:szCs w:val="18"/>
                      <w:lang w:val="en-US" w:eastAsia="zh-CN"/>
                    </w:rPr>
                    <w:t>0.002~0.008</w:t>
                  </w:r>
                </w:p>
              </w:tc>
              <w:tc>
                <w:tcPr>
                  <w:tcW w:w="567" w:type="pct"/>
                  <w:tcBorders>
                    <w:tl2br w:val="nil"/>
                    <w:tr2bl w:val="nil"/>
                  </w:tcBorders>
                  <w:vAlign w:val="center"/>
                </w:tcPr>
                <w:p w14:paraId="2781541A">
                  <w:pPr>
                    <w:pStyle w:val="220"/>
                    <w:spacing w:line="280" w:lineRule="exact"/>
                    <w:rPr>
                      <w:rFonts w:hint="default" w:eastAsia="宋体"/>
                      <w:color w:val="auto"/>
                      <w:kern w:val="2"/>
                      <w:sz w:val="18"/>
                      <w:szCs w:val="18"/>
                      <w:lang w:val="en-US" w:eastAsia="zh-CN"/>
                    </w:rPr>
                  </w:pPr>
                  <w:r>
                    <w:rPr>
                      <w:rFonts w:hint="eastAsia" w:eastAsia="宋体"/>
                      <w:color w:val="auto"/>
                      <w:kern w:val="2"/>
                      <w:sz w:val="18"/>
                      <w:szCs w:val="18"/>
                      <w:lang w:val="en-US" w:eastAsia="zh-CN"/>
                    </w:rPr>
                    <w:t>10</w:t>
                  </w:r>
                </w:p>
              </w:tc>
              <w:tc>
                <w:tcPr>
                  <w:tcW w:w="656" w:type="pct"/>
                  <w:tcBorders>
                    <w:tl2br w:val="nil"/>
                    <w:tr2bl w:val="nil"/>
                  </w:tcBorders>
                  <w:vAlign w:val="center"/>
                </w:tcPr>
                <w:p w14:paraId="580FDD3A">
                  <w:pPr>
                    <w:pStyle w:val="220"/>
                    <w:spacing w:line="280" w:lineRule="exact"/>
                    <w:rPr>
                      <w:rFonts w:hint="default" w:eastAsia="宋体"/>
                      <w:color w:val="auto"/>
                      <w:kern w:val="2"/>
                      <w:sz w:val="18"/>
                      <w:szCs w:val="18"/>
                      <w:lang w:val="en-US" w:eastAsia="zh-CN"/>
                    </w:rPr>
                  </w:pPr>
                  <w:r>
                    <w:rPr>
                      <w:rFonts w:hint="eastAsia" w:eastAsia="宋体"/>
                      <w:color w:val="auto"/>
                      <w:kern w:val="2"/>
                      <w:sz w:val="18"/>
                      <w:szCs w:val="18"/>
                      <w:lang w:val="en-US" w:eastAsia="zh-CN"/>
                    </w:rPr>
                    <w:t>80</w:t>
                  </w:r>
                </w:p>
              </w:tc>
              <w:tc>
                <w:tcPr>
                  <w:tcW w:w="448" w:type="pct"/>
                  <w:tcBorders>
                    <w:tl2br w:val="nil"/>
                    <w:tr2bl w:val="nil"/>
                  </w:tcBorders>
                  <w:vAlign w:val="center"/>
                </w:tcPr>
                <w:p w14:paraId="2B260648">
                  <w:pPr>
                    <w:pStyle w:val="220"/>
                    <w:spacing w:line="280" w:lineRule="exact"/>
                    <w:rPr>
                      <w:rFonts w:hint="default" w:eastAsia="宋体"/>
                      <w:color w:val="auto"/>
                      <w:kern w:val="2"/>
                      <w:sz w:val="18"/>
                      <w:szCs w:val="18"/>
                      <w:lang w:val="en-US" w:eastAsia="zh-CN"/>
                    </w:rPr>
                  </w:pPr>
                  <w:r>
                    <w:rPr>
                      <w:rFonts w:hint="eastAsia" w:eastAsia="宋体"/>
                      <w:color w:val="auto"/>
                      <w:kern w:val="2"/>
                      <w:sz w:val="18"/>
                      <w:szCs w:val="18"/>
                      <w:lang w:val="en-US" w:eastAsia="zh-CN"/>
                    </w:rPr>
                    <w:t>0</w:t>
                  </w:r>
                </w:p>
              </w:tc>
              <w:tc>
                <w:tcPr>
                  <w:tcW w:w="509" w:type="pct"/>
                  <w:tcBorders>
                    <w:tl2br w:val="nil"/>
                    <w:tr2bl w:val="nil"/>
                  </w:tcBorders>
                  <w:vAlign w:val="center"/>
                </w:tcPr>
                <w:p w14:paraId="7110181A">
                  <w:pPr>
                    <w:pStyle w:val="220"/>
                    <w:spacing w:line="280" w:lineRule="exact"/>
                    <w:rPr>
                      <w:rFonts w:hint="default" w:eastAsia="宋体"/>
                      <w:color w:val="auto"/>
                      <w:kern w:val="2"/>
                      <w:sz w:val="18"/>
                      <w:szCs w:val="18"/>
                      <w:lang w:val="en-US" w:eastAsia="zh-CN"/>
                    </w:rPr>
                  </w:pPr>
                  <w:r>
                    <w:rPr>
                      <w:rFonts w:hint="eastAsia" w:eastAsia="宋体"/>
                      <w:color w:val="auto"/>
                      <w:kern w:val="2"/>
                      <w:sz w:val="18"/>
                      <w:szCs w:val="18"/>
                      <w:lang w:val="en-US" w:eastAsia="zh-CN"/>
                    </w:rPr>
                    <w:t>0</w:t>
                  </w:r>
                </w:p>
              </w:tc>
              <w:tc>
                <w:tcPr>
                  <w:tcW w:w="405" w:type="pct"/>
                  <w:tcBorders>
                    <w:tl2br w:val="nil"/>
                    <w:tr2bl w:val="nil"/>
                  </w:tcBorders>
                  <w:vAlign w:val="center"/>
                </w:tcPr>
                <w:p w14:paraId="70B7EEFD">
                  <w:pPr>
                    <w:pStyle w:val="220"/>
                    <w:spacing w:line="280" w:lineRule="exact"/>
                    <w:rPr>
                      <w:rFonts w:hint="default" w:eastAsia="宋体"/>
                      <w:color w:val="auto"/>
                      <w:kern w:val="2"/>
                      <w:sz w:val="18"/>
                      <w:szCs w:val="18"/>
                      <w:lang w:val="en-US" w:eastAsia="zh-CN"/>
                    </w:rPr>
                  </w:pPr>
                  <w:r>
                    <w:rPr>
                      <w:rFonts w:hint="eastAsia" w:eastAsia="宋体"/>
                      <w:color w:val="auto"/>
                      <w:kern w:val="2"/>
                      <w:sz w:val="18"/>
                      <w:szCs w:val="18"/>
                      <w:lang w:val="en-US" w:eastAsia="zh-CN"/>
                    </w:rPr>
                    <w:t>达标</w:t>
                  </w:r>
                </w:p>
              </w:tc>
            </w:tr>
          </w:tbl>
          <w:p w14:paraId="23552B87">
            <w:pPr>
              <w:spacing w:line="360" w:lineRule="auto"/>
              <w:ind w:firstLine="420" w:firstLineChars="200"/>
              <w:rPr>
                <w:rFonts w:hint="default"/>
                <w:color w:val="auto"/>
                <w:lang w:val="en-US" w:eastAsia="zh-CN"/>
              </w:rPr>
            </w:pPr>
            <w:r>
              <w:rPr>
                <w:rFonts w:hint="eastAsia"/>
                <w:color w:val="auto"/>
                <w:lang w:val="en-US" w:eastAsia="zh-CN"/>
              </w:rPr>
              <w:t>根据引用监测资料显示，项目所在区域氨浓度范围在0.02~0.08mg/m</w:t>
            </w:r>
            <w:r>
              <w:rPr>
                <w:rFonts w:hint="eastAsia"/>
                <w:color w:val="auto"/>
                <w:vertAlign w:val="superscript"/>
                <w:lang w:val="en-US" w:eastAsia="zh-CN"/>
              </w:rPr>
              <w:t>3</w:t>
            </w:r>
            <w:r>
              <w:rPr>
                <w:rFonts w:hint="eastAsia"/>
                <w:color w:val="auto"/>
                <w:lang w:val="en-US" w:eastAsia="zh-CN"/>
              </w:rPr>
              <w:t>之间，硫化氢浓度范围在0.002~0.008mg/m</w:t>
            </w:r>
            <w:r>
              <w:rPr>
                <w:rFonts w:hint="eastAsia"/>
                <w:color w:val="auto"/>
                <w:vertAlign w:val="superscript"/>
                <w:lang w:val="en-US" w:eastAsia="zh-CN"/>
              </w:rPr>
              <w:t>3</w:t>
            </w:r>
            <w:r>
              <w:rPr>
                <w:rFonts w:hint="eastAsia"/>
                <w:color w:val="auto"/>
                <w:lang w:val="en-US" w:eastAsia="zh-CN"/>
              </w:rPr>
              <w:t>之间，均未超标，均满足《环境影响评价技术导则 大气环境》（HJ2.2-2018）附录D中其他污染物空气质量浓度参考限值，表明区域未受到氨、硫化氢的污染影响。</w:t>
            </w:r>
          </w:p>
          <w:p w14:paraId="52E3F106">
            <w:pPr>
              <w:spacing w:line="360" w:lineRule="auto"/>
              <w:ind w:firstLine="422" w:firstLineChars="200"/>
              <w:rPr>
                <w:rFonts w:hint="default" w:eastAsia="宋体"/>
                <w:b/>
                <w:bCs/>
                <w:color w:val="auto"/>
                <w:szCs w:val="21"/>
                <w:lang w:val="en-US" w:eastAsia="zh-CN"/>
              </w:rPr>
            </w:pPr>
            <w:r>
              <w:rPr>
                <w:rFonts w:hint="eastAsia"/>
                <w:b/>
                <w:bCs/>
                <w:color w:val="auto"/>
                <w:szCs w:val="21"/>
                <w:lang w:val="en-US" w:eastAsia="zh-CN"/>
              </w:rPr>
              <w:t>3.2地表水环境</w:t>
            </w:r>
          </w:p>
          <w:p w14:paraId="7489492D">
            <w:pPr>
              <w:spacing w:line="360" w:lineRule="auto"/>
              <w:ind w:firstLine="420" w:firstLineChars="200"/>
              <w:rPr>
                <w:color w:val="auto"/>
                <w:szCs w:val="21"/>
              </w:rPr>
            </w:pPr>
            <w:r>
              <w:rPr>
                <w:color w:val="auto"/>
                <w:szCs w:val="21"/>
              </w:rPr>
              <w:t>根据《环境影响评价技术导则 地表水环境》（HJ2.3-2018）对不同评价级别工作的深度要求，项目不外排废水，属于三级B类项目，因此无需做现状监测。</w:t>
            </w:r>
          </w:p>
          <w:p w14:paraId="7C621F4C">
            <w:pPr>
              <w:spacing w:line="360" w:lineRule="auto"/>
              <w:ind w:firstLine="422" w:firstLineChars="200"/>
              <w:rPr>
                <w:color w:val="auto"/>
                <w:szCs w:val="21"/>
              </w:rPr>
            </w:pPr>
            <w:r>
              <w:rPr>
                <w:rFonts w:hint="eastAsia"/>
                <w:b/>
                <w:bCs/>
                <w:color w:val="auto"/>
                <w:szCs w:val="21"/>
                <w:lang w:val="en-US" w:eastAsia="zh-CN"/>
              </w:rPr>
              <w:t>3.3</w:t>
            </w:r>
            <w:r>
              <w:rPr>
                <w:b/>
                <w:bCs/>
                <w:color w:val="auto"/>
                <w:szCs w:val="21"/>
              </w:rPr>
              <w:t>声环境</w:t>
            </w:r>
          </w:p>
          <w:p w14:paraId="2839E4AA">
            <w:pPr>
              <w:spacing w:line="360" w:lineRule="auto"/>
              <w:ind w:firstLine="420" w:firstLineChars="200"/>
              <w:rPr>
                <w:rFonts w:hint="eastAsia"/>
                <w:color w:val="auto"/>
                <w:szCs w:val="21"/>
                <w:lang w:val="en-US" w:eastAsia="zh-CN"/>
              </w:rPr>
            </w:pPr>
            <w:r>
              <w:rPr>
                <w:rFonts w:hint="eastAsia"/>
                <w:color w:val="auto"/>
                <w:szCs w:val="21"/>
                <w:lang w:val="en-US" w:eastAsia="zh-CN"/>
              </w:rPr>
              <w:t>为了解区域声环境质量现状，建设单位委托山西魏立环境检测有限公司对场址四周及声环境敏感目标进行了现状监测，监测时间为2024年8月20日，昼夜各监测1次。</w:t>
            </w:r>
          </w:p>
          <w:p w14:paraId="747BB5EA">
            <w:pPr>
              <w:pStyle w:val="14"/>
              <w:spacing w:line="360" w:lineRule="auto"/>
              <w:ind w:firstLine="480"/>
              <w:rPr>
                <w:szCs w:val="21"/>
              </w:rPr>
            </w:pPr>
            <w:r>
              <w:rPr>
                <w:szCs w:val="21"/>
              </w:rPr>
              <w:t>（1）监测布点</w:t>
            </w:r>
          </w:p>
          <w:p w14:paraId="1A1BAE12">
            <w:pPr>
              <w:pStyle w:val="14"/>
              <w:spacing w:line="360" w:lineRule="auto"/>
              <w:ind w:firstLine="480"/>
              <w:rPr>
                <w:szCs w:val="21"/>
              </w:rPr>
            </w:pPr>
            <w:r>
              <w:rPr>
                <w:sz w:val="21"/>
              </w:rPr>
              <w:pict>
                <v:shape id="_x0000_s2119" o:spid="_x0000_s2119" o:spt="5" type="#_x0000_t5" style="position:absolute;left:0pt;margin-left:182.85pt;margin-top:38.75pt;height:9.75pt;width:12.75pt;z-index:251693056;mso-width-relative:page;mso-height-relative:page;" fillcolor="#000000" filled="t" stroked="t" coordsize="21600,21600" adj="10800">
                  <v:path/>
                  <v:fill on="t" color2="#FFFFFF" focussize="0,0"/>
                  <v:stroke color="#000000" joinstyle="miter"/>
                  <v:imagedata o:title=""/>
                  <o:lock v:ext="edit" aspectratio="f"/>
                </v:shape>
              </w:pict>
            </w:r>
            <w:r>
              <w:rPr>
                <w:sz w:val="21"/>
              </w:rPr>
              <w:pict>
                <v:shape id="_x0000_s2097" o:spid="_x0000_s2097" o:spt="202" type="#_x0000_t202" style="position:absolute;left:0pt;margin-left:189.8pt;margin-top:25.6pt;height:26.05pt;width:31.3pt;z-index:251688960;mso-width-relative:page;mso-height-relative:page;" filled="f" stroked="f" coordsize="21600,21600">
                  <v:path/>
                  <v:fill on="f" focussize="0,0"/>
                  <v:stroke on="f"/>
                  <v:imagedata o:title=""/>
                  <o:lock v:ext="edit" aspectratio="f"/>
                  <v:textbox>
                    <w:txbxContent>
                      <w:p w14:paraId="1FEA248E">
                        <w:pPr>
                          <w:jc w:val="center"/>
                        </w:pPr>
                        <w:r>
                          <w:rPr>
                            <w:rFonts w:hint="eastAsia"/>
                            <w:lang w:val="en-US" w:eastAsia="zh-CN"/>
                          </w:rPr>
                          <w:t>3</w:t>
                        </w:r>
                        <w:r>
                          <w:rPr>
                            <w:rFonts w:hint="eastAsia"/>
                          </w:rPr>
                          <w:t>#</w:t>
                        </w:r>
                      </w:p>
                    </w:txbxContent>
                  </v:textbox>
                </v:shape>
              </w:pict>
            </w:r>
            <w:r>
              <w:rPr>
                <w:szCs w:val="21"/>
              </w:rPr>
              <w:t>根据项目所在区域概况，在项目</w:t>
            </w:r>
            <w:r>
              <w:rPr>
                <w:rFonts w:hint="eastAsia"/>
                <w:szCs w:val="21"/>
              </w:rPr>
              <w:t>南侧</w:t>
            </w:r>
            <w:r>
              <w:rPr>
                <w:rFonts w:hint="eastAsia"/>
                <w:szCs w:val="21"/>
                <w:lang w:val="en-US" w:eastAsia="zh-CN"/>
              </w:rPr>
              <w:t>55m处御东观澜湾2#楼北侧设置1个声环境现状监控点，场址四周设置4个监控点。</w:t>
            </w:r>
          </w:p>
          <w:p w14:paraId="4B5D0925">
            <w:pPr>
              <w:spacing w:line="480" w:lineRule="exact"/>
              <w:ind w:firstLine="420" w:firstLineChars="200"/>
              <w:rPr>
                <w:szCs w:val="21"/>
                <w:lang w:val="zh-CN"/>
              </w:rPr>
            </w:pPr>
            <w:r>
              <w:rPr>
                <w:sz w:val="21"/>
              </w:rPr>
              <w:pict>
                <v:shape id="_x0000_s2090" o:spid="_x0000_s2090" o:spt="202" type="#_x0000_t202" style="position:absolute;left:0pt;margin-left:271.55pt;margin-top:23.75pt;height:26.05pt;width:31.3pt;z-index:251687936;mso-width-relative:page;mso-height-relative:page;" filled="f" stroked="f" coordsize="21600,21600">
                  <v:path/>
                  <v:fill on="f" focussize="0,0"/>
                  <v:stroke on="f"/>
                  <v:imagedata o:title=""/>
                  <o:lock v:ext="edit" aspectratio="f"/>
                  <v:textbox>
                    <w:txbxContent>
                      <w:p w14:paraId="459F5757">
                        <w:pPr>
                          <w:jc w:val="center"/>
                        </w:pPr>
                        <w:r>
                          <w:rPr>
                            <w:rFonts w:hint="eastAsia"/>
                            <w:lang w:val="en-US" w:eastAsia="zh-CN"/>
                          </w:rPr>
                          <w:t>4</w:t>
                        </w:r>
                        <w:r>
                          <w:rPr>
                            <w:rFonts w:hint="eastAsia"/>
                          </w:rPr>
                          <w:t>#</w:t>
                        </w:r>
                      </w:p>
                    </w:txbxContent>
                  </v:textbox>
                </v:shape>
              </w:pict>
            </w:r>
            <w:r>
              <w:rPr>
                <w:b/>
                <w:color w:val="000000"/>
                <w:szCs w:val="21"/>
              </w:rPr>
              <w:pict>
                <v:rect id="_x0000_s2089" o:spid="_x0000_s2089" o:spt="1" style="position:absolute;left:0pt;margin-left:87.15pt;margin-top:8.9pt;height:58.6pt;width:182.55pt;z-index:251685888;mso-width-relative:page;mso-height-relative:page;" filled="f" coordsize="21600,21600">
                  <v:path/>
                  <v:fill on="f" focussize="0,0"/>
                  <v:stroke/>
                  <v:imagedata o:title=""/>
                  <o:lock v:ext="edit"/>
                  <v:textbox>
                    <w:txbxContent>
                      <w:p w14:paraId="1AE1B8D6"/>
                    </w:txbxContent>
                  </v:textbox>
                </v:rect>
              </w:pict>
            </w:r>
            <w:r>
              <w:rPr>
                <w:sz w:val="21"/>
              </w:rPr>
              <w:pict>
                <v:shape id="文本框 52" o:spid="_x0000_s2065" o:spt="202" type="#_x0000_t202" style="position:absolute;left:0pt;margin-left:342.05pt;margin-top:0.35pt;height:34.5pt;width:48.75pt;z-index:251681792;mso-width-relative:page;mso-height-relative:page;" filled="f" stroked="f" coordsize="21600,21600">
                  <v:path/>
                  <v:fill on="f" focussize="0,0"/>
                  <v:stroke on="f"/>
                  <v:imagedata o:title=""/>
                  <o:lock v:ext="edit" aspectratio="f"/>
                  <v:textbox>
                    <w:txbxContent>
                      <w:p w14:paraId="71A8FFAF">
                        <w:pPr>
                          <w:rPr>
                            <w:b/>
                            <w:bCs/>
                            <w:sz w:val="30"/>
                            <w:szCs w:val="30"/>
                          </w:rPr>
                        </w:pPr>
                        <w:r>
                          <w:rPr>
                            <w:rFonts w:hint="eastAsia"/>
                            <w:b/>
                            <w:bCs/>
                            <w:sz w:val="30"/>
                            <w:szCs w:val="30"/>
                          </w:rPr>
                          <w:t>N</w:t>
                        </w:r>
                      </w:p>
                    </w:txbxContent>
                  </v:textbox>
                </v:shape>
              </w:pict>
            </w:r>
            <w:r>
              <w:rPr>
                <w:sz w:val="21"/>
              </w:rPr>
              <w:pict>
                <v:shape id="自选图形 51" o:spid="_x0000_s2064" o:spt="68" type="#_x0000_t68" style="position:absolute;left:0pt;margin-left:337.25pt;margin-top:14.85pt;height:27.5pt;width:8.5pt;z-index:251669504;mso-width-relative:page;mso-height-relative:page;" fillcolor="#000000" filled="t" stroked="t" coordsize="21600,21600" adj="5400,5400">
                  <v:path/>
                  <v:fill on="t" color2="#FFFFFF" focussize="0,0"/>
                  <v:stroke color="#000000" joinstyle="miter"/>
                  <v:imagedata o:title=""/>
                  <o:lock v:ext="edit" aspectratio="f"/>
                </v:shape>
              </w:pict>
            </w:r>
          </w:p>
          <w:p w14:paraId="6AAEF45A">
            <w:pPr>
              <w:spacing w:line="480" w:lineRule="exact"/>
              <w:ind w:firstLine="420" w:firstLineChars="200"/>
              <w:rPr>
                <w:szCs w:val="21"/>
                <w:lang w:val="zh-CN"/>
              </w:rPr>
            </w:pPr>
            <w:r>
              <w:rPr>
                <w:sz w:val="21"/>
              </w:rPr>
              <w:pict>
                <v:shape id="_x0000_s2120" o:spid="_x0000_s2120" o:spt="5" type="#_x0000_t5" style="position:absolute;left:0pt;margin-left:74.9pt;margin-top:9.9pt;height:9.75pt;width:12.75pt;z-index:251694080;mso-width-relative:page;mso-height-relative:page;" fillcolor="#000000" filled="t" stroked="t" coordsize="21600,21600" adj="10800">
                  <v:path/>
                  <v:fill on="t" color2="#FFFFFF" focussize="0,0"/>
                  <v:stroke color="#000000" joinstyle="miter"/>
                  <v:imagedata o:title=""/>
                  <o:lock v:ext="edit" aspectratio="f"/>
                </v:shape>
              </w:pict>
            </w:r>
            <w:r>
              <w:rPr>
                <w:sz w:val="21"/>
              </w:rPr>
              <w:pict>
                <v:shape id="_x0000_s2116" o:spid="_x0000_s2116" o:spt="5" type="#_x0000_t5" style="position:absolute;left:0pt;margin-left:268.8pt;margin-top:7.45pt;height:9.75pt;width:12.75pt;z-index:251692032;mso-width-relative:page;mso-height-relative:page;" fillcolor="#000000" filled="t" stroked="t" coordsize="21600,21600" adj="10800">
                  <v:path/>
                  <v:fill on="t" color2="#FFFFFF" focussize="0,0"/>
                  <v:stroke color="#000000" joinstyle="miter"/>
                  <v:imagedata o:title=""/>
                  <o:lock v:ext="edit" aspectratio="f"/>
                </v:shape>
              </w:pict>
            </w:r>
            <w:r>
              <w:rPr>
                <w:sz w:val="21"/>
              </w:rPr>
              <w:pict>
                <v:shape id="_x0000_s2115" o:spid="_x0000_s2115" o:spt="202" type="#_x0000_t202" style="position:absolute;left:0pt;margin-left:55pt;margin-top:3.4pt;height:26.05pt;width:31.3pt;z-index:251691008;mso-width-relative:page;mso-height-relative:page;" filled="f" stroked="f" coordsize="21600,21600">
                  <v:path/>
                  <v:fill on="f" focussize="0,0"/>
                  <v:stroke on="f"/>
                  <v:imagedata o:title=""/>
                  <o:lock v:ext="edit" aspectratio="f"/>
                  <v:textbox>
                    <w:txbxContent>
                      <w:p w14:paraId="5CC03463">
                        <w:pPr>
                          <w:jc w:val="center"/>
                        </w:pPr>
                        <w:r>
                          <w:rPr>
                            <w:rFonts w:hint="eastAsia"/>
                            <w:lang w:val="en-US" w:eastAsia="zh-CN"/>
                          </w:rPr>
                          <w:t>2</w:t>
                        </w:r>
                        <w:r>
                          <w:rPr>
                            <w:rFonts w:hint="eastAsia"/>
                          </w:rPr>
                          <w:t>#</w:t>
                        </w:r>
                      </w:p>
                    </w:txbxContent>
                  </v:textbox>
                </v:shape>
              </w:pict>
            </w:r>
          </w:p>
          <w:p w14:paraId="34F5359D">
            <w:pPr>
              <w:spacing w:line="480" w:lineRule="exact"/>
              <w:ind w:firstLine="420" w:firstLineChars="200"/>
              <w:rPr>
                <w:szCs w:val="21"/>
                <w:lang w:val="zh-CN"/>
              </w:rPr>
            </w:pPr>
            <w:r>
              <w:rPr>
                <w:sz w:val="21"/>
              </w:rPr>
              <w:pict>
                <v:shape id="_x0000_s2165" o:spid="_x0000_s2165" o:spt="5" type="#_x0000_t5" style="position:absolute;left:0pt;margin-left:173.1pt;margin-top:21.25pt;height:9.75pt;width:12.75pt;z-index:251695104;mso-width-relative:page;mso-height-relative:page;" fillcolor="#000000" filled="t" stroked="t" coordsize="21600,21600" adj="10800">
                  <v:path/>
                  <v:fill on="t" color2="#FFFFFF" focussize="0,0"/>
                  <v:stroke color="#000000" joinstyle="miter"/>
                  <v:imagedata o:title=""/>
                  <o:lock v:ext="edit" aspectratio="f"/>
                </v:shape>
              </w:pict>
            </w:r>
            <w:r>
              <w:rPr>
                <w:sz w:val="21"/>
              </w:rPr>
              <w:pict>
                <v:shape id="_x0000_s2109" o:spid="_x0000_s2109" o:spt="202" type="#_x0000_t202" style="position:absolute;left:0pt;margin-left:156.25pt;margin-top:15.4pt;height:26.05pt;width:31.3pt;z-index:251689984;mso-width-relative:page;mso-height-relative:page;" filled="f" stroked="f" coordsize="21600,21600">
                  <v:path/>
                  <v:fill on="f" focussize="0,0"/>
                  <v:stroke on="f"/>
                  <v:imagedata o:title=""/>
                  <o:lock v:ext="edit" aspectratio="f"/>
                  <v:textbox>
                    <w:txbxContent>
                      <w:p w14:paraId="6ED2D04B">
                        <w:pPr>
                          <w:jc w:val="center"/>
                        </w:pPr>
                        <w:r>
                          <w:rPr>
                            <w:rFonts w:hint="eastAsia"/>
                            <w:lang w:val="en-US" w:eastAsia="zh-CN"/>
                          </w:rPr>
                          <w:t>1</w:t>
                        </w:r>
                        <w:r>
                          <w:rPr>
                            <w:rFonts w:hint="eastAsia"/>
                          </w:rPr>
                          <w:t>#</w:t>
                        </w:r>
                      </w:p>
                    </w:txbxContent>
                  </v:textbox>
                </v:shape>
              </w:pict>
            </w:r>
            <w:r>
              <w:rPr>
                <w:sz w:val="21"/>
              </w:rPr>
              <w:pict>
                <v:shape id="_x0000_s2087" o:spid="_x0000_s2087" o:spt="32" type="#_x0000_t32" style="position:absolute;left:0pt;flip:x;margin-left:204.45pt;margin-top:19.05pt;height:33.1pt;width:0.3pt;z-index:251675648;mso-width-relative:page;mso-height-relative:page;" filled="f" stroked="t" coordsize="21600,21600">
                  <v:path arrowok="t"/>
                  <v:fill on="f" focussize="0,0"/>
                  <v:stroke color="#000000" endarrow="block"/>
                  <v:imagedata o:title=""/>
                  <o:lock v:ext="edit" aspectratio="f"/>
                </v:shape>
              </w:pict>
            </w:r>
            <w:r>
              <w:rPr>
                <w:sz w:val="21"/>
              </w:rPr>
              <w:pict>
                <v:shape id="_x0000_s2088" o:spid="_x0000_s2088" o:spt="202" type="#_x0000_t202" style="position:absolute;left:0pt;margin-left:206.6pt;margin-top:17.65pt;height:24.05pt;width:39.8pt;z-index:251686912;mso-width-relative:page;mso-height-relative:page;" filled="f" stroked="f" coordsize="21600,21600">
                  <v:path/>
                  <v:fill on="f" focussize="0,0"/>
                  <v:stroke on="f"/>
                  <v:imagedata o:title=""/>
                  <o:lock v:ext="edit" aspectratio="f"/>
                  <v:textbox>
                    <w:txbxContent>
                      <w:p w14:paraId="46DCA3EF">
                        <w:pPr>
                          <w:jc w:val="center"/>
                        </w:pPr>
                        <w:r>
                          <w:rPr>
                            <w:rFonts w:hint="eastAsia"/>
                            <w:lang w:val="en-US" w:eastAsia="zh-CN"/>
                          </w:rPr>
                          <w:t>5</w:t>
                        </w:r>
                        <w:r>
                          <w:rPr>
                            <w:rFonts w:hint="eastAsia"/>
                          </w:rPr>
                          <w:t>5m</w:t>
                        </w:r>
                      </w:p>
                    </w:txbxContent>
                  </v:textbox>
                </v:shape>
              </w:pict>
            </w:r>
          </w:p>
          <w:p w14:paraId="31E46397">
            <w:pPr>
              <w:spacing w:line="480" w:lineRule="exact"/>
              <w:ind w:firstLine="420" w:firstLineChars="200"/>
              <w:rPr>
                <w:szCs w:val="21"/>
                <w:lang w:val="zh-CN"/>
              </w:rPr>
            </w:pPr>
            <w:r>
              <w:rPr>
                <w:sz w:val="21"/>
              </w:rPr>
              <w:pict>
                <v:shape id="_x0000_s2069" o:spid="_x0000_s2069" o:spt="202" type="#_x0000_t202" style="position:absolute;left:0pt;margin-left:170.35pt;margin-top:16.4pt;height:26.05pt;width:31.3pt;z-index:251670528;mso-width-relative:page;mso-height-relative:page;" filled="f" stroked="f" coordsize="21600,21600">
                  <v:path/>
                  <v:fill on="f" focussize="0,0"/>
                  <v:stroke on="f"/>
                  <v:imagedata o:title=""/>
                  <o:lock v:ext="edit" aspectratio="f"/>
                  <v:textbox>
                    <w:txbxContent>
                      <w:p w14:paraId="23409A4D">
                        <w:pPr>
                          <w:jc w:val="center"/>
                        </w:pPr>
                        <w:r>
                          <w:rPr>
                            <w:rFonts w:hint="eastAsia"/>
                            <w:lang w:val="en-US" w:eastAsia="zh-CN"/>
                          </w:rPr>
                          <w:t>5</w:t>
                        </w:r>
                        <w:r>
                          <w:rPr>
                            <w:rFonts w:hint="eastAsia"/>
                          </w:rPr>
                          <w:t>#</w:t>
                        </w:r>
                      </w:p>
                    </w:txbxContent>
                  </v:textbox>
                </v:shape>
              </w:pict>
            </w:r>
            <w:r>
              <w:rPr>
                <w:sz w:val="21"/>
              </w:rPr>
              <w:pict>
                <v:shape id="_x0000_s2067" o:spid="_x0000_s2067" o:spt="5" type="#_x0000_t5" style="position:absolute;left:0pt;margin-left:195.65pt;margin-top:22.85pt;height:9.75pt;width:12.75pt;z-index:251683840;mso-width-relative:page;mso-height-relative:page;" fillcolor="#000000" filled="t" stroked="t" coordsize="21600,21600" adj="10800">
                  <v:path/>
                  <v:fill on="t" color2="#FFFFFF" focussize="0,0"/>
                  <v:stroke color="#000000" joinstyle="miter"/>
                  <v:imagedata o:title=""/>
                  <o:lock v:ext="edit" aspectratio="f"/>
                </v:shape>
              </w:pict>
            </w:r>
          </w:p>
          <w:p w14:paraId="59C6E3C7">
            <w:pPr>
              <w:spacing w:line="480" w:lineRule="exact"/>
              <w:ind w:firstLine="420" w:firstLineChars="200"/>
              <w:rPr>
                <w:szCs w:val="21"/>
                <w:lang w:val="zh-CN"/>
              </w:rPr>
            </w:pPr>
            <w:r>
              <w:rPr>
                <w:sz w:val="21"/>
              </w:rPr>
              <w:pict>
                <v:rect id="_x0000_s2066" o:spid="_x0000_s2066" o:spt="1" style="position:absolute;left:0pt;margin-left:177.45pt;margin-top:8.25pt;height:21.65pt;width:55.7pt;rotation:-655360f;z-index:251682816;mso-width-relative:page;mso-height-relative:page;" filled="f" stroked="t" coordsize="21600,21600">
                  <v:path/>
                  <v:fill on="f" focussize="0,0"/>
                  <v:stroke color="#000000" joinstyle="miter"/>
                  <v:imagedata o:title=""/>
                  <o:lock v:ext="edit" aspectratio="f"/>
                  <v:textbox>
                    <w:txbxContent>
                      <w:p w14:paraId="395E7E26">
                        <w:pPr>
                          <w:jc w:val="center"/>
                          <w:rPr>
                            <w:rFonts w:hint="default" w:eastAsia="宋体"/>
                            <w:lang w:val="en-US" w:eastAsia="zh-CN"/>
                          </w:rPr>
                        </w:pPr>
                        <w:r>
                          <w:rPr>
                            <w:rFonts w:hint="eastAsia"/>
                            <w:lang w:val="en-US" w:eastAsia="zh-CN"/>
                          </w:rPr>
                          <w:t>2#楼</w:t>
                        </w:r>
                      </w:p>
                    </w:txbxContent>
                  </v:textbox>
                </v:rect>
              </w:pict>
            </w:r>
          </w:p>
          <w:p w14:paraId="78B727FF">
            <w:pPr>
              <w:pStyle w:val="14"/>
              <w:spacing w:line="360" w:lineRule="auto"/>
              <w:ind w:firstLine="480"/>
              <w:rPr>
                <w:szCs w:val="21"/>
              </w:rPr>
            </w:pPr>
            <w:r>
              <w:rPr>
                <w:szCs w:val="21"/>
              </w:rPr>
              <w:t>（2）监测时间</w:t>
            </w:r>
          </w:p>
          <w:p w14:paraId="6E633710">
            <w:pPr>
              <w:pStyle w:val="14"/>
              <w:spacing w:line="360" w:lineRule="auto"/>
              <w:ind w:firstLine="480"/>
              <w:rPr>
                <w:szCs w:val="21"/>
              </w:rPr>
            </w:pPr>
            <w:r>
              <w:rPr>
                <w:szCs w:val="21"/>
              </w:rPr>
              <w:t>20</w:t>
            </w:r>
            <w:r>
              <w:rPr>
                <w:rFonts w:hint="eastAsia"/>
                <w:szCs w:val="21"/>
              </w:rPr>
              <w:t>2</w:t>
            </w:r>
            <w:r>
              <w:rPr>
                <w:rFonts w:hint="eastAsia"/>
                <w:szCs w:val="21"/>
                <w:lang w:val="en-US" w:eastAsia="zh-CN"/>
              </w:rPr>
              <w:t>4</w:t>
            </w:r>
            <w:r>
              <w:rPr>
                <w:szCs w:val="21"/>
              </w:rPr>
              <w:t>年</w:t>
            </w:r>
            <w:r>
              <w:rPr>
                <w:rFonts w:hint="eastAsia"/>
                <w:szCs w:val="21"/>
                <w:lang w:val="en-US" w:eastAsia="zh-CN"/>
              </w:rPr>
              <w:t>8</w:t>
            </w:r>
            <w:r>
              <w:rPr>
                <w:szCs w:val="21"/>
              </w:rPr>
              <w:t>月</w:t>
            </w:r>
            <w:r>
              <w:rPr>
                <w:rFonts w:hint="eastAsia"/>
                <w:szCs w:val="21"/>
              </w:rPr>
              <w:t>2</w:t>
            </w:r>
            <w:r>
              <w:rPr>
                <w:rFonts w:hint="eastAsia"/>
                <w:szCs w:val="21"/>
                <w:lang w:val="en-US" w:eastAsia="zh-CN"/>
              </w:rPr>
              <w:t>0</w:t>
            </w:r>
            <w:r>
              <w:rPr>
                <w:szCs w:val="21"/>
              </w:rPr>
              <w:t>日，分昼、夜两次进行监测。</w:t>
            </w:r>
          </w:p>
          <w:p w14:paraId="6CA393FB">
            <w:pPr>
              <w:pStyle w:val="14"/>
              <w:spacing w:line="360" w:lineRule="auto"/>
              <w:ind w:firstLine="480"/>
              <w:rPr>
                <w:szCs w:val="21"/>
                <w:lang w:val="zh-CN"/>
              </w:rPr>
            </w:pPr>
            <w:r>
              <w:rPr>
                <w:szCs w:val="21"/>
                <w:lang w:val="zh-CN"/>
              </w:rPr>
              <w:t>（3）</w:t>
            </w:r>
            <w:r>
              <w:rPr>
                <w:szCs w:val="21"/>
              </w:rPr>
              <w:t>监测工况：</w:t>
            </w:r>
            <w:r>
              <w:rPr>
                <w:rFonts w:hint="eastAsia"/>
                <w:szCs w:val="21"/>
              </w:rPr>
              <w:t>本工程</w:t>
            </w:r>
            <w:r>
              <w:rPr>
                <w:szCs w:val="21"/>
              </w:rPr>
              <w:t>未开工建设。</w:t>
            </w:r>
          </w:p>
          <w:p w14:paraId="53B71787">
            <w:pPr>
              <w:pStyle w:val="14"/>
              <w:spacing w:line="360" w:lineRule="auto"/>
              <w:ind w:firstLine="480"/>
              <w:rPr>
                <w:szCs w:val="21"/>
                <w:lang w:val="zh-CN"/>
              </w:rPr>
            </w:pPr>
            <w:r>
              <w:rPr>
                <w:rFonts w:hint="eastAsia"/>
                <w:szCs w:val="21"/>
                <w:lang w:val="zh-CN"/>
              </w:rPr>
              <w:t>（4）</w:t>
            </w:r>
            <w:r>
              <w:rPr>
                <w:szCs w:val="21"/>
                <w:lang w:val="zh-CN"/>
              </w:rPr>
              <w:t>监测结果统计</w:t>
            </w:r>
          </w:p>
          <w:p w14:paraId="1A88B919">
            <w:pPr>
              <w:pStyle w:val="153"/>
              <w:spacing w:before="0" w:after="0" w:line="240" w:lineRule="exact"/>
              <w:ind w:firstLine="828"/>
              <w:rPr>
                <w:color w:val="auto"/>
                <w:sz w:val="18"/>
                <w:szCs w:val="18"/>
              </w:rPr>
            </w:pPr>
            <w:r>
              <w:rPr>
                <w:color w:val="auto"/>
                <w:sz w:val="18"/>
                <w:szCs w:val="18"/>
              </w:rPr>
              <w:t>表3-</w:t>
            </w:r>
            <w:r>
              <w:rPr>
                <w:rFonts w:hint="eastAsia"/>
                <w:color w:val="auto"/>
                <w:sz w:val="18"/>
                <w:szCs w:val="18"/>
                <w:lang w:val="en-US" w:eastAsia="zh-CN"/>
              </w:rPr>
              <w:t>3</w:t>
            </w:r>
            <w:r>
              <w:rPr>
                <w:rFonts w:hint="eastAsia"/>
                <w:color w:val="auto"/>
                <w:sz w:val="18"/>
                <w:szCs w:val="18"/>
              </w:rPr>
              <w:t xml:space="preserve">    </w:t>
            </w:r>
            <w:r>
              <w:rPr>
                <w:color w:val="auto"/>
                <w:sz w:val="18"/>
                <w:szCs w:val="18"/>
              </w:rPr>
              <w:t>噪声监测结果统计表</w:t>
            </w:r>
          </w:p>
          <w:tbl>
            <w:tblPr>
              <w:tblStyle w:val="47"/>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2073"/>
              <w:gridCol w:w="734"/>
              <w:gridCol w:w="734"/>
              <w:gridCol w:w="734"/>
              <w:gridCol w:w="734"/>
              <w:gridCol w:w="734"/>
              <w:gridCol w:w="734"/>
              <w:gridCol w:w="734"/>
              <w:gridCol w:w="733"/>
            </w:tblGrid>
            <w:tr w14:paraId="71D6205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73" w:hRule="atLeast"/>
                <w:jc w:val="center"/>
              </w:trPr>
              <w:tc>
                <w:tcPr>
                  <w:tcW w:w="1305" w:type="pct"/>
                  <w:vMerge w:val="restart"/>
                  <w:vAlign w:val="center"/>
                </w:tcPr>
                <w:p w14:paraId="1428593E">
                  <w:pPr>
                    <w:jc w:val="center"/>
                    <w:rPr>
                      <w:sz w:val="18"/>
                      <w:szCs w:val="18"/>
                    </w:rPr>
                  </w:pPr>
                  <w:r>
                    <w:rPr>
                      <w:sz w:val="18"/>
                      <w:szCs w:val="18"/>
                    </w:rPr>
                    <w:t>点位</w:t>
                  </w:r>
                </w:p>
              </w:tc>
              <w:tc>
                <w:tcPr>
                  <w:tcW w:w="3695" w:type="pct"/>
                  <w:gridSpan w:val="8"/>
                  <w:vAlign w:val="center"/>
                </w:tcPr>
                <w:p w14:paraId="72BDF27D">
                  <w:pPr>
                    <w:jc w:val="center"/>
                    <w:rPr>
                      <w:sz w:val="18"/>
                      <w:szCs w:val="18"/>
                    </w:rPr>
                  </w:pPr>
                  <w:r>
                    <w:rPr>
                      <w:sz w:val="18"/>
                      <w:szCs w:val="18"/>
                    </w:rPr>
                    <w:t>20</w:t>
                  </w:r>
                  <w:r>
                    <w:rPr>
                      <w:rFonts w:hint="eastAsia"/>
                      <w:sz w:val="18"/>
                      <w:szCs w:val="18"/>
                    </w:rPr>
                    <w:t>23</w:t>
                  </w:r>
                  <w:r>
                    <w:rPr>
                      <w:sz w:val="18"/>
                      <w:szCs w:val="18"/>
                    </w:rPr>
                    <w:t>年</w:t>
                  </w:r>
                  <w:r>
                    <w:rPr>
                      <w:rFonts w:hint="eastAsia"/>
                      <w:sz w:val="18"/>
                      <w:szCs w:val="18"/>
                    </w:rPr>
                    <w:t>4</w:t>
                  </w:r>
                  <w:r>
                    <w:rPr>
                      <w:sz w:val="18"/>
                      <w:szCs w:val="18"/>
                    </w:rPr>
                    <w:t>月</w:t>
                  </w:r>
                  <w:r>
                    <w:rPr>
                      <w:rFonts w:hint="eastAsia"/>
                      <w:sz w:val="18"/>
                      <w:szCs w:val="18"/>
                    </w:rPr>
                    <w:t>22</w:t>
                  </w:r>
                  <w:r>
                    <w:rPr>
                      <w:sz w:val="18"/>
                      <w:szCs w:val="18"/>
                    </w:rPr>
                    <w:t>日</w:t>
                  </w:r>
                </w:p>
              </w:tc>
            </w:tr>
            <w:tr w14:paraId="264FD4E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00" w:hRule="atLeast"/>
                <w:jc w:val="center"/>
              </w:trPr>
              <w:tc>
                <w:tcPr>
                  <w:tcW w:w="1305" w:type="pct"/>
                  <w:vMerge w:val="continue"/>
                  <w:vAlign w:val="center"/>
                </w:tcPr>
                <w:p w14:paraId="186F91F2">
                  <w:pPr>
                    <w:jc w:val="center"/>
                    <w:rPr>
                      <w:sz w:val="18"/>
                      <w:szCs w:val="18"/>
                    </w:rPr>
                  </w:pPr>
                  <w:bookmarkStart w:id="5" w:name="OLE_LINK13" w:colFirst="1" w:colLast="2"/>
                </w:p>
              </w:tc>
              <w:tc>
                <w:tcPr>
                  <w:tcW w:w="1848" w:type="pct"/>
                  <w:gridSpan w:val="4"/>
                  <w:tcBorders>
                    <w:bottom w:val="single" w:color="auto" w:sz="4" w:space="0"/>
                  </w:tcBorders>
                  <w:vAlign w:val="center"/>
                </w:tcPr>
                <w:p w14:paraId="05A5F941">
                  <w:pPr>
                    <w:jc w:val="center"/>
                    <w:rPr>
                      <w:sz w:val="18"/>
                      <w:szCs w:val="18"/>
                    </w:rPr>
                  </w:pPr>
                  <w:r>
                    <w:rPr>
                      <w:sz w:val="18"/>
                      <w:szCs w:val="18"/>
                    </w:rPr>
                    <w:t>昼间</w:t>
                  </w:r>
                  <w:r>
                    <w:rPr>
                      <w:rFonts w:hint="eastAsia"/>
                      <w:sz w:val="18"/>
                      <w:szCs w:val="18"/>
                    </w:rPr>
                    <w:t>d</w:t>
                  </w:r>
                  <w:r>
                    <w:rPr>
                      <w:sz w:val="18"/>
                      <w:szCs w:val="18"/>
                    </w:rPr>
                    <w:t>B（</w:t>
                  </w:r>
                  <w:r>
                    <w:rPr>
                      <w:rFonts w:hint="eastAsia"/>
                      <w:sz w:val="18"/>
                      <w:szCs w:val="18"/>
                    </w:rPr>
                    <w:t>A）</w:t>
                  </w:r>
                </w:p>
              </w:tc>
              <w:tc>
                <w:tcPr>
                  <w:tcW w:w="1847" w:type="pct"/>
                  <w:gridSpan w:val="4"/>
                  <w:tcBorders>
                    <w:bottom w:val="single" w:color="auto" w:sz="4" w:space="0"/>
                  </w:tcBorders>
                  <w:vAlign w:val="center"/>
                </w:tcPr>
                <w:p w14:paraId="77DF29B7">
                  <w:pPr>
                    <w:jc w:val="center"/>
                    <w:rPr>
                      <w:sz w:val="18"/>
                      <w:szCs w:val="18"/>
                    </w:rPr>
                  </w:pPr>
                  <w:r>
                    <w:rPr>
                      <w:sz w:val="18"/>
                      <w:szCs w:val="18"/>
                    </w:rPr>
                    <w:t>夜间</w:t>
                  </w:r>
                  <w:r>
                    <w:rPr>
                      <w:rFonts w:hint="eastAsia"/>
                      <w:sz w:val="18"/>
                      <w:szCs w:val="18"/>
                    </w:rPr>
                    <w:t>d</w:t>
                  </w:r>
                  <w:r>
                    <w:rPr>
                      <w:sz w:val="18"/>
                      <w:szCs w:val="18"/>
                    </w:rPr>
                    <w:t>B（</w:t>
                  </w:r>
                  <w:r>
                    <w:rPr>
                      <w:rFonts w:hint="eastAsia"/>
                      <w:sz w:val="18"/>
                      <w:szCs w:val="18"/>
                    </w:rPr>
                    <w:t>A）</w:t>
                  </w:r>
                </w:p>
              </w:tc>
            </w:tr>
            <w:tr w14:paraId="0942FC2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94" w:hRule="atLeast"/>
                <w:jc w:val="center"/>
              </w:trPr>
              <w:tc>
                <w:tcPr>
                  <w:tcW w:w="1305" w:type="pct"/>
                  <w:vMerge w:val="continue"/>
                  <w:vAlign w:val="center"/>
                </w:tcPr>
                <w:p w14:paraId="28ADC02B">
                  <w:pPr>
                    <w:jc w:val="center"/>
                    <w:rPr>
                      <w:sz w:val="18"/>
                      <w:szCs w:val="18"/>
                    </w:rPr>
                  </w:pPr>
                </w:p>
              </w:tc>
              <w:tc>
                <w:tcPr>
                  <w:tcW w:w="462" w:type="pct"/>
                  <w:tcBorders>
                    <w:top w:val="single" w:color="auto" w:sz="4" w:space="0"/>
                    <w:right w:val="single" w:color="auto" w:sz="4" w:space="0"/>
                  </w:tcBorders>
                  <w:vAlign w:val="center"/>
                </w:tcPr>
                <w:p w14:paraId="3449F130">
                  <w:pPr>
                    <w:jc w:val="center"/>
                    <w:rPr>
                      <w:sz w:val="18"/>
                      <w:szCs w:val="18"/>
                    </w:rPr>
                  </w:pPr>
                  <w:r>
                    <w:rPr>
                      <w:sz w:val="18"/>
                      <w:szCs w:val="18"/>
                    </w:rPr>
                    <w:t>Leq</w:t>
                  </w:r>
                </w:p>
              </w:tc>
              <w:tc>
                <w:tcPr>
                  <w:tcW w:w="462" w:type="pct"/>
                  <w:tcBorders>
                    <w:top w:val="single" w:color="auto" w:sz="4" w:space="0"/>
                    <w:left w:val="single" w:color="auto" w:sz="4" w:space="0"/>
                    <w:right w:val="single" w:color="auto" w:sz="4" w:space="0"/>
                  </w:tcBorders>
                  <w:vAlign w:val="center"/>
                </w:tcPr>
                <w:p w14:paraId="620A0305">
                  <w:pPr>
                    <w:jc w:val="center"/>
                    <w:rPr>
                      <w:sz w:val="18"/>
                      <w:szCs w:val="18"/>
                    </w:rPr>
                  </w:pPr>
                  <w:r>
                    <w:rPr>
                      <w:rFonts w:hint="eastAsia"/>
                      <w:sz w:val="18"/>
                      <w:szCs w:val="18"/>
                    </w:rPr>
                    <w:t>L</w:t>
                  </w:r>
                  <w:r>
                    <w:rPr>
                      <w:rFonts w:hint="eastAsia"/>
                      <w:sz w:val="18"/>
                      <w:szCs w:val="18"/>
                      <w:vertAlign w:val="subscript"/>
                    </w:rPr>
                    <w:t>10</w:t>
                  </w:r>
                </w:p>
              </w:tc>
              <w:tc>
                <w:tcPr>
                  <w:tcW w:w="462" w:type="pct"/>
                  <w:tcBorders>
                    <w:top w:val="single" w:color="auto" w:sz="4" w:space="0"/>
                    <w:left w:val="single" w:color="auto" w:sz="4" w:space="0"/>
                    <w:right w:val="single" w:color="auto" w:sz="4" w:space="0"/>
                  </w:tcBorders>
                  <w:vAlign w:val="center"/>
                </w:tcPr>
                <w:p w14:paraId="647617F7">
                  <w:pPr>
                    <w:jc w:val="center"/>
                    <w:rPr>
                      <w:sz w:val="18"/>
                      <w:szCs w:val="18"/>
                    </w:rPr>
                  </w:pPr>
                  <w:r>
                    <w:rPr>
                      <w:rFonts w:hint="eastAsia"/>
                      <w:sz w:val="18"/>
                      <w:szCs w:val="18"/>
                    </w:rPr>
                    <w:t>L</w:t>
                  </w:r>
                  <w:r>
                    <w:rPr>
                      <w:rFonts w:hint="eastAsia"/>
                      <w:sz w:val="18"/>
                      <w:szCs w:val="18"/>
                      <w:vertAlign w:val="subscript"/>
                    </w:rPr>
                    <w:t>50</w:t>
                  </w:r>
                </w:p>
              </w:tc>
              <w:tc>
                <w:tcPr>
                  <w:tcW w:w="462" w:type="pct"/>
                  <w:tcBorders>
                    <w:top w:val="single" w:color="auto" w:sz="4" w:space="0"/>
                    <w:left w:val="single" w:color="auto" w:sz="4" w:space="0"/>
                  </w:tcBorders>
                  <w:vAlign w:val="center"/>
                </w:tcPr>
                <w:p w14:paraId="3F8FF10B">
                  <w:pPr>
                    <w:jc w:val="center"/>
                    <w:rPr>
                      <w:sz w:val="18"/>
                      <w:szCs w:val="18"/>
                    </w:rPr>
                  </w:pPr>
                  <w:r>
                    <w:rPr>
                      <w:rFonts w:hint="eastAsia"/>
                      <w:sz w:val="18"/>
                      <w:szCs w:val="18"/>
                    </w:rPr>
                    <w:t>L</w:t>
                  </w:r>
                  <w:r>
                    <w:rPr>
                      <w:rFonts w:hint="eastAsia"/>
                      <w:sz w:val="18"/>
                      <w:szCs w:val="18"/>
                      <w:vertAlign w:val="subscript"/>
                    </w:rPr>
                    <w:t>90</w:t>
                  </w:r>
                </w:p>
              </w:tc>
              <w:tc>
                <w:tcPr>
                  <w:tcW w:w="462" w:type="pct"/>
                  <w:tcBorders>
                    <w:top w:val="single" w:color="auto" w:sz="4" w:space="0"/>
                    <w:right w:val="single" w:color="auto" w:sz="4" w:space="0"/>
                  </w:tcBorders>
                  <w:vAlign w:val="center"/>
                </w:tcPr>
                <w:p w14:paraId="35AC7B5A">
                  <w:pPr>
                    <w:jc w:val="center"/>
                    <w:rPr>
                      <w:sz w:val="18"/>
                      <w:szCs w:val="18"/>
                    </w:rPr>
                  </w:pPr>
                  <w:r>
                    <w:rPr>
                      <w:sz w:val="18"/>
                      <w:szCs w:val="18"/>
                    </w:rPr>
                    <w:t>Leq</w:t>
                  </w:r>
                </w:p>
              </w:tc>
              <w:tc>
                <w:tcPr>
                  <w:tcW w:w="462" w:type="pct"/>
                  <w:tcBorders>
                    <w:top w:val="single" w:color="auto" w:sz="4" w:space="0"/>
                    <w:left w:val="single" w:color="auto" w:sz="4" w:space="0"/>
                    <w:right w:val="single" w:color="auto" w:sz="4" w:space="0"/>
                  </w:tcBorders>
                  <w:vAlign w:val="center"/>
                </w:tcPr>
                <w:p w14:paraId="34FD11E3">
                  <w:pPr>
                    <w:jc w:val="center"/>
                    <w:rPr>
                      <w:sz w:val="18"/>
                      <w:szCs w:val="18"/>
                    </w:rPr>
                  </w:pPr>
                  <w:r>
                    <w:rPr>
                      <w:rFonts w:hint="eastAsia"/>
                      <w:sz w:val="18"/>
                      <w:szCs w:val="18"/>
                    </w:rPr>
                    <w:t>L</w:t>
                  </w:r>
                  <w:r>
                    <w:rPr>
                      <w:rFonts w:hint="eastAsia"/>
                      <w:sz w:val="18"/>
                      <w:szCs w:val="18"/>
                      <w:vertAlign w:val="subscript"/>
                    </w:rPr>
                    <w:t>10</w:t>
                  </w:r>
                </w:p>
              </w:tc>
              <w:tc>
                <w:tcPr>
                  <w:tcW w:w="462" w:type="pct"/>
                  <w:tcBorders>
                    <w:top w:val="single" w:color="auto" w:sz="4" w:space="0"/>
                    <w:left w:val="single" w:color="auto" w:sz="4" w:space="0"/>
                    <w:right w:val="single" w:color="auto" w:sz="4" w:space="0"/>
                  </w:tcBorders>
                  <w:vAlign w:val="center"/>
                </w:tcPr>
                <w:p w14:paraId="7B981A8A">
                  <w:pPr>
                    <w:jc w:val="center"/>
                    <w:rPr>
                      <w:sz w:val="18"/>
                      <w:szCs w:val="18"/>
                    </w:rPr>
                  </w:pPr>
                  <w:r>
                    <w:rPr>
                      <w:rFonts w:hint="eastAsia"/>
                      <w:sz w:val="18"/>
                      <w:szCs w:val="18"/>
                    </w:rPr>
                    <w:t>L</w:t>
                  </w:r>
                  <w:r>
                    <w:rPr>
                      <w:rFonts w:hint="eastAsia"/>
                      <w:sz w:val="18"/>
                      <w:szCs w:val="18"/>
                      <w:vertAlign w:val="subscript"/>
                    </w:rPr>
                    <w:t>50</w:t>
                  </w:r>
                </w:p>
              </w:tc>
              <w:tc>
                <w:tcPr>
                  <w:tcW w:w="461" w:type="pct"/>
                  <w:tcBorders>
                    <w:top w:val="single" w:color="auto" w:sz="4" w:space="0"/>
                    <w:left w:val="single" w:color="auto" w:sz="4" w:space="0"/>
                  </w:tcBorders>
                  <w:vAlign w:val="center"/>
                </w:tcPr>
                <w:p w14:paraId="075275A3">
                  <w:pPr>
                    <w:jc w:val="center"/>
                    <w:rPr>
                      <w:sz w:val="18"/>
                      <w:szCs w:val="18"/>
                    </w:rPr>
                  </w:pPr>
                  <w:r>
                    <w:rPr>
                      <w:rFonts w:hint="eastAsia"/>
                      <w:sz w:val="18"/>
                      <w:szCs w:val="18"/>
                    </w:rPr>
                    <w:t>L</w:t>
                  </w:r>
                  <w:r>
                    <w:rPr>
                      <w:rFonts w:hint="eastAsia"/>
                      <w:sz w:val="18"/>
                      <w:szCs w:val="18"/>
                      <w:vertAlign w:val="subscript"/>
                    </w:rPr>
                    <w:t>90</w:t>
                  </w:r>
                </w:p>
              </w:tc>
            </w:tr>
            <w:bookmarkEnd w:id="5"/>
            <w:tr w14:paraId="32439D0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4" w:hRule="atLeast"/>
                <w:jc w:val="center"/>
              </w:trPr>
              <w:tc>
                <w:tcPr>
                  <w:tcW w:w="1305" w:type="pct"/>
                  <w:vAlign w:val="center"/>
                </w:tcPr>
                <w:p w14:paraId="49F4F0E7">
                  <w:pPr>
                    <w:jc w:val="center"/>
                    <w:rPr>
                      <w:rFonts w:hint="default" w:eastAsia="宋体"/>
                      <w:sz w:val="18"/>
                      <w:szCs w:val="18"/>
                      <w:lang w:val="en-US" w:eastAsia="zh-CN"/>
                    </w:rPr>
                  </w:pPr>
                  <w:r>
                    <w:rPr>
                      <w:rFonts w:hint="eastAsia"/>
                      <w:sz w:val="18"/>
                      <w:szCs w:val="18"/>
                    </w:rPr>
                    <w:t>1</w:t>
                  </w:r>
                  <w:r>
                    <w:rPr>
                      <w:sz w:val="18"/>
                      <w:szCs w:val="18"/>
                      <w:vertAlign w:val="superscript"/>
                    </w:rPr>
                    <w:t>#</w:t>
                  </w:r>
                  <w:r>
                    <w:rPr>
                      <w:rFonts w:hint="eastAsia"/>
                      <w:sz w:val="18"/>
                      <w:szCs w:val="18"/>
                      <w:vertAlign w:val="baseline"/>
                      <w:lang w:val="en-US" w:eastAsia="zh-CN"/>
                    </w:rPr>
                    <w:t>场址南</w:t>
                  </w:r>
                </w:p>
              </w:tc>
              <w:tc>
                <w:tcPr>
                  <w:tcW w:w="462" w:type="pct"/>
                  <w:tcBorders>
                    <w:right w:val="single" w:color="auto" w:sz="4" w:space="0"/>
                  </w:tcBorders>
                  <w:vAlign w:val="center"/>
                </w:tcPr>
                <w:p w14:paraId="436DD04A">
                  <w:pPr>
                    <w:tabs>
                      <w:tab w:val="left" w:pos="670"/>
                    </w:tabs>
                    <w:jc w:val="center"/>
                    <w:rPr>
                      <w:rFonts w:hint="default" w:eastAsia="宋体"/>
                      <w:sz w:val="18"/>
                      <w:szCs w:val="18"/>
                      <w:lang w:val="en-US" w:eastAsia="zh-CN"/>
                    </w:rPr>
                  </w:pPr>
                  <w:r>
                    <w:rPr>
                      <w:rFonts w:hint="eastAsia"/>
                      <w:sz w:val="18"/>
                      <w:szCs w:val="18"/>
                      <w:lang w:val="en-US" w:eastAsia="zh-CN"/>
                    </w:rPr>
                    <w:t>48.6</w:t>
                  </w:r>
                </w:p>
              </w:tc>
              <w:tc>
                <w:tcPr>
                  <w:tcW w:w="462" w:type="pct"/>
                  <w:tcBorders>
                    <w:left w:val="single" w:color="auto" w:sz="4" w:space="0"/>
                    <w:right w:val="single" w:color="auto" w:sz="4" w:space="0"/>
                  </w:tcBorders>
                  <w:vAlign w:val="center"/>
                </w:tcPr>
                <w:p w14:paraId="03C67C02">
                  <w:pPr>
                    <w:tabs>
                      <w:tab w:val="left" w:pos="670"/>
                    </w:tabs>
                    <w:jc w:val="center"/>
                    <w:rPr>
                      <w:rFonts w:hint="default" w:eastAsia="宋体"/>
                      <w:sz w:val="18"/>
                      <w:szCs w:val="18"/>
                      <w:lang w:val="en-US" w:eastAsia="zh-CN"/>
                    </w:rPr>
                  </w:pPr>
                  <w:r>
                    <w:rPr>
                      <w:rFonts w:hint="eastAsia"/>
                      <w:sz w:val="18"/>
                      <w:szCs w:val="18"/>
                      <w:lang w:val="en-US" w:eastAsia="zh-CN"/>
                    </w:rPr>
                    <w:t>52.5</w:t>
                  </w:r>
                </w:p>
              </w:tc>
              <w:tc>
                <w:tcPr>
                  <w:tcW w:w="462" w:type="pct"/>
                  <w:tcBorders>
                    <w:left w:val="single" w:color="auto" w:sz="4" w:space="0"/>
                    <w:right w:val="single" w:color="auto" w:sz="4" w:space="0"/>
                  </w:tcBorders>
                  <w:vAlign w:val="center"/>
                </w:tcPr>
                <w:p w14:paraId="045D9C4A">
                  <w:pPr>
                    <w:tabs>
                      <w:tab w:val="left" w:pos="670"/>
                    </w:tabs>
                    <w:jc w:val="center"/>
                    <w:rPr>
                      <w:rFonts w:hint="default" w:eastAsia="宋体"/>
                      <w:sz w:val="18"/>
                      <w:szCs w:val="18"/>
                      <w:lang w:val="en-US" w:eastAsia="zh-CN"/>
                    </w:rPr>
                  </w:pPr>
                  <w:r>
                    <w:rPr>
                      <w:rFonts w:hint="eastAsia"/>
                      <w:sz w:val="18"/>
                      <w:szCs w:val="18"/>
                      <w:lang w:val="en-US" w:eastAsia="zh-CN"/>
                    </w:rPr>
                    <w:t>46.5</w:t>
                  </w:r>
                </w:p>
              </w:tc>
              <w:tc>
                <w:tcPr>
                  <w:tcW w:w="462" w:type="pct"/>
                  <w:tcBorders>
                    <w:left w:val="single" w:color="auto" w:sz="4" w:space="0"/>
                  </w:tcBorders>
                  <w:vAlign w:val="center"/>
                </w:tcPr>
                <w:p w14:paraId="6B8596E0">
                  <w:pPr>
                    <w:tabs>
                      <w:tab w:val="left" w:pos="670"/>
                    </w:tabs>
                    <w:jc w:val="center"/>
                    <w:rPr>
                      <w:rFonts w:hint="default" w:eastAsia="宋体"/>
                      <w:sz w:val="18"/>
                      <w:szCs w:val="18"/>
                      <w:lang w:val="en-US" w:eastAsia="zh-CN"/>
                    </w:rPr>
                  </w:pPr>
                  <w:r>
                    <w:rPr>
                      <w:rFonts w:hint="eastAsia"/>
                      <w:sz w:val="18"/>
                      <w:szCs w:val="18"/>
                      <w:lang w:val="en-US" w:eastAsia="zh-CN"/>
                    </w:rPr>
                    <w:t>43.2</w:t>
                  </w:r>
                </w:p>
              </w:tc>
              <w:tc>
                <w:tcPr>
                  <w:tcW w:w="462" w:type="pct"/>
                  <w:tcBorders>
                    <w:right w:val="single" w:color="auto" w:sz="4" w:space="0"/>
                  </w:tcBorders>
                  <w:vAlign w:val="center"/>
                </w:tcPr>
                <w:p w14:paraId="3915E60F">
                  <w:pPr>
                    <w:tabs>
                      <w:tab w:val="left" w:pos="670"/>
                    </w:tabs>
                    <w:jc w:val="center"/>
                    <w:rPr>
                      <w:rFonts w:hint="default" w:eastAsia="宋体"/>
                      <w:sz w:val="18"/>
                      <w:szCs w:val="18"/>
                      <w:lang w:val="en-US" w:eastAsia="zh-CN"/>
                    </w:rPr>
                  </w:pPr>
                  <w:r>
                    <w:rPr>
                      <w:rFonts w:hint="eastAsia"/>
                      <w:sz w:val="18"/>
                      <w:szCs w:val="18"/>
                      <w:lang w:val="en-US" w:eastAsia="zh-CN"/>
                    </w:rPr>
                    <w:t>41.1</w:t>
                  </w:r>
                </w:p>
              </w:tc>
              <w:tc>
                <w:tcPr>
                  <w:tcW w:w="462" w:type="pct"/>
                  <w:tcBorders>
                    <w:left w:val="single" w:color="auto" w:sz="4" w:space="0"/>
                    <w:right w:val="single" w:color="auto" w:sz="4" w:space="0"/>
                  </w:tcBorders>
                  <w:vAlign w:val="center"/>
                </w:tcPr>
                <w:p w14:paraId="2D3850A9">
                  <w:pPr>
                    <w:tabs>
                      <w:tab w:val="left" w:pos="670"/>
                    </w:tabs>
                    <w:jc w:val="center"/>
                    <w:rPr>
                      <w:rFonts w:hint="default" w:eastAsia="宋体"/>
                      <w:sz w:val="18"/>
                      <w:szCs w:val="18"/>
                      <w:lang w:val="en-US" w:eastAsia="zh-CN"/>
                    </w:rPr>
                  </w:pPr>
                  <w:r>
                    <w:rPr>
                      <w:rFonts w:hint="eastAsia"/>
                      <w:sz w:val="18"/>
                      <w:szCs w:val="18"/>
                      <w:lang w:val="en-US" w:eastAsia="zh-CN"/>
                    </w:rPr>
                    <w:t>42.5</w:t>
                  </w:r>
                </w:p>
              </w:tc>
              <w:tc>
                <w:tcPr>
                  <w:tcW w:w="462" w:type="pct"/>
                  <w:tcBorders>
                    <w:left w:val="single" w:color="auto" w:sz="4" w:space="0"/>
                    <w:right w:val="single" w:color="auto" w:sz="4" w:space="0"/>
                  </w:tcBorders>
                  <w:vAlign w:val="center"/>
                </w:tcPr>
                <w:p w14:paraId="5D7814CB">
                  <w:pPr>
                    <w:tabs>
                      <w:tab w:val="left" w:pos="670"/>
                    </w:tabs>
                    <w:jc w:val="center"/>
                    <w:rPr>
                      <w:rFonts w:hint="default" w:eastAsia="宋体"/>
                      <w:sz w:val="18"/>
                      <w:szCs w:val="18"/>
                      <w:lang w:val="en-US" w:eastAsia="zh-CN"/>
                    </w:rPr>
                  </w:pPr>
                  <w:r>
                    <w:rPr>
                      <w:rFonts w:hint="eastAsia"/>
                      <w:sz w:val="18"/>
                      <w:szCs w:val="18"/>
                      <w:lang w:val="en-US" w:eastAsia="zh-CN"/>
                    </w:rPr>
                    <w:t>40.0</w:t>
                  </w:r>
                </w:p>
              </w:tc>
              <w:tc>
                <w:tcPr>
                  <w:tcW w:w="461" w:type="pct"/>
                  <w:tcBorders>
                    <w:left w:val="single" w:color="auto" w:sz="4" w:space="0"/>
                  </w:tcBorders>
                  <w:vAlign w:val="center"/>
                </w:tcPr>
                <w:p w14:paraId="72217221">
                  <w:pPr>
                    <w:tabs>
                      <w:tab w:val="left" w:pos="670"/>
                    </w:tabs>
                    <w:jc w:val="center"/>
                    <w:rPr>
                      <w:rFonts w:hint="default" w:eastAsia="宋体"/>
                      <w:sz w:val="18"/>
                      <w:szCs w:val="18"/>
                      <w:lang w:val="en-US" w:eastAsia="zh-CN"/>
                    </w:rPr>
                  </w:pPr>
                  <w:r>
                    <w:rPr>
                      <w:rFonts w:hint="eastAsia"/>
                      <w:sz w:val="18"/>
                      <w:szCs w:val="18"/>
                      <w:lang w:val="en-US" w:eastAsia="zh-CN"/>
                    </w:rPr>
                    <w:t>38.3</w:t>
                  </w:r>
                </w:p>
              </w:tc>
            </w:tr>
            <w:tr w14:paraId="35C99BA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4" w:hRule="atLeast"/>
                <w:jc w:val="center"/>
              </w:trPr>
              <w:tc>
                <w:tcPr>
                  <w:tcW w:w="1305" w:type="pct"/>
                  <w:vAlign w:val="center"/>
                </w:tcPr>
                <w:p w14:paraId="59DDBF6F">
                  <w:pPr>
                    <w:jc w:val="center"/>
                    <w:rPr>
                      <w:rFonts w:hint="default"/>
                      <w:sz w:val="18"/>
                      <w:szCs w:val="18"/>
                      <w:lang w:val="en-US"/>
                    </w:rPr>
                  </w:pPr>
                  <w:r>
                    <w:rPr>
                      <w:rFonts w:hint="eastAsia"/>
                      <w:sz w:val="18"/>
                      <w:szCs w:val="18"/>
                      <w:vertAlign w:val="baseline"/>
                      <w:lang w:val="en-US" w:eastAsia="zh-CN"/>
                    </w:rPr>
                    <w:t>2</w:t>
                  </w:r>
                  <w:r>
                    <w:rPr>
                      <w:sz w:val="18"/>
                      <w:szCs w:val="18"/>
                      <w:vertAlign w:val="superscript"/>
                    </w:rPr>
                    <w:t>#</w:t>
                  </w:r>
                  <w:r>
                    <w:rPr>
                      <w:rFonts w:hint="eastAsia"/>
                      <w:sz w:val="18"/>
                      <w:szCs w:val="18"/>
                      <w:vertAlign w:val="baseline"/>
                      <w:lang w:val="en-US" w:eastAsia="zh-CN"/>
                    </w:rPr>
                    <w:t>场址西</w:t>
                  </w:r>
                </w:p>
              </w:tc>
              <w:tc>
                <w:tcPr>
                  <w:tcW w:w="462" w:type="pct"/>
                  <w:tcBorders>
                    <w:right w:val="single" w:color="auto" w:sz="4" w:space="0"/>
                  </w:tcBorders>
                  <w:vAlign w:val="center"/>
                </w:tcPr>
                <w:p w14:paraId="34EA3880">
                  <w:pPr>
                    <w:tabs>
                      <w:tab w:val="left" w:pos="670"/>
                    </w:tabs>
                    <w:jc w:val="center"/>
                    <w:rPr>
                      <w:rFonts w:hint="default" w:eastAsia="宋体"/>
                      <w:sz w:val="18"/>
                      <w:szCs w:val="18"/>
                      <w:lang w:val="en-US" w:eastAsia="zh-CN"/>
                    </w:rPr>
                  </w:pPr>
                  <w:r>
                    <w:rPr>
                      <w:rFonts w:hint="eastAsia"/>
                      <w:sz w:val="18"/>
                      <w:szCs w:val="18"/>
                      <w:lang w:val="en-US" w:eastAsia="zh-CN"/>
                    </w:rPr>
                    <w:t>51.6</w:t>
                  </w:r>
                </w:p>
              </w:tc>
              <w:tc>
                <w:tcPr>
                  <w:tcW w:w="462" w:type="pct"/>
                  <w:tcBorders>
                    <w:left w:val="single" w:color="auto" w:sz="4" w:space="0"/>
                    <w:right w:val="single" w:color="auto" w:sz="4" w:space="0"/>
                  </w:tcBorders>
                  <w:vAlign w:val="center"/>
                </w:tcPr>
                <w:p w14:paraId="4627CDDC">
                  <w:pPr>
                    <w:tabs>
                      <w:tab w:val="left" w:pos="670"/>
                    </w:tabs>
                    <w:jc w:val="center"/>
                    <w:rPr>
                      <w:rFonts w:hint="default" w:eastAsia="宋体"/>
                      <w:sz w:val="18"/>
                      <w:szCs w:val="18"/>
                      <w:lang w:val="en-US" w:eastAsia="zh-CN"/>
                    </w:rPr>
                  </w:pPr>
                  <w:r>
                    <w:rPr>
                      <w:rFonts w:hint="eastAsia"/>
                      <w:sz w:val="18"/>
                      <w:szCs w:val="18"/>
                      <w:lang w:val="en-US" w:eastAsia="zh-CN"/>
                    </w:rPr>
                    <w:t>52.0</w:t>
                  </w:r>
                </w:p>
              </w:tc>
              <w:tc>
                <w:tcPr>
                  <w:tcW w:w="462" w:type="pct"/>
                  <w:tcBorders>
                    <w:left w:val="single" w:color="auto" w:sz="4" w:space="0"/>
                    <w:right w:val="single" w:color="auto" w:sz="4" w:space="0"/>
                  </w:tcBorders>
                  <w:vAlign w:val="center"/>
                </w:tcPr>
                <w:p w14:paraId="6682C08E">
                  <w:pPr>
                    <w:tabs>
                      <w:tab w:val="left" w:pos="670"/>
                    </w:tabs>
                    <w:jc w:val="center"/>
                    <w:rPr>
                      <w:rFonts w:hint="default" w:eastAsia="宋体"/>
                      <w:sz w:val="18"/>
                      <w:szCs w:val="18"/>
                      <w:lang w:val="en-US" w:eastAsia="zh-CN"/>
                    </w:rPr>
                  </w:pPr>
                  <w:r>
                    <w:rPr>
                      <w:rFonts w:hint="eastAsia"/>
                      <w:sz w:val="18"/>
                      <w:szCs w:val="18"/>
                      <w:lang w:val="en-US" w:eastAsia="zh-CN"/>
                    </w:rPr>
                    <w:t>51.6</w:t>
                  </w:r>
                </w:p>
              </w:tc>
              <w:tc>
                <w:tcPr>
                  <w:tcW w:w="462" w:type="pct"/>
                  <w:tcBorders>
                    <w:left w:val="single" w:color="auto" w:sz="4" w:space="0"/>
                  </w:tcBorders>
                  <w:vAlign w:val="center"/>
                </w:tcPr>
                <w:p w14:paraId="15BB7C27">
                  <w:pPr>
                    <w:tabs>
                      <w:tab w:val="left" w:pos="670"/>
                    </w:tabs>
                    <w:jc w:val="center"/>
                    <w:rPr>
                      <w:rFonts w:hint="default" w:eastAsia="宋体"/>
                      <w:sz w:val="18"/>
                      <w:szCs w:val="18"/>
                      <w:lang w:val="en-US" w:eastAsia="zh-CN"/>
                    </w:rPr>
                  </w:pPr>
                  <w:r>
                    <w:rPr>
                      <w:rFonts w:hint="eastAsia"/>
                      <w:sz w:val="18"/>
                      <w:szCs w:val="18"/>
                      <w:lang w:val="en-US" w:eastAsia="zh-CN"/>
                    </w:rPr>
                    <w:t>51.2</w:t>
                  </w:r>
                </w:p>
              </w:tc>
              <w:tc>
                <w:tcPr>
                  <w:tcW w:w="462" w:type="pct"/>
                  <w:tcBorders>
                    <w:right w:val="single" w:color="auto" w:sz="4" w:space="0"/>
                  </w:tcBorders>
                  <w:vAlign w:val="center"/>
                </w:tcPr>
                <w:p w14:paraId="44539662">
                  <w:pPr>
                    <w:tabs>
                      <w:tab w:val="left" w:pos="670"/>
                    </w:tabs>
                    <w:jc w:val="center"/>
                    <w:rPr>
                      <w:rFonts w:hint="default" w:eastAsia="宋体"/>
                      <w:sz w:val="18"/>
                      <w:szCs w:val="18"/>
                      <w:lang w:val="en-US" w:eastAsia="zh-CN"/>
                    </w:rPr>
                  </w:pPr>
                  <w:r>
                    <w:rPr>
                      <w:rFonts w:hint="eastAsia"/>
                      <w:sz w:val="18"/>
                      <w:szCs w:val="18"/>
                      <w:lang w:val="en-US" w:eastAsia="zh-CN"/>
                    </w:rPr>
                    <w:t>41.7</w:t>
                  </w:r>
                </w:p>
              </w:tc>
              <w:tc>
                <w:tcPr>
                  <w:tcW w:w="462" w:type="pct"/>
                  <w:tcBorders>
                    <w:left w:val="single" w:color="auto" w:sz="4" w:space="0"/>
                    <w:right w:val="single" w:color="auto" w:sz="4" w:space="0"/>
                  </w:tcBorders>
                  <w:vAlign w:val="center"/>
                </w:tcPr>
                <w:p w14:paraId="10FCA4ED">
                  <w:pPr>
                    <w:tabs>
                      <w:tab w:val="left" w:pos="670"/>
                    </w:tabs>
                    <w:jc w:val="center"/>
                    <w:rPr>
                      <w:rFonts w:hint="default" w:eastAsia="宋体"/>
                      <w:sz w:val="18"/>
                      <w:szCs w:val="18"/>
                      <w:lang w:val="en-US" w:eastAsia="zh-CN"/>
                    </w:rPr>
                  </w:pPr>
                  <w:r>
                    <w:rPr>
                      <w:rFonts w:hint="eastAsia"/>
                      <w:sz w:val="18"/>
                      <w:szCs w:val="18"/>
                      <w:lang w:val="en-US" w:eastAsia="zh-CN"/>
                    </w:rPr>
                    <w:t>42.6</w:t>
                  </w:r>
                </w:p>
              </w:tc>
              <w:tc>
                <w:tcPr>
                  <w:tcW w:w="462" w:type="pct"/>
                  <w:tcBorders>
                    <w:left w:val="single" w:color="auto" w:sz="4" w:space="0"/>
                    <w:right w:val="single" w:color="auto" w:sz="4" w:space="0"/>
                  </w:tcBorders>
                  <w:vAlign w:val="center"/>
                </w:tcPr>
                <w:p w14:paraId="750F26A1">
                  <w:pPr>
                    <w:tabs>
                      <w:tab w:val="left" w:pos="670"/>
                    </w:tabs>
                    <w:jc w:val="center"/>
                    <w:rPr>
                      <w:rFonts w:hint="default" w:eastAsia="宋体"/>
                      <w:sz w:val="18"/>
                      <w:szCs w:val="18"/>
                      <w:lang w:val="en-US" w:eastAsia="zh-CN"/>
                    </w:rPr>
                  </w:pPr>
                  <w:r>
                    <w:rPr>
                      <w:rFonts w:hint="eastAsia"/>
                      <w:sz w:val="18"/>
                      <w:szCs w:val="18"/>
                      <w:lang w:val="en-US" w:eastAsia="zh-CN"/>
                    </w:rPr>
                    <w:t>41.8</w:t>
                  </w:r>
                </w:p>
              </w:tc>
              <w:tc>
                <w:tcPr>
                  <w:tcW w:w="461" w:type="pct"/>
                  <w:tcBorders>
                    <w:left w:val="single" w:color="auto" w:sz="4" w:space="0"/>
                  </w:tcBorders>
                  <w:vAlign w:val="center"/>
                </w:tcPr>
                <w:p w14:paraId="0B2A9338">
                  <w:pPr>
                    <w:tabs>
                      <w:tab w:val="left" w:pos="670"/>
                    </w:tabs>
                    <w:jc w:val="center"/>
                    <w:rPr>
                      <w:rFonts w:hint="default" w:eastAsia="宋体"/>
                      <w:sz w:val="18"/>
                      <w:szCs w:val="18"/>
                      <w:lang w:val="en-US" w:eastAsia="zh-CN"/>
                    </w:rPr>
                  </w:pPr>
                  <w:r>
                    <w:rPr>
                      <w:rFonts w:hint="eastAsia"/>
                      <w:sz w:val="18"/>
                      <w:szCs w:val="18"/>
                      <w:lang w:val="en-US" w:eastAsia="zh-CN"/>
                    </w:rPr>
                    <w:t>39.4</w:t>
                  </w:r>
                </w:p>
              </w:tc>
            </w:tr>
            <w:tr w14:paraId="49D2CDF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4" w:hRule="atLeast"/>
                <w:jc w:val="center"/>
              </w:trPr>
              <w:tc>
                <w:tcPr>
                  <w:tcW w:w="1305" w:type="pct"/>
                  <w:vAlign w:val="center"/>
                </w:tcPr>
                <w:p w14:paraId="64DB570D">
                  <w:pPr>
                    <w:jc w:val="center"/>
                    <w:rPr>
                      <w:rFonts w:hint="default"/>
                      <w:sz w:val="18"/>
                      <w:szCs w:val="18"/>
                      <w:lang w:val="en-US"/>
                    </w:rPr>
                  </w:pPr>
                  <w:r>
                    <w:rPr>
                      <w:rFonts w:hint="eastAsia"/>
                      <w:sz w:val="18"/>
                      <w:szCs w:val="18"/>
                      <w:vertAlign w:val="baseline"/>
                      <w:lang w:val="en-US" w:eastAsia="zh-CN"/>
                    </w:rPr>
                    <w:t>3</w:t>
                  </w:r>
                  <w:r>
                    <w:rPr>
                      <w:sz w:val="18"/>
                      <w:szCs w:val="18"/>
                      <w:vertAlign w:val="superscript"/>
                    </w:rPr>
                    <w:t>#</w:t>
                  </w:r>
                  <w:r>
                    <w:rPr>
                      <w:rFonts w:hint="eastAsia"/>
                      <w:sz w:val="18"/>
                      <w:szCs w:val="18"/>
                      <w:vertAlign w:val="baseline"/>
                      <w:lang w:val="en-US" w:eastAsia="zh-CN"/>
                    </w:rPr>
                    <w:t>场址北</w:t>
                  </w:r>
                </w:p>
              </w:tc>
              <w:tc>
                <w:tcPr>
                  <w:tcW w:w="462" w:type="pct"/>
                  <w:tcBorders>
                    <w:right w:val="single" w:color="auto" w:sz="4" w:space="0"/>
                  </w:tcBorders>
                  <w:vAlign w:val="center"/>
                </w:tcPr>
                <w:p w14:paraId="2871DC69">
                  <w:pPr>
                    <w:tabs>
                      <w:tab w:val="left" w:pos="670"/>
                    </w:tabs>
                    <w:jc w:val="center"/>
                    <w:rPr>
                      <w:rFonts w:hint="default" w:eastAsia="宋体"/>
                      <w:sz w:val="18"/>
                      <w:szCs w:val="18"/>
                      <w:lang w:val="en-US" w:eastAsia="zh-CN"/>
                    </w:rPr>
                  </w:pPr>
                  <w:r>
                    <w:rPr>
                      <w:rFonts w:hint="eastAsia"/>
                      <w:sz w:val="18"/>
                      <w:szCs w:val="18"/>
                      <w:lang w:val="en-US" w:eastAsia="zh-CN"/>
                    </w:rPr>
                    <w:t>51.3</w:t>
                  </w:r>
                </w:p>
              </w:tc>
              <w:tc>
                <w:tcPr>
                  <w:tcW w:w="462" w:type="pct"/>
                  <w:tcBorders>
                    <w:left w:val="single" w:color="auto" w:sz="4" w:space="0"/>
                    <w:right w:val="single" w:color="auto" w:sz="4" w:space="0"/>
                  </w:tcBorders>
                  <w:vAlign w:val="center"/>
                </w:tcPr>
                <w:p w14:paraId="68E35211">
                  <w:pPr>
                    <w:tabs>
                      <w:tab w:val="left" w:pos="670"/>
                    </w:tabs>
                    <w:jc w:val="center"/>
                    <w:rPr>
                      <w:rFonts w:hint="default" w:eastAsia="宋体"/>
                      <w:sz w:val="18"/>
                      <w:szCs w:val="18"/>
                      <w:lang w:val="en-US" w:eastAsia="zh-CN"/>
                    </w:rPr>
                  </w:pPr>
                  <w:r>
                    <w:rPr>
                      <w:rFonts w:hint="eastAsia"/>
                      <w:sz w:val="18"/>
                      <w:szCs w:val="18"/>
                      <w:lang w:val="en-US" w:eastAsia="zh-CN"/>
                    </w:rPr>
                    <w:t>51.6</w:t>
                  </w:r>
                </w:p>
              </w:tc>
              <w:tc>
                <w:tcPr>
                  <w:tcW w:w="462" w:type="pct"/>
                  <w:tcBorders>
                    <w:left w:val="single" w:color="auto" w:sz="4" w:space="0"/>
                    <w:right w:val="single" w:color="auto" w:sz="4" w:space="0"/>
                  </w:tcBorders>
                  <w:vAlign w:val="center"/>
                </w:tcPr>
                <w:p w14:paraId="5F0255BB">
                  <w:pPr>
                    <w:tabs>
                      <w:tab w:val="left" w:pos="670"/>
                    </w:tabs>
                    <w:jc w:val="center"/>
                    <w:rPr>
                      <w:rFonts w:hint="default" w:eastAsia="宋体"/>
                      <w:sz w:val="18"/>
                      <w:szCs w:val="18"/>
                      <w:lang w:val="en-US" w:eastAsia="zh-CN"/>
                    </w:rPr>
                  </w:pPr>
                  <w:r>
                    <w:rPr>
                      <w:rFonts w:hint="eastAsia"/>
                      <w:sz w:val="18"/>
                      <w:szCs w:val="18"/>
                      <w:lang w:val="en-US" w:eastAsia="zh-CN"/>
                    </w:rPr>
                    <w:t>51.2</w:t>
                  </w:r>
                </w:p>
              </w:tc>
              <w:tc>
                <w:tcPr>
                  <w:tcW w:w="462" w:type="pct"/>
                  <w:tcBorders>
                    <w:left w:val="single" w:color="auto" w:sz="4" w:space="0"/>
                  </w:tcBorders>
                  <w:vAlign w:val="center"/>
                </w:tcPr>
                <w:p w14:paraId="1FA4D8F8">
                  <w:pPr>
                    <w:tabs>
                      <w:tab w:val="left" w:pos="670"/>
                    </w:tabs>
                    <w:jc w:val="center"/>
                    <w:rPr>
                      <w:rFonts w:hint="default" w:eastAsia="宋体"/>
                      <w:sz w:val="18"/>
                      <w:szCs w:val="18"/>
                      <w:lang w:val="en-US" w:eastAsia="zh-CN"/>
                    </w:rPr>
                  </w:pPr>
                  <w:r>
                    <w:rPr>
                      <w:rFonts w:hint="eastAsia"/>
                      <w:sz w:val="18"/>
                      <w:szCs w:val="18"/>
                      <w:lang w:val="en-US" w:eastAsia="zh-CN"/>
                    </w:rPr>
                    <w:t>50.7</w:t>
                  </w:r>
                </w:p>
              </w:tc>
              <w:tc>
                <w:tcPr>
                  <w:tcW w:w="462" w:type="pct"/>
                  <w:tcBorders>
                    <w:right w:val="single" w:color="auto" w:sz="4" w:space="0"/>
                  </w:tcBorders>
                  <w:vAlign w:val="center"/>
                </w:tcPr>
                <w:p w14:paraId="56D6326B">
                  <w:pPr>
                    <w:tabs>
                      <w:tab w:val="left" w:pos="670"/>
                    </w:tabs>
                    <w:jc w:val="center"/>
                    <w:rPr>
                      <w:rFonts w:hint="default" w:eastAsia="宋体"/>
                      <w:sz w:val="18"/>
                      <w:szCs w:val="18"/>
                      <w:lang w:val="en-US" w:eastAsia="zh-CN"/>
                    </w:rPr>
                  </w:pPr>
                  <w:r>
                    <w:rPr>
                      <w:rFonts w:hint="eastAsia"/>
                      <w:sz w:val="18"/>
                      <w:szCs w:val="18"/>
                      <w:lang w:val="en-US" w:eastAsia="zh-CN"/>
                    </w:rPr>
                    <w:t>40.1</w:t>
                  </w:r>
                </w:p>
              </w:tc>
              <w:tc>
                <w:tcPr>
                  <w:tcW w:w="462" w:type="pct"/>
                  <w:tcBorders>
                    <w:left w:val="single" w:color="auto" w:sz="4" w:space="0"/>
                    <w:right w:val="single" w:color="auto" w:sz="4" w:space="0"/>
                  </w:tcBorders>
                  <w:vAlign w:val="center"/>
                </w:tcPr>
                <w:p w14:paraId="594EFACF">
                  <w:pPr>
                    <w:tabs>
                      <w:tab w:val="left" w:pos="670"/>
                    </w:tabs>
                    <w:jc w:val="center"/>
                    <w:rPr>
                      <w:rFonts w:hint="default" w:eastAsia="宋体"/>
                      <w:sz w:val="18"/>
                      <w:szCs w:val="18"/>
                      <w:lang w:val="en-US" w:eastAsia="zh-CN"/>
                    </w:rPr>
                  </w:pPr>
                  <w:r>
                    <w:rPr>
                      <w:rFonts w:hint="eastAsia"/>
                      <w:sz w:val="18"/>
                      <w:szCs w:val="18"/>
                      <w:lang w:val="en-US" w:eastAsia="zh-CN"/>
                    </w:rPr>
                    <w:t>43.2</w:t>
                  </w:r>
                </w:p>
              </w:tc>
              <w:tc>
                <w:tcPr>
                  <w:tcW w:w="462" w:type="pct"/>
                  <w:tcBorders>
                    <w:left w:val="single" w:color="auto" w:sz="4" w:space="0"/>
                    <w:right w:val="single" w:color="auto" w:sz="4" w:space="0"/>
                  </w:tcBorders>
                  <w:vAlign w:val="center"/>
                </w:tcPr>
                <w:p w14:paraId="053C5FD1">
                  <w:pPr>
                    <w:tabs>
                      <w:tab w:val="left" w:pos="670"/>
                    </w:tabs>
                    <w:jc w:val="center"/>
                    <w:rPr>
                      <w:rFonts w:hint="default" w:eastAsia="宋体"/>
                      <w:sz w:val="18"/>
                      <w:szCs w:val="18"/>
                      <w:lang w:val="en-US" w:eastAsia="zh-CN"/>
                    </w:rPr>
                  </w:pPr>
                  <w:r>
                    <w:rPr>
                      <w:rFonts w:hint="eastAsia"/>
                      <w:sz w:val="18"/>
                      <w:szCs w:val="18"/>
                      <w:lang w:val="en-US" w:eastAsia="zh-CN"/>
                    </w:rPr>
                    <w:t>39.0</w:t>
                  </w:r>
                </w:p>
              </w:tc>
              <w:tc>
                <w:tcPr>
                  <w:tcW w:w="461" w:type="pct"/>
                  <w:tcBorders>
                    <w:left w:val="single" w:color="auto" w:sz="4" w:space="0"/>
                  </w:tcBorders>
                  <w:vAlign w:val="center"/>
                </w:tcPr>
                <w:p w14:paraId="05E0FDA0">
                  <w:pPr>
                    <w:tabs>
                      <w:tab w:val="left" w:pos="670"/>
                    </w:tabs>
                    <w:jc w:val="center"/>
                    <w:rPr>
                      <w:rFonts w:hint="default" w:eastAsia="宋体"/>
                      <w:sz w:val="18"/>
                      <w:szCs w:val="18"/>
                      <w:lang w:val="en-US" w:eastAsia="zh-CN"/>
                    </w:rPr>
                  </w:pPr>
                  <w:r>
                    <w:rPr>
                      <w:rFonts w:hint="eastAsia"/>
                      <w:sz w:val="18"/>
                      <w:szCs w:val="18"/>
                      <w:lang w:val="en-US" w:eastAsia="zh-CN"/>
                    </w:rPr>
                    <w:t>35.8</w:t>
                  </w:r>
                </w:p>
              </w:tc>
            </w:tr>
            <w:tr w14:paraId="7A572EA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4" w:hRule="atLeast"/>
                <w:jc w:val="center"/>
              </w:trPr>
              <w:tc>
                <w:tcPr>
                  <w:tcW w:w="1305" w:type="pct"/>
                  <w:vAlign w:val="center"/>
                </w:tcPr>
                <w:p w14:paraId="07186BBE">
                  <w:pPr>
                    <w:jc w:val="center"/>
                    <w:rPr>
                      <w:rFonts w:hint="default"/>
                      <w:sz w:val="18"/>
                      <w:szCs w:val="18"/>
                      <w:lang w:val="en-US"/>
                    </w:rPr>
                  </w:pPr>
                  <w:r>
                    <w:rPr>
                      <w:rFonts w:hint="eastAsia"/>
                      <w:sz w:val="18"/>
                      <w:szCs w:val="18"/>
                      <w:vertAlign w:val="baseline"/>
                      <w:lang w:val="en-US" w:eastAsia="zh-CN"/>
                    </w:rPr>
                    <w:t>4</w:t>
                  </w:r>
                  <w:r>
                    <w:rPr>
                      <w:sz w:val="18"/>
                      <w:szCs w:val="18"/>
                      <w:vertAlign w:val="superscript"/>
                    </w:rPr>
                    <w:t>#</w:t>
                  </w:r>
                  <w:r>
                    <w:rPr>
                      <w:rFonts w:hint="eastAsia"/>
                      <w:sz w:val="18"/>
                      <w:szCs w:val="18"/>
                      <w:vertAlign w:val="baseline"/>
                      <w:lang w:val="en-US" w:eastAsia="zh-CN"/>
                    </w:rPr>
                    <w:t>场址东</w:t>
                  </w:r>
                </w:p>
              </w:tc>
              <w:tc>
                <w:tcPr>
                  <w:tcW w:w="462" w:type="pct"/>
                  <w:tcBorders>
                    <w:right w:val="single" w:color="auto" w:sz="4" w:space="0"/>
                  </w:tcBorders>
                  <w:vAlign w:val="center"/>
                </w:tcPr>
                <w:p w14:paraId="597F3BE4">
                  <w:pPr>
                    <w:tabs>
                      <w:tab w:val="left" w:pos="670"/>
                    </w:tabs>
                    <w:jc w:val="center"/>
                    <w:rPr>
                      <w:rFonts w:hint="default" w:eastAsia="宋体"/>
                      <w:sz w:val="18"/>
                      <w:szCs w:val="18"/>
                      <w:lang w:val="en-US" w:eastAsia="zh-CN"/>
                    </w:rPr>
                  </w:pPr>
                  <w:r>
                    <w:rPr>
                      <w:rFonts w:hint="eastAsia"/>
                      <w:sz w:val="18"/>
                      <w:szCs w:val="18"/>
                      <w:lang w:val="en-US" w:eastAsia="zh-CN"/>
                    </w:rPr>
                    <w:t>50.4</w:t>
                  </w:r>
                </w:p>
              </w:tc>
              <w:tc>
                <w:tcPr>
                  <w:tcW w:w="462" w:type="pct"/>
                  <w:tcBorders>
                    <w:left w:val="single" w:color="auto" w:sz="4" w:space="0"/>
                    <w:right w:val="single" w:color="auto" w:sz="4" w:space="0"/>
                  </w:tcBorders>
                  <w:vAlign w:val="center"/>
                </w:tcPr>
                <w:p w14:paraId="5F52F6D8">
                  <w:pPr>
                    <w:tabs>
                      <w:tab w:val="left" w:pos="670"/>
                    </w:tabs>
                    <w:jc w:val="center"/>
                    <w:rPr>
                      <w:rFonts w:hint="default" w:eastAsia="宋体"/>
                      <w:sz w:val="18"/>
                      <w:szCs w:val="18"/>
                      <w:lang w:val="en-US" w:eastAsia="zh-CN"/>
                    </w:rPr>
                  </w:pPr>
                  <w:r>
                    <w:rPr>
                      <w:rFonts w:hint="eastAsia"/>
                      <w:sz w:val="18"/>
                      <w:szCs w:val="18"/>
                      <w:lang w:val="en-US" w:eastAsia="zh-CN"/>
                    </w:rPr>
                    <w:t>51.0</w:t>
                  </w:r>
                </w:p>
              </w:tc>
              <w:tc>
                <w:tcPr>
                  <w:tcW w:w="462" w:type="pct"/>
                  <w:tcBorders>
                    <w:left w:val="single" w:color="auto" w:sz="4" w:space="0"/>
                    <w:right w:val="single" w:color="auto" w:sz="4" w:space="0"/>
                  </w:tcBorders>
                  <w:vAlign w:val="center"/>
                </w:tcPr>
                <w:p w14:paraId="161FFE32">
                  <w:pPr>
                    <w:tabs>
                      <w:tab w:val="left" w:pos="670"/>
                    </w:tabs>
                    <w:jc w:val="center"/>
                    <w:rPr>
                      <w:rFonts w:hint="default" w:eastAsia="宋体"/>
                      <w:sz w:val="18"/>
                      <w:szCs w:val="18"/>
                      <w:lang w:val="en-US" w:eastAsia="zh-CN"/>
                    </w:rPr>
                  </w:pPr>
                  <w:r>
                    <w:rPr>
                      <w:rFonts w:hint="eastAsia"/>
                      <w:sz w:val="18"/>
                      <w:szCs w:val="18"/>
                      <w:lang w:val="en-US" w:eastAsia="zh-CN"/>
                    </w:rPr>
                    <w:t>50.5</w:t>
                  </w:r>
                </w:p>
              </w:tc>
              <w:tc>
                <w:tcPr>
                  <w:tcW w:w="462" w:type="pct"/>
                  <w:tcBorders>
                    <w:left w:val="single" w:color="auto" w:sz="4" w:space="0"/>
                  </w:tcBorders>
                  <w:vAlign w:val="center"/>
                </w:tcPr>
                <w:p w14:paraId="165CA01D">
                  <w:pPr>
                    <w:tabs>
                      <w:tab w:val="left" w:pos="670"/>
                    </w:tabs>
                    <w:jc w:val="center"/>
                    <w:rPr>
                      <w:rFonts w:hint="default" w:eastAsia="宋体"/>
                      <w:sz w:val="18"/>
                      <w:szCs w:val="18"/>
                      <w:lang w:val="en-US" w:eastAsia="zh-CN"/>
                    </w:rPr>
                  </w:pPr>
                  <w:r>
                    <w:rPr>
                      <w:rFonts w:hint="eastAsia"/>
                      <w:sz w:val="18"/>
                      <w:szCs w:val="18"/>
                      <w:lang w:val="en-US" w:eastAsia="zh-CN"/>
                    </w:rPr>
                    <w:t>49.1</w:t>
                  </w:r>
                </w:p>
              </w:tc>
              <w:tc>
                <w:tcPr>
                  <w:tcW w:w="462" w:type="pct"/>
                  <w:tcBorders>
                    <w:right w:val="single" w:color="auto" w:sz="4" w:space="0"/>
                  </w:tcBorders>
                  <w:vAlign w:val="center"/>
                </w:tcPr>
                <w:p w14:paraId="140165E3">
                  <w:pPr>
                    <w:tabs>
                      <w:tab w:val="left" w:pos="670"/>
                    </w:tabs>
                    <w:jc w:val="center"/>
                    <w:rPr>
                      <w:rFonts w:hint="default" w:eastAsia="宋体"/>
                      <w:sz w:val="18"/>
                      <w:szCs w:val="18"/>
                      <w:lang w:val="en-US" w:eastAsia="zh-CN"/>
                    </w:rPr>
                  </w:pPr>
                  <w:r>
                    <w:rPr>
                      <w:rFonts w:hint="eastAsia"/>
                      <w:sz w:val="18"/>
                      <w:szCs w:val="18"/>
                      <w:lang w:val="en-US" w:eastAsia="zh-CN"/>
                    </w:rPr>
                    <w:t>40.9</w:t>
                  </w:r>
                </w:p>
              </w:tc>
              <w:tc>
                <w:tcPr>
                  <w:tcW w:w="462" w:type="pct"/>
                  <w:tcBorders>
                    <w:left w:val="single" w:color="auto" w:sz="4" w:space="0"/>
                    <w:right w:val="single" w:color="auto" w:sz="4" w:space="0"/>
                  </w:tcBorders>
                  <w:vAlign w:val="center"/>
                </w:tcPr>
                <w:p w14:paraId="7933DD9B">
                  <w:pPr>
                    <w:tabs>
                      <w:tab w:val="left" w:pos="670"/>
                    </w:tabs>
                    <w:jc w:val="center"/>
                    <w:rPr>
                      <w:rFonts w:hint="default" w:eastAsia="宋体"/>
                      <w:sz w:val="18"/>
                      <w:szCs w:val="18"/>
                      <w:lang w:val="en-US" w:eastAsia="zh-CN"/>
                    </w:rPr>
                  </w:pPr>
                  <w:r>
                    <w:rPr>
                      <w:rFonts w:hint="eastAsia"/>
                      <w:sz w:val="18"/>
                      <w:szCs w:val="18"/>
                      <w:lang w:val="en-US" w:eastAsia="zh-CN"/>
                    </w:rPr>
                    <w:t>44.4</w:t>
                  </w:r>
                </w:p>
              </w:tc>
              <w:tc>
                <w:tcPr>
                  <w:tcW w:w="462" w:type="pct"/>
                  <w:tcBorders>
                    <w:left w:val="single" w:color="auto" w:sz="4" w:space="0"/>
                    <w:right w:val="single" w:color="auto" w:sz="4" w:space="0"/>
                  </w:tcBorders>
                  <w:vAlign w:val="center"/>
                </w:tcPr>
                <w:p w14:paraId="3F503E85">
                  <w:pPr>
                    <w:tabs>
                      <w:tab w:val="left" w:pos="670"/>
                    </w:tabs>
                    <w:jc w:val="center"/>
                    <w:rPr>
                      <w:rFonts w:hint="default" w:eastAsia="宋体"/>
                      <w:sz w:val="18"/>
                      <w:szCs w:val="18"/>
                      <w:lang w:val="en-US" w:eastAsia="zh-CN"/>
                    </w:rPr>
                  </w:pPr>
                  <w:r>
                    <w:rPr>
                      <w:rFonts w:hint="eastAsia"/>
                      <w:sz w:val="18"/>
                      <w:szCs w:val="18"/>
                      <w:lang w:val="en-US" w:eastAsia="zh-CN"/>
                    </w:rPr>
                    <w:t>39.5</w:t>
                  </w:r>
                </w:p>
              </w:tc>
              <w:tc>
                <w:tcPr>
                  <w:tcW w:w="461" w:type="pct"/>
                  <w:tcBorders>
                    <w:left w:val="single" w:color="auto" w:sz="4" w:space="0"/>
                  </w:tcBorders>
                  <w:vAlign w:val="center"/>
                </w:tcPr>
                <w:p w14:paraId="2BEA70A2">
                  <w:pPr>
                    <w:tabs>
                      <w:tab w:val="left" w:pos="670"/>
                    </w:tabs>
                    <w:jc w:val="center"/>
                    <w:rPr>
                      <w:rFonts w:hint="default" w:eastAsia="宋体"/>
                      <w:sz w:val="18"/>
                      <w:szCs w:val="18"/>
                      <w:lang w:val="en-US" w:eastAsia="zh-CN"/>
                    </w:rPr>
                  </w:pPr>
                  <w:r>
                    <w:rPr>
                      <w:rFonts w:hint="eastAsia"/>
                      <w:sz w:val="18"/>
                      <w:szCs w:val="18"/>
                      <w:lang w:val="en-US" w:eastAsia="zh-CN"/>
                    </w:rPr>
                    <w:t>38.7</w:t>
                  </w:r>
                </w:p>
              </w:tc>
            </w:tr>
            <w:tr w14:paraId="4910CC8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4" w:hRule="atLeast"/>
                <w:jc w:val="center"/>
              </w:trPr>
              <w:tc>
                <w:tcPr>
                  <w:tcW w:w="1305" w:type="pct"/>
                  <w:vAlign w:val="center"/>
                </w:tcPr>
                <w:p w14:paraId="7E976792">
                  <w:pPr>
                    <w:jc w:val="center"/>
                    <w:rPr>
                      <w:rFonts w:hint="default" w:eastAsia="宋体"/>
                      <w:sz w:val="18"/>
                      <w:szCs w:val="18"/>
                      <w:vertAlign w:val="superscript"/>
                      <w:lang w:val="en-US" w:eastAsia="zh-CN"/>
                    </w:rPr>
                  </w:pPr>
                  <w:r>
                    <w:rPr>
                      <w:rFonts w:hint="eastAsia"/>
                      <w:sz w:val="18"/>
                      <w:szCs w:val="18"/>
                      <w:vertAlign w:val="baseline"/>
                      <w:lang w:val="en-US" w:eastAsia="zh-CN"/>
                    </w:rPr>
                    <w:t>5</w:t>
                  </w:r>
                  <w:r>
                    <w:rPr>
                      <w:rFonts w:hint="eastAsia"/>
                      <w:sz w:val="18"/>
                      <w:szCs w:val="18"/>
                      <w:vertAlign w:val="superscript"/>
                      <w:lang w:val="en-US" w:eastAsia="zh-CN"/>
                    </w:rPr>
                    <w:t>#</w:t>
                  </w:r>
                  <w:r>
                    <w:rPr>
                      <w:rFonts w:hint="eastAsia"/>
                      <w:sz w:val="18"/>
                      <w:szCs w:val="18"/>
                      <w:vertAlign w:val="baseline"/>
                      <w:lang w:val="en-US" w:eastAsia="zh-CN"/>
                    </w:rPr>
                    <w:t>场址南侧55m处</w:t>
                  </w:r>
                </w:p>
              </w:tc>
              <w:tc>
                <w:tcPr>
                  <w:tcW w:w="462" w:type="pct"/>
                  <w:tcBorders>
                    <w:right w:val="single" w:color="auto" w:sz="4" w:space="0"/>
                  </w:tcBorders>
                  <w:vAlign w:val="center"/>
                </w:tcPr>
                <w:p w14:paraId="210DE294">
                  <w:pPr>
                    <w:tabs>
                      <w:tab w:val="left" w:pos="670"/>
                    </w:tabs>
                    <w:jc w:val="center"/>
                    <w:rPr>
                      <w:rFonts w:hint="default" w:eastAsia="宋体"/>
                      <w:sz w:val="18"/>
                      <w:szCs w:val="18"/>
                      <w:lang w:val="en-US" w:eastAsia="zh-CN"/>
                    </w:rPr>
                  </w:pPr>
                  <w:r>
                    <w:rPr>
                      <w:rFonts w:hint="eastAsia"/>
                      <w:sz w:val="18"/>
                      <w:szCs w:val="18"/>
                      <w:lang w:val="en-US" w:eastAsia="zh-CN"/>
                    </w:rPr>
                    <w:t>51.6</w:t>
                  </w:r>
                </w:p>
              </w:tc>
              <w:tc>
                <w:tcPr>
                  <w:tcW w:w="462" w:type="pct"/>
                  <w:tcBorders>
                    <w:left w:val="single" w:color="auto" w:sz="4" w:space="0"/>
                    <w:right w:val="single" w:color="auto" w:sz="4" w:space="0"/>
                  </w:tcBorders>
                  <w:vAlign w:val="center"/>
                </w:tcPr>
                <w:p w14:paraId="21C0EF28">
                  <w:pPr>
                    <w:tabs>
                      <w:tab w:val="left" w:pos="670"/>
                    </w:tabs>
                    <w:jc w:val="center"/>
                    <w:rPr>
                      <w:rFonts w:hint="default" w:eastAsia="宋体"/>
                      <w:sz w:val="18"/>
                      <w:szCs w:val="18"/>
                      <w:lang w:val="en-US" w:eastAsia="zh-CN"/>
                    </w:rPr>
                  </w:pPr>
                  <w:r>
                    <w:rPr>
                      <w:rFonts w:hint="eastAsia"/>
                      <w:sz w:val="18"/>
                      <w:szCs w:val="18"/>
                      <w:lang w:val="en-US" w:eastAsia="zh-CN"/>
                    </w:rPr>
                    <w:t>52.9</w:t>
                  </w:r>
                </w:p>
              </w:tc>
              <w:tc>
                <w:tcPr>
                  <w:tcW w:w="462" w:type="pct"/>
                  <w:tcBorders>
                    <w:left w:val="single" w:color="auto" w:sz="4" w:space="0"/>
                    <w:right w:val="single" w:color="auto" w:sz="4" w:space="0"/>
                  </w:tcBorders>
                  <w:vAlign w:val="center"/>
                </w:tcPr>
                <w:p w14:paraId="6C2CF343">
                  <w:pPr>
                    <w:tabs>
                      <w:tab w:val="left" w:pos="670"/>
                    </w:tabs>
                    <w:jc w:val="center"/>
                    <w:rPr>
                      <w:rFonts w:hint="default" w:eastAsia="宋体"/>
                      <w:sz w:val="18"/>
                      <w:szCs w:val="18"/>
                      <w:lang w:val="en-US" w:eastAsia="zh-CN"/>
                    </w:rPr>
                  </w:pPr>
                  <w:r>
                    <w:rPr>
                      <w:rFonts w:hint="eastAsia"/>
                      <w:sz w:val="18"/>
                      <w:szCs w:val="18"/>
                      <w:lang w:val="en-US" w:eastAsia="zh-CN"/>
                    </w:rPr>
                    <w:t>51.5</w:t>
                  </w:r>
                </w:p>
              </w:tc>
              <w:tc>
                <w:tcPr>
                  <w:tcW w:w="462" w:type="pct"/>
                  <w:tcBorders>
                    <w:left w:val="single" w:color="auto" w:sz="4" w:space="0"/>
                  </w:tcBorders>
                  <w:vAlign w:val="center"/>
                </w:tcPr>
                <w:p w14:paraId="1CC58139">
                  <w:pPr>
                    <w:tabs>
                      <w:tab w:val="left" w:pos="670"/>
                    </w:tabs>
                    <w:jc w:val="center"/>
                    <w:rPr>
                      <w:rFonts w:hint="default" w:eastAsia="宋体"/>
                      <w:sz w:val="18"/>
                      <w:szCs w:val="18"/>
                      <w:lang w:val="en-US" w:eastAsia="zh-CN"/>
                    </w:rPr>
                  </w:pPr>
                  <w:r>
                    <w:rPr>
                      <w:rFonts w:hint="eastAsia"/>
                      <w:sz w:val="18"/>
                      <w:szCs w:val="18"/>
                      <w:lang w:val="en-US" w:eastAsia="zh-CN"/>
                    </w:rPr>
                    <w:t>50.7</w:t>
                  </w:r>
                </w:p>
              </w:tc>
              <w:tc>
                <w:tcPr>
                  <w:tcW w:w="462" w:type="pct"/>
                  <w:tcBorders>
                    <w:right w:val="single" w:color="auto" w:sz="4" w:space="0"/>
                  </w:tcBorders>
                  <w:vAlign w:val="center"/>
                </w:tcPr>
                <w:p w14:paraId="49B0CCFE">
                  <w:pPr>
                    <w:tabs>
                      <w:tab w:val="left" w:pos="670"/>
                    </w:tabs>
                    <w:jc w:val="center"/>
                    <w:rPr>
                      <w:rFonts w:hint="default" w:eastAsia="宋体"/>
                      <w:sz w:val="18"/>
                      <w:szCs w:val="18"/>
                      <w:lang w:val="en-US" w:eastAsia="zh-CN"/>
                    </w:rPr>
                  </w:pPr>
                  <w:r>
                    <w:rPr>
                      <w:rFonts w:hint="eastAsia"/>
                      <w:sz w:val="18"/>
                      <w:szCs w:val="18"/>
                      <w:lang w:val="en-US" w:eastAsia="zh-CN"/>
                    </w:rPr>
                    <w:t>40.4</w:t>
                  </w:r>
                </w:p>
              </w:tc>
              <w:tc>
                <w:tcPr>
                  <w:tcW w:w="462" w:type="pct"/>
                  <w:tcBorders>
                    <w:left w:val="single" w:color="auto" w:sz="4" w:space="0"/>
                    <w:right w:val="single" w:color="auto" w:sz="4" w:space="0"/>
                  </w:tcBorders>
                  <w:vAlign w:val="center"/>
                </w:tcPr>
                <w:p w14:paraId="06ACD51D">
                  <w:pPr>
                    <w:tabs>
                      <w:tab w:val="left" w:pos="670"/>
                    </w:tabs>
                    <w:jc w:val="center"/>
                    <w:rPr>
                      <w:rFonts w:hint="default" w:eastAsia="宋体"/>
                      <w:sz w:val="18"/>
                      <w:szCs w:val="18"/>
                      <w:lang w:val="en-US" w:eastAsia="zh-CN"/>
                    </w:rPr>
                  </w:pPr>
                  <w:r>
                    <w:rPr>
                      <w:rFonts w:hint="eastAsia"/>
                      <w:sz w:val="18"/>
                      <w:szCs w:val="18"/>
                      <w:lang w:val="en-US" w:eastAsia="zh-CN"/>
                    </w:rPr>
                    <w:t>42.4</w:t>
                  </w:r>
                </w:p>
              </w:tc>
              <w:tc>
                <w:tcPr>
                  <w:tcW w:w="462" w:type="pct"/>
                  <w:tcBorders>
                    <w:left w:val="single" w:color="auto" w:sz="4" w:space="0"/>
                    <w:right w:val="single" w:color="auto" w:sz="4" w:space="0"/>
                  </w:tcBorders>
                  <w:vAlign w:val="center"/>
                </w:tcPr>
                <w:p w14:paraId="04B0F78D">
                  <w:pPr>
                    <w:tabs>
                      <w:tab w:val="left" w:pos="670"/>
                    </w:tabs>
                    <w:jc w:val="center"/>
                    <w:rPr>
                      <w:rFonts w:hint="default" w:eastAsia="宋体"/>
                      <w:sz w:val="18"/>
                      <w:szCs w:val="18"/>
                      <w:lang w:val="en-US" w:eastAsia="zh-CN"/>
                    </w:rPr>
                  </w:pPr>
                  <w:r>
                    <w:rPr>
                      <w:rFonts w:hint="eastAsia"/>
                      <w:sz w:val="18"/>
                      <w:szCs w:val="18"/>
                      <w:lang w:val="en-US" w:eastAsia="zh-CN"/>
                    </w:rPr>
                    <w:t>40.6</w:t>
                  </w:r>
                </w:p>
              </w:tc>
              <w:tc>
                <w:tcPr>
                  <w:tcW w:w="461" w:type="pct"/>
                  <w:tcBorders>
                    <w:left w:val="single" w:color="auto" w:sz="4" w:space="0"/>
                  </w:tcBorders>
                  <w:vAlign w:val="center"/>
                </w:tcPr>
                <w:p w14:paraId="26273DAB">
                  <w:pPr>
                    <w:tabs>
                      <w:tab w:val="left" w:pos="670"/>
                    </w:tabs>
                    <w:jc w:val="center"/>
                    <w:rPr>
                      <w:rFonts w:hint="default" w:eastAsia="宋体"/>
                      <w:sz w:val="18"/>
                      <w:szCs w:val="18"/>
                      <w:lang w:val="en-US" w:eastAsia="zh-CN"/>
                    </w:rPr>
                  </w:pPr>
                  <w:r>
                    <w:rPr>
                      <w:rFonts w:hint="eastAsia"/>
                      <w:sz w:val="18"/>
                      <w:szCs w:val="18"/>
                      <w:lang w:val="en-US" w:eastAsia="zh-CN"/>
                    </w:rPr>
                    <w:t>32.4</w:t>
                  </w:r>
                </w:p>
              </w:tc>
            </w:tr>
            <w:tr w14:paraId="698FC6B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4" w:hRule="atLeast"/>
                <w:jc w:val="center"/>
              </w:trPr>
              <w:tc>
                <w:tcPr>
                  <w:tcW w:w="1305" w:type="pct"/>
                  <w:vAlign w:val="center"/>
                </w:tcPr>
                <w:p w14:paraId="301912F6">
                  <w:pPr>
                    <w:jc w:val="center"/>
                    <w:rPr>
                      <w:sz w:val="18"/>
                      <w:szCs w:val="18"/>
                    </w:rPr>
                  </w:pPr>
                  <w:r>
                    <w:rPr>
                      <w:sz w:val="18"/>
                      <w:szCs w:val="18"/>
                    </w:rPr>
                    <w:t>标准</w:t>
                  </w:r>
                </w:p>
              </w:tc>
              <w:tc>
                <w:tcPr>
                  <w:tcW w:w="1848" w:type="pct"/>
                  <w:gridSpan w:val="4"/>
                  <w:vAlign w:val="center"/>
                </w:tcPr>
                <w:p w14:paraId="0046FC1C">
                  <w:pPr>
                    <w:tabs>
                      <w:tab w:val="left" w:pos="670"/>
                    </w:tabs>
                    <w:jc w:val="center"/>
                    <w:rPr>
                      <w:sz w:val="18"/>
                      <w:szCs w:val="18"/>
                    </w:rPr>
                  </w:pPr>
                  <w:r>
                    <w:rPr>
                      <w:rFonts w:hint="eastAsia"/>
                      <w:sz w:val="18"/>
                      <w:szCs w:val="18"/>
                    </w:rPr>
                    <w:t>55</w:t>
                  </w:r>
                </w:p>
              </w:tc>
              <w:tc>
                <w:tcPr>
                  <w:tcW w:w="1847" w:type="pct"/>
                  <w:gridSpan w:val="4"/>
                  <w:vAlign w:val="center"/>
                </w:tcPr>
                <w:p w14:paraId="0138302C">
                  <w:pPr>
                    <w:tabs>
                      <w:tab w:val="left" w:pos="670"/>
                    </w:tabs>
                    <w:jc w:val="center"/>
                    <w:rPr>
                      <w:sz w:val="18"/>
                      <w:szCs w:val="18"/>
                    </w:rPr>
                  </w:pPr>
                  <w:r>
                    <w:rPr>
                      <w:rFonts w:hint="eastAsia"/>
                      <w:sz w:val="18"/>
                      <w:szCs w:val="18"/>
                    </w:rPr>
                    <w:t>45</w:t>
                  </w:r>
                </w:p>
              </w:tc>
            </w:tr>
          </w:tbl>
          <w:p w14:paraId="78D2A8E4">
            <w:pPr>
              <w:spacing w:line="360" w:lineRule="auto"/>
              <w:ind w:firstLine="420" w:firstLineChars="200"/>
              <w:rPr>
                <w:rFonts w:hint="eastAsia"/>
                <w:szCs w:val="21"/>
                <w:lang w:val="en-US" w:eastAsia="zh-CN"/>
              </w:rPr>
            </w:pPr>
            <w:r>
              <w:rPr>
                <w:rFonts w:hint="eastAsia"/>
                <w:szCs w:val="21"/>
                <w:lang w:val="en-US" w:eastAsia="zh-CN"/>
              </w:rPr>
              <w:t>根据《大同经济技术开发区起步区控制性详细规划（现代服务产业园区）（2021-2035年）环境影响报告书》中的环境功能区规划要求：“居民住宅、医疗卫生、文化教育等，需要保持安静的区域执行《声环境质量标准》（</w:t>
            </w:r>
            <w:r>
              <w:rPr>
                <w:rFonts w:hint="default"/>
                <w:szCs w:val="21"/>
                <w:lang w:val="en-US" w:eastAsia="zh-CN"/>
              </w:rPr>
              <w:t>GB3096-2008</w:t>
            </w:r>
            <w:r>
              <w:rPr>
                <w:rFonts w:hint="eastAsia"/>
                <w:szCs w:val="21"/>
                <w:lang w:val="en-US" w:eastAsia="zh-CN"/>
              </w:rPr>
              <w:t>）1类标准要求；交通干线两侧一定距离内（30m）执行4a类标准”。</w:t>
            </w:r>
          </w:p>
          <w:p w14:paraId="0D69AE2F">
            <w:pPr>
              <w:spacing w:line="360" w:lineRule="auto"/>
              <w:ind w:firstLine="420" w:firstLineChars="200"/>
              <w:rPr>
                <w:rFonts w:hint="eastAsia"/>
                <w:szCs w:val="21"/>
                <w:lang w:val="en-US" w:eastAsia="zh-CN"/>
              </w:rPr>
            </w:pPr>
            <w:r>
              <w:rPr>
                <w:rFonts w:hint="eastAsia"/>
                <w:szCs w:val="21"/>
                <w:lang w:val="en-US" w:eastAsia="zh-CN"/>
              </w:rPr>
              <w:t>经调查，本项目位于开发区南环东路南侧，场址西侧距离河清路道路红线30m，北侧距离南环路道路红线50m，东侧距离正大路道路红线20m，南侧为御东观澜湾住宅小区。因西侧河清路和东侧正大路不属于园区范围内的交通干线，厂址北侧边界距离南环路道路红线距离50m（大于30m），故确定本项目场界四周应执行《声环境质量标准》（</w:t>
            </w:r>
            <w:r>
              <w:rPr>
                <w:rFonts w:hint="default"/>
                <w:szCs w:val="21"/>
                <w:lang w:val="en-US" w:eastAsia="zh-CN"/>
              </w:rPr>
              <w:t>GB3096-2008</w:t>
            </w:r>
            <w:r>
              <w:rPr>
                <w:rFonts w:hint="eastAsia"/>
                <w:szCs w:val="21"/>
                <w:lang w:val="en-US" w:eastAsia="zh-CN"/>
              </w:rPr>
              <w:t>）1类标准要求。</w:t>
            </w:r>
          </w:p>
          <w:p w14:paraId="57B6AC54">
            <w:pPr>
              <w:spacing w:line="360" w:lineRule="auto"/>
              <w:ind w:firstLine="420" w:firstLineChars="200"/>
              <w:rPr>
                <w:color w:val="auto"/>
                <w:szCs w:val="21"/>
              </w:rPr>
            </w:pPr>
            <w:r>
              <w:rPr>
                <w:szCs w:val="21"/>
              </w:rPr>
              <w:t>由监测结果可知：</w:t>
            </w:r>
            <w:r>
              <w:rPr>
                <w:rFonts w:hint="eastAsia"/>
                <w:szCs w:val="21"/>
                <w:lang w:val="en-US" w:eastAsia="zh-CN"/>
              </w:rPr>
              <w:t>场界及场址外南侧55m处敏感点处，</w:t>
            </w:r>
            <w:r>
              <w:rPr>
                <w:rFonts w:hint="eastAsia"/>
                <w:szCs w:val="21"/>
              </w:rPr>
              <w:t>监测点位</w:t>
            </w:r>
            <w:r>
              <w:rPr>
                <w:rFonts w:hint="eastAsia"/>
                <w:szCs w:val="21"/>
                <w:lang w:val="en-US" w:eastAsia="zh-CN"/>
              </w:rPr>
              <w:t>均</w:t>
            </w:r>
            <w:r>
              <w:rPr>
                <w:szCs w:val="21"/>
              </w:rPr>
              <w:t>满足《声环境质量标准》（GB3096-2008）</w:t>
            </w:r>
            <w:r>
              <w:rPr>
                <w:rFonts w:hint="eastAsia"/>
                <w:szCs w:val="21"/>
              </w:rPr>
              <w:t>1类标准要求</w:t>
            </w:r>
            <w:r>
              <w:rPr>
                <w:szCs w:val="21"/>
              </w:rPr>
              <w:t>。表明本区声环境质量现状</w:t>
            </w:r>
            <w:r>
              <w:rPr>
                <w:rFonts w:hint="eastAsia"/>
                <w:szCs w:val="21"/>
              </w:rPr>
              <w:t>良好</w:t>
            </w:r>
            <w:r>
              <w:rPr>
                <w:szCs w:val="21"/>
              </w:rPr>
              <w:t>。</w:t>
            </w:r>
          </w:p>
        </w:tc>
      </w:tr>
      <w:tr w14:paraId="79B9C68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63" w:hRule="atLeast"/>
          <w:jc w:val="center"/>
        </w:trPr>
        <w:tc>
          <w:tcPr>
            <w:tcW w:w="800" w:type="dxa"/>
            <w:vAlign w:val="center"/>
          </w:tcPr>
          <w:p w14:paraId="5BF2861D">
            <w:pPr>
              <w:adjustRightInd w:val="0"/>
              <w:snapToGrid w:val="0"/>
              <w:jc w:val="center"/>
              <w:rPr>
                <w:kern w:val="0"/>
                <w:szCs w:val="21"/>
              </w:rPr>
            </w:pPr>
            <w:r>
              <w:rPr>
                <w:kern w:val="0"/>
                <w:szCs w:val="21"/>
              </w:rPr>
              <w:t>环境</w:t>
            </w:r>
          </w:p>
          <w:p w14:paraId="005495AB">
            <w:pPr>
              <w:adjustRightInd w:val="0"/>
              <w:snapToGrid w:val="0"/>
              <w:jc w:val="center"/>
              <w:rPr>
                <w:kern w:val="0"/>
                <w:szCs w:val="21"/>
              </w:rPr>
            </w:pPr>
            <w:r>
              <w:rPr>
                <w:kern w:val="0"/>
                <w:szCs w:val="21"/>
              </w:rPr>
              <w:t>保护</w:t>
            </w:r>
          </w:p>
          <w:p w14:paraId="2C2394A5">
            <w:pPr>
              <w:adjustRightInd w:val="0"/>
              <w:snapToGrid w:val="0"/>
              <w:jc w:val="center"/>
              <w:rPr>
                <w:kern w:val="0"/>
                <w:szCs w:val="21"/>
              </w:rPr>
            </w:pPr>
            <w:r>
              <w:rPr>
                <w:kern w:val="0"/>
                <w:szCs w:val="21"/>
              </w:rPr>
              <w:t>目标</w:t>
            </w:r>
          </w:p>
        </w:tc>
        <w:tc>
          <w:tcPr>
            <w:tcW w:w="8190" w:type="dxa"/>
            <w:vAlign w:val="center"/>
          </w:tcPr>
          <w:p w14:paraId="3BADC0F3">
            <w:pPr>
              <w:spacing w:line="360" w:lineRule="auto"/>
              <w:ind w:firstLine="420" w:firstLineChars="200"/>
              <w:rPr>
                <w:rFonts w:hint="default"/>
                <w:color w:val="auto"/>
                <w:szCs w:val="21"/>
                <w:lang w:val="en-US" w:eastAsia="zh-CN"/>
              </w:rPr>
            </w:pPr>
            <w:r>
              <w:rPr>
                <w:rFonts w:hint="eastAsia"/>
                <w:color w:val="auto"/>
                <w:szCs w:val="21"/>
                <w:lang w:val="en-US" w:eastAsia="zh-CN"/>
              </w:rPr>
              <w:t>根据《山西省建设项目“一本式”环评报告编制技术指南 医疗机构（报告表）（试行）》中的要求，对项目周边环境保护目标进行调查。</w:t>
            </w:r>
            <w:r>
              <w:rPr>
                <w:color w:val="auto"/>
                <w:szCs w:val="21"/>
              </w:rPr>
              <w:t>项目地理位置</w:t>
            </w:r>
            <w:r>
              <w:rPr>
                <w:rFonts w:hint="eastAsia"/>
                <w:color w:val="auto"/>
                <w:szCs w:val="21"/>
                <w:lang w:val="en-US" w:eastAsia="zh-CN"/>
              </w:rPr>
              <w:t>及环保目标分布图</w:t>
            </w:r>
            <w:r>
              <w:rPr>
                <w:color w:val="auto"/>
                <w:szCs w:val="21"/>
              </w:rPr>
              <w:t>见附图1。</w:t>
            </w:r>
          </w:p>
          <w:p w14:paraId="3B660A2F">
            <w:pPr>
              <w:spacing w:line="360" w:lineRule="auto"/>
              <w:ind w:firstLine="422" w:firstLineChars="200"/>
              <w:rPr>
                <w:rFonts w:hint="eastAsia"/>
                <w:b/>
                <w:bCs/>
                <w:color w:val="auto"/>
                <w:szCs w:val="21"/>
                <w:lang w:val="en-US" w:eastAsia="zh-CN"/>
              </w:rPr>
            </w:pPr>
            <w:r>
              <w:rPr>
                <w:rFonts w:hint="eastAsia"/>
                <w:b/>
                <w:bCs/>
                <w:color w:val="auto"/>
                <w:szCs w:val="21"/>
                <w:lang w:val="en-US" w:eastAsia="zh-CN"/>
              </w:rPr>
              <w:t>3.4大气环境</w:t>
            </w:r>
          </w:p>
          <w:p w14:paraId="6F76E41D">
            <w:pPr>
              <w:spacing w:line="360" w:lineRule="auto"/>
              <w:ind w:firstLine="420" w:firstLineChars="200"/>
              <w:rPr>
                <w:rFonts w:hint="default"/>
                <w:color w:val="auto"/>
                <w:szCs w:val="21"/>
                <w:lang w:val="en-US" w:eastAsia="zh-CN"/>
              </w:rPr>
            </w:pPr>
            <w:r>
              <w:rPr>
                <w:rFonts w:hint="eastAsia"/>
                <w:color w:val="auto"/>
                <w:szCs w:val="21"/>
                <w:lang w:val="en-US" w:eastAsia="zh-CN"/>
              </w:rPr>
              <w:t>场址边界外100m范围内的自然保护区、风景名胜区、居住区、文化区和农村地区中人数局集中的区域保护目标见表3-4中所示。</w:t>
            </w:r>
          </w:p>
          <w:p w14:paraId="5C63EF22">
            <w:pPr>
              <w:keepNext w:val="0"/>
              <w:keepLines w:val="0"/>
              <w:widowControl/>
              <w:suppressLineNumbers w:val="0"/>
              <w:jc w:val="center"/>
              <w:rPr>
                <w:rFonts w:hint="default" w:eastAsia="宋体"/>
                <w:b/>
                <w:color w:val="auto"/>
                <w:sz w:val="18"/>
                <w:szCs w:val="18"/>
                <w:vertAlign w:val="superscript"/>
                <w:lang w:val="en-US" w:eastAsia="zh-CN"/>
              </w:rPr>
            </w:pPr>
            <w:r>
              <w:rPr>
                <w:b/>
                <w:color w:val="auto"/>
                <w:sz w:val="18"/>
                <w:szCs w:val="18"/>
              </w:rPr>
              <w:t>表3-</w:t>
            </w:r>
            <w:r>
              <w:rPr>
                <w:rFonts w:hint="eastAsia"/>
                <w:b/>
                <w:color w:val="auto"/>
                <w:sz w:val="18"/>
                <w:szCs w:val="18"/>
                <w:lang w:val="en-US" w:eastAsia="zh-CN"/>
              </w:rPr>
              <w:t>4</w:t>
            </w:r>
            <w:r>
              <w:rPr>
                <w:b/>
                <w:color w:val="auto"/>
                <w:sz w:val="18"/>
                <w:szCs w:val="18"/>
              </w:rPr>
              <w:t xml:space="preserve">    </w:t>
            </w:r>
            <w:r>
              <w:rPr>
                <w:rFonts w:hint="eastAsia"/>
                <w:b/>
                <w:color w:val="auto"/>
                <w:sz w:val="18"/>
                <w:szCs w:val="18"/>
                <w:lang w:val="en-US" w:eastAsia="zh-CN"/>
              </w:rPr>
              <w:t>环境空气保护目标表</w:t>
            </w:r>
          </w:p>
          <w:tbl>
            <w:tblPr>
              <w:tblStyle w:val="47"/>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029"/>
              <w:gridCol w:w="825"/>
              <w:gridCol w:w="785"/>
              <w:gridCol w:w="661"/>
              <w:gridCol w:w="831"/>
              <w:gridCol w:w="1236"/>
              <w:gridCol w:w="742"/>
              <w:gridCol w:w="832"/>
            </w:tblGrid>
            <w:tr w14:paraId="3DF3808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2" w:hRule="atLeast"/>
              </w:trPr>
              <w:tc>
                <w:tcPr>
                  <w:tcW w:w="1278" w:type="pct"/>
                  <w:vMerge w:val="restart"/>
                  <w:vAlign w:val="center"/>
                </w:tcPr>
                <w:p w14:paraId="2A58BFC8">
                  <w:pPr>
                    <w:spacing w:line="240" w:lineRule="atLeast"/>
                    <w:jc w:val="center"/>
                    <w:rPr>
                      <w:rFonts w:hint="default" w:eastAsia="宋体"/>
                      <w:color w:val="auto"/>
                      <w:sz w:val="18"/>
                      <w:szCs w:val="18"/>
                      <w:lang w:val="en-US" w:eastAsia="zh-CN"/>
                    </w:rPr>
                  </w:pPr>
                  <w:r>
                    <w:rPr>
                      <w:rFonts w:hint="eastAsia"/>
                      <w:color w:val="auto"/>
                      <w:sz w:val="18"/>
                      <w:szCs w:val="18"/>
                      <w:lang w:val="en-US" w:eastAsia="zh-CN"/>
                    </w:rPr>
                    <w:t>保护目标</w:t>
                  </w:r>
                </w:p>
              </w:tc>
              <w:tc>
                <w:tcPr>
                  <w:tcW w:w="1014" w:type="pct"/>
                  <w:gridSpan w:val="2"/>
                  <w:vAlign w:val="center"/>
                </w:tcPr>
                <w:p w14:paraId="12F0A04B">
                  <w:pPr>
                    <w:spacing w:line="240" w:lineRule="atLeast"/>
                    <w:jc w:val="center"/>
                    <w:rPr>
                      <w:rFonts w:hint="default" w:eastAsia="宋体"/>
                      <w:color w:val="auto"/>
                      <w:sz w:val="18"/>
                      <w:szCs w:val="18"/>
                      <w:lang w:val="en-US" w:eastAsia="zh-CN"/>
                    </w:rPr>
                  </w:pPr>
                  <w:r>
                    <w:rPr>
                      <w:rFonts w:hint="eastAsia"/>
                      <w:color w:val="auto"/>
                      <w:sz w:val="18"/>
                      <w:szCs w:val="18"/>
                      <w:lang w:val="en-US" w:eastAsia="zh-CN"/>
                    </w:rPr>
                    <w:t>坐标/m</w:t>
                  </w:r>
                </w:p>
              </w:tc>
              <w:tc>
                <w:tcPr>
                  <w:tcW w:w="416" w:type="pct"/>
                  <w:vMerge w:val="restart"/>
                  <w:vAlign w:val="center"/>
                </w:tcPr>
                <w:p w14:paraId="7143E819">
                  <w:pPr>
                    <w:spacing w:line="240" w:lineRule="atLeast"/>
                    <w:jc w:val="center"/>
                    <w:rPr>
                      <w:rFonts w:hint="eastAsia"/>
                      <w:color w:val="auto"/>
                      <w:sz w:val="18"/>
                      <w:szCs w:val="18"/>
                      <w:lang w:val="en-US" w:eastAsia="zh-CN"/>
                    </w:rPr>
                  </w:pPr>
                  <w:r>
                    <w:rPr>
                      <w:rFonts w:hint="eastAsia"/>
                      <w:color w:val="auto"/>
                      <w:sz w:val="18"/>
                      <w:szCs w:val="18"/>
                      <w:lang w:val="en-US" w:eastAsia="zh-CN"/>
                    </w:rPr>
                    <w:t>保护</w:t>
                  </w:r>
                </w:p>
                <w:p w14:paraId="08EA5B22">
                  <w:pPr>
                    <w:spacing w:line="240" w:lineRule="atLeast"/>
                    <w:jc w:val="center"/>
                    <w:rPr>
                      <w:rFonts w:hint="default" w:eastAsia="宋体"/>
                      <w:color w:val="auto"/>
                      <w:sz w:val="18"/>
                      <w:szCs w:val="18"/>
                      <w:lang w:val="en-US" w:eastAsia="zh-CN"/>
                    </w:rPr>
                  </w:pPr>
                  <w:r>
                    <w:rPr>
                      <w:rFonts w:hint="eastAsia"/>
                      <w:color w:val="auto"/>
                      <w:sz w:val="18"/>
                      <w:szCs w:val="18"/>
                      <w:lang w:val="en-US" w:eastAsia="zh-CN"/>
                    </w:rPr>
                    <w:t>对象</w:t>
                  </w:r>
                </w:p>
              </w:tc>
              <w:tc>
                <w:tcPr>
                  <w:tcW w:w="523" w:type="pct"/>
                  <w:vMerge w:val="restart"/>
                  <w:vAlign w:val="center"/>
                </w:tcPr>
                <w:p w14:paraId="16432CCD">
                  <w:pPr>
                    <w:spacing w:line="240" w:lineRule="atLeast"/>
                    <w:jc w:val="center"/>
                    <w:rPr>
                      <w:rFonts w:hint="eastAsia"/>
                      <w:color w:val="auto"/>
                      <w:sz w:val="18"/>
                      <w:szCs w:val="18"/>
                      <w:lang w:val="en-US" w:eastAsia="zh-CN"/>
                    </w:rPr>
                  </w:pPr>
                  <w:r>
                    <w:rPr>
                      <w:rFonts w:hint="eastAsia"/>
                      <w:color w:val="auto"/>
                      <w:sz w:val="18"/>
                      <w:szCs w:val="18"/>
                      <w:lang w:val="en-US" w:eastAsia="zh-CN"/>
                    </w:rPr>
                    <w:t>保护</w:t>
                  </w:r>
                </w:p>
                <w:p w14:paraId="4C08E573">
                  <w:pPr>
                    <w:spacing w:line="240" w:lineRule="atLeast"/>
                    <w:jc w:val="center"/>
                    <w:rPr>
                      <w:rFonts w:hint="default" w:eastAsia="宋体"/>
                      <w:color w:val="auto"/>
                      <w:sz w:val="18"/>
                      <w:szCs w:val="18"/>
                      <w:lang w:val="en-US" w:eastAsia="zh-CN"/>
                    </w:rPr>
                  </w:pPr>
                  <w:r>
                    <w:rPr>
                      <w:rFonts w:hint="eastAsia"/>
                      <w:color w:val="auto"/>
                      <w:sz w:val="18"/>
                      <w:szCs w:val="18"/>
                      <w:lang w:val="en-US" w:eastAsia="zh-CN"/>
                    </w:rPr>
                    <w:t>内容</w:t>
                  </w:r>
                </w:p>
              </w:tc>
              <w:tc>
                <w:tcPr>
                  <w:tcW w:w="778" w:type="pct"/>
                  <w:vMerge w:val="restart"/>
                  <w:vAlign w:val="center"/>
                </w:tcPr>
                <w:p w14:paraId="6F18BAB4">
                  <w:pPr>
                    <w:spacing w:line="240" w:lineRule="atLeast"/>
                    <w:jc w:val="center"/>
                    <w:rPr>
                      <w:rFonts w:hint="default" w:eastAsia="宋体"/>
                      <w:color w:val="auto"/>
                      <w:sz w:val="18"/>
                      <w:szCs w:val="18"/>
                      <w:lang w:val="en-US" w:eastAsia="zh-CN"/>
                    </w:rPr>
                  </w:pPr>
                  <w:r>
                    <w:rPr>
                      <w:rFonts w:hint="eastAsia"/>
                      <w:color w:val="auto"/>
                      <w:sz w:val="18"/>
                      <w:szCs w:val="18"/>
                      <w:lang w:val="en-US" w:eastAsia="zh-CN"/>
                    </w:rPr>
                    <w:t>环境功能区</w:t>
                  </w:r>
                </w:p>
              </w:tc>
              <w:tc>
                <w:tcPr>
                  <w:tcW w:w="467" w:type="pct"/>
                  <w:vMerge w:val="restart"/>
                  <w:vAlign w:val="center"/>
                </w:tcPr>
                <w:p w14:paraId="51580D35">
                  <w:pPr>
                    <w:spacing w:line="240" w:lineRule="atLeast"/>
                    <w:jc w:val="center"/>
                    <w:rPr>
                      <w:rFonts w:hint="default" w:eastAsia="宋体"/>
                      <w:color w:val="auto"/>
                      <w:sz w:val="18"/>
                      <w:szCs w:val="18"/>
                      <w:lang w:val="en-US" w:eastAsia="zh-CN"/>
                    </w:rPr>
                  </w:pPr>
                  <w:r>
                    <w:rPr>
                      <w:rFonts w:hint="eastAsia"/>
                      <w:color w:val="auto"/>
                      <w:sz w:val="18"/>
                      <w:szCs w:val="18"/>
                      <w:lang w:val="en-US" w:eastAsia="zh-CN"/>
                    </w:rPr>
                    <w:t>相对方位</w:t>
                  </w:r>
                </w:p>
              </w:tc>
              <w:tc>
                <w:tcPr>
                  <w:tcW w:w="521" w:type="pct"/>
                  <w:vMerge w:val="restart"/>
                  <w:vAlign w:val="center"/>
                </w:tcPr>
                <w:p w14:paraId="39FE5801">
                  <w:pPr>
                    <w:spacing w:line="240" w:lineRule="atLeast"/>
                    <w:jc w:val="center"/>
                    <w:rPr>
                      <w:rFonts w:hint="default" w:eastAsia="宋体"/>
                      <w:color w:val="auto"/>
                      <w:sz w:val="18"/>
                      <w:szCs w:val="18"/>
                      <w:lang w:val="en-US" w:eastAsia="zh-CN"/>
                    </w:rPr>
                  </w:pPr>
                  <w:r>
                    <w:rPr>
                      <w:rFonts w:hint="eastAsia"/>
                      <w:color w:val="auto"/>
                      <w:sz w:val="18"/>
                      <w:szCs w:val="18"/>
                      <w:lang w:val="en-US" w:eastAsia="zh-CN"/>
                    </w:rPr>
                    <w:t>距边界距离/m</w:t>
                  </w:r>
                </w:p>
              </w:tc>
            </w:tr>
            <w:tr w14:paraId="5405BEE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278" w:type="pct"/>
                  <w:vMerge w:val="continue"/>
                  <w:vAlign w:val="center"/>
                </w:tcPr>
                <w:p w14:paraId="1A4FEB16">
                  <w:pPr>
                    <w:spacing w:line="240" w:lineRule="atLeast"/>
                    <w:jc w:val="center"/>
                    <w:rPr>
                      <w:rFonts w:hint="eastAsia" w:eastAsia="宋体"/>
                      <w:color w:val="auto"/>
                      <w:sz w:val="18"/>
                      <w:szCs w:val="18"/>
                      <w:lang w:val="en-US" w:eastAsia="zh-CN"/>
                    </w:rPr>
                  </w:pPr>
                </w:p>
              </w:tc>
              <w:tc>
                <w:tcPr>
                  <w:tcW w:w="520" w:type="pct"/>
                  <w:vAlign w:val="center"/>
                </w:tcPr>
                <w:p w14:paraId="456A5E03">
                  <w:pPr>
                    <w:spacing w:line="240" w:lineRule="atLeast"/>
                    <w:jc w:val="center"/>
                    <w:rPr>
                      <w:rFonts w:hint="default" w:eastAsia="宋体"/>
                      <w:color w:val="auto"/>
                      <w:sz w:val="18"/>
                      <w:szCs w:val="18"/>
                      <w:lang w:val="en-US" w:eastAsia="zh-CN"/>
                    </w:rPr>
                  </w:pPr>
                  <w:r>
                    <w:rPr>
                      <w:rFonts w:hint="eastAsia"/>
                      <w:color w:val="auto"/>
                      <w:sz w:val="18"/>
                      <w:szCs w:val="18"/>
                      <w:lang w:val="en-US" w:eastAsia="zh-CN"/>
                    </w:rPr>
                    <w:t>X</w:t>
                  </w:r>
                </w:p>
              </w:tc>
              <w:tc>
                <w:tcPr>
                  <w:tcW w:w="494" w:type="pct"/>
                  <w:vAlign w:val="center"/>
                </w:tcPr>
                <w:p w14:paraId="71FF5713">
                  <w:pPr>
                    <w:spacing w:line="240" w:lineRule="atLeast"/>
                    <w:jc w:val="center"/>
                    <w:rPr>
                      <w:rFonts w:hint="default" w:eastAsia="宋体"/>
                      <w:color w:val="auto"/>
                      <w:sz w:val="18"/>
                      <w:szCs w:val="18"/>
                      <w:lang w:val="en-US" w:eastAsia="zh-CN"/>
                    </w:rPr>
                  </w:pPr>
                  <w:r>
                    <w:rPr>
                      <w:rFonts w:hint="eastAsia"/>
                      <w:color w:val="auto"/>
                      <w:sz w:val="18"/>
                      <w:szCs w:val="18"/>
                      <w:lang w:val="en-US" w:eastAsia="zh-CN"/>
                    </w:rPr>
                    <w:t>Y</w:t>
                  </w:r>
                </w:p>
              </w:tc>
              <w:tc>
                <w:tcPr>
                  <w:tcW w:w="416" w:type="pct"/>
                  <w:vMerge w:val="continue"/>
                  <w:vAlign w:val="center"/>
                </w:tcPr>
                <w:p w14:paraId="760760DD">
                  <w:pPr>
                    <w:spacing w:line="240" w:lineRule="atLeast"/>
                    <w:jc w:val="center"/>
                    <w:rPr>
                      <w:rFonts w:hint="default" w:eastAsia="宋体"/>
                      <w:color w:val="auto"/>
                      <w:sz w:val="18"/>
                      <w:szCs w:val="18"/>
                      <w:lang w:val="en-US" w:eastAsia="zh-CN"/>
                    </w:rPr>
                  </w:pPr>
                </w:p>
              </w:tc>
              <w:tc>
                <w:tcPr>
                  <w:tcW w:w="523" w:type="pct"/>
                  <w:vMerge w:val="continue"/>
                  <w:vAlign w:val="center"/>
                </w:tcPr>
                <w:p w14:paraId="7962FBC3">
                  <w:pPr>
                    <w:spacing w:line="240" w:lineRule="atLeast"/>
                    <w:jc w:val="center"/>
                    <w:rPr>
                      <w:rFonts w:hint="default" w:eastAsia="宋体"/>
                      <w:color w:val="auto"/>
                      <w:sz w:val="18"/>
                      <w:szCs w:val="18"/>
                      <w:lang w:val="en-US" w:eastAsia="zh-CN"/>
                    </w:rPr>
                  </w:pPr>
                </w:p>
              </w:tc>
              <w:tc>
                <w:tcPr>
                  <w:tcW w:w="778" w:type="pct"/>
                  <w:vMerge w:val="continue"/>
                  <w:vAlign w:val="center"/>
                </w:tcPr>
                <w:p w14:paraId="080F2333">
                  <w:pPr>
                    <w:spacing w:line="240" w:lineRule="atLeast"/>
                    <w:jc w:val="center"/>
                    <w:rPr>
                      <w:rFonts w:hint="default" w:eastAsia="宋体"/>
                      <w:color w:val="auto"/>
                      <w:sz w:val="18"/>
                      <w:szCs w:val="18"/>
                      <w:lang w:val="en-US" w:eastAsia="zh-CN"/>
                    </w:rPr>
                  </w:pPr>
                </w:p>
              </w:tc>
              <w:tc>
                <w:tcPr>
                  <w:tcW w:w="467" w:type="pct"/>
                  <w:vMerge w:val="continue"/>
                  <w:vAlign w:val="center"/>
                </w:tcPr>
                <w:p w14:paraId="5A7B321D">
                  <w:pPr>
                    <w:spacing w:line="240" w:lineRule="atLeast"/>
                    <w:jc w:val="center"/>
                    <w:rPr>
                      <w:rFonts w:hint="default" w:eastAsia="宋体"/>
                      <w:color w:val="auto"/>
                      <w:sz w:val="18"/>
                      <w:szCs w:val="18"/>
                      <w:lang w:val="en-US" w:eastAsia="zh-CN"/>
                    </w:rPr>
                  </w:pPr>
                </w:p>
              </w:tc>
              <w:tc>
                <w:tcPr>
                  <w:tcW w:w="521" w:type="pct"/>
                  <w:vMerge w:val="continue"/>
                  <w:vAlign w:val="center"/>
                </w:tcPr>
                <w:p w14:paraId="23193B5E">
                  <w:pPr>
                    <w:spacing w:line="240" w:lineRule="atLeast"/>
                    <w:jc w:val="center"/>
                    <w:rPr>
                      <w:rFonts w:hint="default" w:eastAsia="宋体"/>
                      <w:color w:val="auto"/>
                      <w:sz w:val="18"/>
                      <w:szCs w:val="18"/>
                      <w:lang w:val="en-US" w:eastAsia="zh-CN"/>
                    </w:rPr>
                  </w:pPr>
                </w:p>
              </w:tc>
            </w:tr>
            <w:tr w14:paraId="3E05EDB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3" w:hRule="atLeast"/>
              </w:trPr>
              <w:tc>
                <w:tcPr>
                  <w:tcW w:w="1278" w:type="pct"/>
                  <w:vAlign w:val="center"/>
                </w:tcPr>
                <w:p w14:paraId="21F0BCDE">
                  <w:pPr>
                    <w:spacing w:line="240" w:lineRule="atLeast"/>
                    <w:jc w:val="center"/>
                    <w:rPr>
                      <w:rFonts w:hint="default" w:eastAsia="宋体"/>
                      <w:color w:val="auto"/>
                      <w:sz w:val="18"/>
                      <w:szCs w:val="18"/>
                      <w:lang w:val="en-US" w:eastAsia="zh-CN"/>
                    </w:rPr>
                  </w:pPr>
                  <w:r>
                    <w:rPr>
                      <w:rFonts w:hint="eastAsia"/>
                      <w:color w:val="auto"/>
                      <w:sz w:val="18"/>
                      <w:szCs w:val="18"/>
                      <w:lang w:val="en-US" w:eastAsia="zh-CN"/>
                    </w:rPr>
                    <w:t>上水湾龙园小区</w:t>
                  </w:r>
                </w:p>
              </w:tc>
              <w:tc>
                <w:tcPr>
                  <w:tcW w:w="520" w:type="pct"/>
                  <w:vAlign w:val="center"/>
                </w:tcPr>
                <w:p w14:paraId="1CA059D4">
                  <w:pPr>
                    <w:spacing w:line="240" w:lineRule="atLeast"/>
                    <w:jc w:val="center"/>
                    <w:rPr>
                      <w:rFonts w:hint="default" w:eastAsia="宋体"/>
                      <w:color w:val="auto"/>
                      <w:sz w:val="18"/>
                      <w:szCs w:val="18"/>
                      <w:lang w:val="en-US" w:eastAsia="zh-CN"/>
                    </w:rPr>
                  </w:pPr>
                  <w:r>
                    <w:rPr>
                      <w:rFonts w:hint="eastAsia"/>
                      <w:color w:val="auto"/>
                      <w:sz w:val="18"/>
                      <w:szCs w:val="18"/>
                      <w:lang w:val="en-US" w:eastAsia="zh-CN"/>
                    </w:rPr>
                    <w:t>30</w:t>
                  </w:r>
                </w:p>
              </w:tc>
              <w:tc>
                <w:tcPr>
                  <w:tcW w:w="494" w:type="pct"/>
                  <w:vAlign w:val="center"/>
                </w:tcPr>
                <w:p w14:paraId="1CDF38F8">
                  <w:pPr>
                    <w:spacing w:line="240" w:lineRule="atLeast"/>
                    <w:jc w:val="center"/>
                    <w:rPr>
                      <w:rFonts w:hint="default" w:eastAsia="宋体"/>
                      <w:color w:val="auto"/>
                      <w:sz w:val="18"/>
                      <w:szCs w:val="18"/>
                      <w:lang w:val="en-US" w:eastAsia="zh-CN"/>
                    </w:rPr>
                  </w:pPr>
                  <w:r>
                    <w:rPr>
                      <w:rFonts w:hint="eastAsia"/>
                      <w:color w:val="auto"/>
                      <w:sz w:val="18"/>
                      <w:szCs w:val="18"/>
                      <w:lang w:val="en-US" w:eastAsia="zh-CN"/>
                    </w:rPr>
                    <w:t>170</w:t>
                  </w:r>
                </w:p>
              </w:tc>
              <w:tc>
                <w:tcPr>
                  <w:tcW w:w="416" w:type="pct"/>
                  <w:vMerge w:val="restart"/>
                  <w:vAlign w:val="center"/>
                </w:tcPr>
                <w:p w14:paraId="31E9DC48">
                  <w:pPr>
                    <w:spacing w:line="240" w:lineRule="atLeast"/>
                    <w:jc w:val="center"/>
                    <w:rPr>
                      <w:rFonts w:hint="eastAsia"/>
                      <w:color w:val="auto"/>
                      <w:sz w:val="18"/>
                      <w:szCs w:val="18"/>
                      <w:lang w:val="en-US" w:eastAsia="zh-CN"/>
                    </w:rPr>
                  </w:pPr>
                  <w:r>
                    <w:rPr>
                      <w:rFonts w:hint="eastAsia"/>
                      <w:color w:val="auto"/>
                      <w:sz w:val="18"/>
                      <w:szCs w:val="18"/>
                      <w:lang w:val="en-US" w:eastAsia="zh-CN"/>
                    </w:rPr>
                    <w:t>居民</w:t>
                  </w:r>
                </w:p>
                <w:p w14:paraId="36720AD6">
                  <w:pPr>
                    <w:spacing w:line="240" w:lineRule="atLeast"/>
                    <w:jc w:val="center"/>
                    <w:rPr>
                      <w:rFonts w:hint="default" w:eastAsia="宋体"/>
                      <w:color w:val="auto"/>
                      <w:sz w:val="18"/>
                      <w:szCs w:val="18"/>
                      <w:lang w:val="en-US" w:eastAsia="zh-CN"/>
                    </w:rPr>
                  </w:pPr>
                  <w:r>
                    <w:rPr>
                      <w:rFonts w:hint="eastAsia"/>
                      <w:color w:val="auto"/>
                      <w:sz w:val="18"/>
                      <w:szCs w:val="18"/>
                      <w:lang w:val="en-US" w:eastAsia="zh-CN"/>
                    </w:rPr>
                    <w:t>住宅</w:t>
                  </w:r>
                </w:p>
              </w:tc>
              <w:tc>
                <w:tcPr>
                  <w:tcW w:w="523" w:type="pct"/>
                  <w:vAlign w:val="center"/>
                </w:tcPr>
                <w:p w14:paraId="1047FFD4">
                  <w:pPr>
                    <w:spacing w:line="240" w:lineRule="atLeast"/>
                    <w:jc w:val="center"/>
                    <w:rPr>
                      <w:rFonts w:hint="default" w:eastAsia="宋体"/>
                      <w:color w:val="auto"/>
                      <w:sz w:val="18"/>
                      <w:szCs w:val="18"/>
                      <w:lang w:val="en-US" w:eastAsia="zh-CN"/>
                    </w:rPr>
                  </w:pPr>
                  <w:r>
                    <w:rPr>
                      <w:rFonts w:hint="eastAsia"/>
                      <w:color w:val="auto"/>
                      <w:sz w:val="18"/>
                      <w:szCs w:val="18"/>
                      <w:lang w:val="en-US" w:eastAsia="zh-CN"/>
                    </w:rPr>
                    <w:t>680人</w:t>
                  </w:r>
                </w:p>
              </w:tc>
              <w:tc>
                <w:tcPr>
                  <w:tcW w:w="778" w:type="pct"/>
                  <w:vMerge w:val="restart"/>
                  <w:vAlign w:val="center"/>
                </w:tcPr>
                <w:p w14:paraId="35313D48">
                  <w:pPr>
                    <w:spacing w:line="240" w:lineRule="atLeast"/>
                    <w:jc w:val="center"/>
                    <w:rPr>
                      <w:rFonts w:hint="default" w:eastAsia="宋体"/>
                      <w:color w:val="auto"/>
                      <w:sz w:val="18"/>
                      <w:szCs w:val="18"/>
                      <w:lang w:val="en-US" w:eastAsia="zh-CN"/>
                    </w:rPr>
                  </w:pPr>
                  <w:r>
                    <w:rPr>
                      <w:bCs/>
                      <w:sz w:val="18"/>
                      <w:szCs w:val="18"/>
                    </w:rPr>
                    <w:t>《环境空气质量标准》（</w:t>
                  </w:r>
                  <w:r>
                    <w:rPr>
                      <w:rFonts w:hint="eastAsia"/>
                      <w:bCs/>
                      <w:sz w:val="18"/>
                      <w:szCs w:val="18"/>
                      <w:lang w:val="en-US" w:eastAsia="zh-CN"/>
                    </w:rPr>
                    <w:t>GB3095</w:t>
                  </w:r>
                  <w:r>
                    <w:rPr>
                      <w:bCs/>
                      <w:sz w:val="18"/>
                      <w:szCs w:val="18"/>
                    </w:rPr>
                    <w:t>－2012）二级</w:t>
                  </w:r>
                </w:p>
              </w:tc>
              <w:tc>
                <w:tcPr>
                  <w:tcW w:w="467" w:type="pct"/>
                  <w:shd w:val="clear" w:color="auto" w:fill="auto"/>
                  <w:vAlign w:val="center"/>
                </w:tcPr>
                <w:p w14:paraId="15101377">
                  <w:pPr>
                    <w:spacing w:line="240" w:lineRule="atLeast"/>
                    <w:jc w:val="center"/>
                    <w:rPr>
                      <w:rFonts w:hint="default"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N</w:t>
                  </w:r>
                </w:p>
              </w:tc>
              <w:tc>
                <w:tcPr>
                  <w:tcW w:w="521" w:type="pct"/>
                  <w:shd w:val="clear" w:color="auto" w:fill="auto"/>
                  <w:vAlign w:val="center"/>
                </w:tcPr>
                <w:p w14:paraId="11DF329E">
                  <w:pPr>
                    <w:spacing w:line="240" w:lineRule="atLeast"/>
                    <w:jc w:val="center"/>
                    <w:rPr>
                      <w:rFonts w:hint="default"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100</w:t>
                  </w:r>
                </w:p>
              </w:tc>
            </w:tr>
            <w:tr w14:paraId="4730F57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7" w:hRule="atLeast"/>
              </w:trPr>
              <w:tc>
                <w:tcPr>
                  <w:tcW w:w="1278" w:type="pct"/>
                  <w:vAlign w:val="center"/>
                </w:tcPr>
                <w:p w14:paraId="1C3904F7">
                  <w:pPr>
                    <w:spacing w:line="240" w:lineRule="atLeast"/>
                    <w:jc w:val="center"/>
                    <w:rPr>
                      <w:rFonts w:hint="default"/>
                      <w:color w:val="auto"/>
                      <w:sz w:val="18"/>
                      <w:szCs w:val="18"/>
                      <w:lang w:val="en-US" w:eastAsia="zh-CN"/>
                    </w:rPr>
                  </w:pPr>
                  <w:r>
                    <w:rPr>
                      <w:rFonts w:hint="eastAsia"/>
                      <w:color w:val="auto"/>
                      <w:sz w:val="18"/>
                      <w:szCs w:val="18"/>
                      <w:lang w:val="en-US" w:eastAsia="zh-CN"/>
                    </w:rPr>
                    <w:t>樊庄家园南苑小区</w:t>
                  </w:r>
                </w:p>
              </w:tc>
              <w:tc>
                <w:tcPr>
                  <w:tcW w:w="520" w:type="pct"/>
                  <w:vAlign w:val="center"/>
                </w:tcPr>
                <w:p w14:paraId="2AF4BDFF">
                  <w:pPr>
                    <w:spacing w:line="240" w:lineRule="atLeast"/>
                    <w:jc w:val="center"/>
                    <w:rPr>
                      <w:rFonts w:hint="default"/>
                      <w:color w:val="auto"/>
                      <w:sz w:val="18"/>
                      <w:szCs w:val="18"/>
                      <w:lang w:val="en-US" w:eastAsia="zh-CN"/>
                    </w:rPr>
                  </w:pPr>
                  <w:r>
                    <w:rPr>
                      <w:rFonts w:hint="eastAsia"/>
                      <w:color w:val="auto"/>
                      <w:sz w:val="18"/>
                      <w:szCs w:val="18"/>
                      <w:lang w:val="en-US" w:eastAsia="zh-CN"/>
                    </w:rPr>
                    <w:t>350</w:t>
                  </w:r>
                </w:p>
              </w:tc>
              <w:tc>
                <w:tcPr>
                  <w:tcW w:w="494" w:type="pct"/>
                  <w:vAlign w:val="center"/>
                </w:tcPr>
                <w:p w14:paraId="27C5B7CC">
                  <w:pPr>
                    <w:spacing w:line="240" w:lineRule="atLeast"/>
                    <w:jc w:val="center"/>
                    <w:rPr>
                      <w:rFonts w:hint="default"/>
                      <w:color w:val="auto"/>
                      <w:sz w:val="18"/>
                      <w:szCs w:val="18"/>
                      <w:lang w:val="en-US" w:eastAsia="zh-CN"/>
                    </w:rPr>
                  </w:pPr>
                  <w:r>
                    <w:rPr>
                      <w:rFonts w:hint="eastAsia"/>
                      <w:color w:val="auto"/>
                      <w:sz w:val="18"/>
                      <w:szCs w:val="18"/>
                      <w:lang w:val="en-US" w:eastAsia="zh-CN"/>
                    </w:rPr>
                    <w:t>-145</w:t>
                  </w:r>
                </w:p>
              </w:tc>
              <w:tc>
                <w:tcPr>
                  <w:tcW w:w="416" w:type="pct"/>
                  <w:vMerge w:val="continue"/>
                  <w:vAlign w:val="center"/>
                </w:tcPr>
                <w:p w14:paraId="71497A90">
                  <w:pPr>
                    <w:spacing w:line="240" w:lineRule="atLeast"/>
                    <w:jc w:val="center"/>
                    <w:rPr>
                      <w:rFonts w:hint="default"/>
                      <w:color w:val="auto"/>
                      <w:sz w:val="18"/>
                      <w:szCs w:val="18"/>
                      <w:lang w:val="en-US" w:eastAsia="zh-CN"/>
                    </w:rPr>
                  </w:pPr>
                </w:p>
              </w:tc>
              <w:tc>
                <w:tcPr>
                  <w:tcW w:w="523" w:type="pct"/>
                  <w:vAlign w:val="center"/>
                </w:tcPr>
                <w:p w14:paraId="1AA078D6">
                  <w:pPr>
                    <w:spacing w:line="240" w:lineRule="atLeast"/>
                    <w:jc w:val="center"/>
                    <w:rPr>
                      <w:rFonts w:hint="default"/>
                      <w:color w:val="auto"/>
                      <w:sz w:val="18"/>
                      <w:szCs w:val="18"/>
                      <w:lang w:val="en-US" w:eastAsia="zh-CN"/>
                    </w:rPr>
                  </w:pPr>
                  <w:r>
                    <w:rPr>
                      <w:rFonts w:hint="eastAsia"/>
                      <w:color w:val="auto"/>
                      <w:sz w:val="18"/>
                      <w:szCs w:val="18"/>
                      <w:lang w:val="en-US" w:eastAsia="zh-CN"/>
                    </w:rPr>
                    <w:t>540人</w:t>
                  </w:r>
                </w:p>
              </w:tc>
              <w:tc>
                <w:tcPr>
                  <w:tcW w:w="778" w:type="pct"/>
                  <w:vMerge w:val="continue"/>
                  <w:vAlign w:val="center"/>
                </w:tcPr>
                <w:p w14:paraId="0D6F2383">
                  <w:pPr>
                    <w:spacing w:line="240" w:lineRule="atLeast"/>
                    <w:jc w:val="center"/>
                    <w:rPr>
                      <w:rFonts w:hint="default" w:eastAsia="宋体"/>
                      <w:color w:val="auto"/>
                      <w:sz w:val="18"/>
                      <w:szCs w:val="18"/>
                      <w:lang w:val="en-US" w:eastAsia="zh-CN"/>
                    </w:rPr>
                  </w:pPr>
                </w:p>
              </w:tc>
              <w:tc>
                <w:tcPr>
                  <w:tcW w:w="467" w:type="pct"/>
                  <w:vAlign w:val="center"/>
                </w:tcPr>
                <w:p w14:paraId="0BDB29EF">
                  <w:pPr>
                    <w:spacing w:line="240" w:lineRule="atLeast"/>
                    <w:jc w:val="center"/>
                    <w:rPr>
                      <w:rFonts w:hint="default" w:eastAsia="宋体"/>
                      <w:color w:val="auto"/>
                      <w:sz w:val="18"/>
                      <w:szCs w:val="18"/>
                      <w:lang w:val="en-US" w:eastAsia="zh-CN"/>
                    </w:rPr>
                  </w:pPr>
                  <w:r>
                    <w:rPr>
                      <w:rFonts w:hint="eastAsia"/>
                      <w:color w:val="auto"/>
                      <w:sz w:val="18"/>
                      <w:szCs w:val="18"/>
                      <w:lang w:val="en-US" w:eastAsia="zh-CN"/>
                    </w:rPr>
                    <w:t>SE</w:t>
                  </w:r>
                </w:p>
              </w:tc>
              <w:tc>
                <w:tcPr>
                  <w:tcW w:w="521" w:type="pct"/>
                  <w:vAlign w:val="center"/>
                </w:tcPr>
                <w:p w14:paraId="076296E4">
                  <w:pPr>
                    <w:spacing w:line="240" w:lineRule="atLeast"/>
                    <w:jc w:val="center"/>
                    <w:rPr>
                      <w:rFonts w:hint="default" w:eastAsia="宋体"/>
                      <w:color w:val="auto"/>
                      <w:sz w:val="18"/>
                      <w:szCs w:val="18"/>
                      <w:lang w:val="en-US" w:eastAsia="zh-CN"/>
                    </w:rPr>
                  </w:pPr>
                  <w:r>
                    <w:rPr>
                      <w:rFonts w:hint="eastAsia"/>
                      <w:color w:val="auto"/>
                      <w:sz w:val="18"/>
                      <w:szCs w:val="18"/>
                      <w:lang w:val="en-US" w:eastAsia="zh-CN"/>
                    </w:rPr>
                    <w:t>60</w:t>
                  </w:r>
                </w:p>
              </w:tc>
            </w:tr>
            <w:tr w14:paraId="19F6AE2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18" w:hRule="atLeast"/>
              </w:trPr>
              <w:tc>
                <w:tcPr>
                  <w:tcW w:w="1278" w:type="pct"/>
                  <w:vAlign w:val="center"/>
                </w:tcPr>
                <w:p w14:paraId="24E5150B">
                  <w:pPr>
                    <w:spacing w:line="240" w:lineRule="atLeast"/>
                    <w:jc w:val="center"/>
                    <w:rPr>
                      <w:rFonts w:hint="default"/>
                      <w:color w:val="auto"/>
                      <w:sz w:val="18"/>
                      <w:szCs w:val="18"/>
                      <w:lang w:val="en-US" w:eastAsia="zh-CN"/>
                    </w:rPr>
                  </w:pPr>
                  <w:r>
                    <w:rPr>
                      <w:rFonts w:hint="eastAsia"/>
                      <w:color w:val="auto"/>
                      <w:sz w:val="18"/>
                      <w:szCs w:val="18"/>
                      <w:lang w:val="en-US" w:eastAsia="zh-CN"/>
                    </w:rPr>
                    <w:t>御东观澜湾小区</w:t>
                  </w:r>
                </w:p>
              </w:tc>
              <w:tc>
                <w:tcPr>
                  <w:tcW w:w="520" w:type="pct"/>
                  <w:vAlign w:val="center"/>
                </w:tcPr>
                <w:p w14:paraId="77D3A3AA">
                  <w:pPr>
                    <w:spacing w:line="240" w:lineRule="atLeast"/>
                    <w:jc w:val="center"/>
                    <w:rPr>
                      <w:rFonts w:hint="default"/>
                      <w:color w:val="auto"/>
                      <w:sz w:val="18"/>
                      <w:szCs w:val="18"/>
                      <w:lang w:val="en-US" w:eastAsia="zh-CN"/>
                    </w:rPr>
                  </w:pPr>
                  <w:r>
                    <w:rPr>
                      <w:rFonts w:hint="eastAsia"/>
                      <w:color w:val="auto"/>
                      <w:sz w:val="18"/>
                      <w:szCs w:val="18"/>
                      <w:lang w:val="en-US" w:eastAsia="zh-CN"/>
                    </w:rPr>
                    <w:t>70</w:t>
                  </w:r>
                </w:p>
              </w:tc>
              <w:tc>
                <w:tcPr>
                  <w:tcW w:w="494" w:type="pct"/>
                  <w:vAlign w:val="center"/>
                </w:tcPr>
                <w:p w14:paraId="31A72DDB">
                  <w:pPr>
                    <w:spacing w:line="240" w:lineRule="atLeast"/>
                    <w:jc w:val="center"/>
                    <w:rPr>
                      <w:rFonts w:hint="default"/>
                      <w:color w:val="auto"/>
                      <w:sz w:val="18"/>
                      <w:szCs w:val="18"/>
                      <w:lang w:val="en-US" w:eastAsia="zh-CN"/>
                    </w:rPr>
                  </w:pPr>
                  <w:r>
                    <w:rPr>
                      <w:rFonts w:hint="eastAsia"/>
                      <w:color w:val="auto"/>
                      <w:sz w:val="18"/>
                      <w:szCs w:val="18"/>
                      <w:lang w:val="en-US" w:eastAsia="zh-CN"/>
                    </w:rPr>
                    <w:t>-165</w:t>
                  </w:r>
                </w:p>
              </w:tc>
              <w:tc>
                <w:tcPr>
                  <w:tcW w:w="416" w:type="pct"/>
                  <w:vMerge w:val="continue"/>
                  <w:vAlign w:val="center"/>
                </w:tcPr>
                <w:p w14:paraId="64DF35F4">
                  <w:pPr>
                    <w:spacing w:line="240" w:lineRule="atLeast"/>
                    <w:jc w:val="center"/>
                    <w:rPr>
                      <w:rFonts w:hint="default"/>
                      <w:color w:val="auto"/>
                      <w:sz w:val="18"/>
                      <w:szCs w:val="18"/>
                      <w:lang w:val="en-US" w:eastAsia="zh-CN"/>
                    </w:rPr>
                  </w:pPr>
                </w:p>
              </w:tc>
              <w:tc>
                <w:tcPr>
                  <w:tcW w:w="523" w:type="pct"/>
                  <w:vAlign w:val="center"/>
                </w:tcPr>
                <w:p w14:paraId="5974EEA7">
                  <w:pPr>
                    <w:spacing w:line="240" w:lineRule="atLeast"/>
                    <w:jc w:val="center"/>
                    <w:rPr>
                      <w:rFonts w:hint="default"/>
                      <w:color w:val="auto"/>
                      <w:sz w:val="18"/>
                      <w:szCs w:val="18"/>
                      <w:lang w:val="en-US" w:eastAsia="zh-CN"/>
                    </w:rPr>
                  </w:pPr>
                  <w:r>
                    <w:rPr>
                      <w:rFonts w:hint="eastAsia"/>
                      <w:color w:val="auto"/>
                      <w:sz w:val="18"/>
                      <w:szCs w:val="18"/>
                      <w:lang w:val="en-US" w:eastAsia="zh-CN"/>
                    </w:rPr>
                    <w:t>300人</w:t>
                  </w:r>
                </w:p>
              </w:tc>
              <w:tc>
                <w:tcPr>
                  <w:tcW w:w="778" w:type="pct"/>
                  <w:vMerge w:val="continue"/>
                  <w:vAlign w:val="center"/>
                </w:tcPr>
                <w:p w14:paraId="000DB9DA">
                  <w:pPr>
                    <w:spacing w:line="240" w:lineRule="atLeast"/>
                    <w:jc w:val="center"/>
                    <w:rPr>
                      <w:rFonts w:hint="default"/>
                      <w:color w:val="auto"/>
                      <w:sz w:val="18"/>
                      <w:szCs w:val="18"/>
                      <w:lang w:val="en-US" w:eastAsia="zh-CN"/>
                    </w:rPr>
                  </w:pPr>
                </w:p>
              </w:tc>
              <w:tc>
                <w:tcPr>
                  <w:tcW w:w="467" w:type="pct"/>
                  <w:vAlign w:val="center"/>
                </w:tcPr>
                <w:p w14:paraId="38AB4387">
                  <w:pPr>
                    <w:spacing w:line="240" w:lineRule="atLeast"/>
                    <w:jc w:val="center"/>
                    <w:rPr>
                      <w:rFonts w:hint="default"/>
                      <w:color w:val="auto"/>
                      <w:sz w:val="18"/>
                      <w:szCs w:val="18"/>
                      <w:lang w:val="en-US" w:eastAsia="zh-CN"/>
                    </w:rPr>
                  </w:pPr>
                  <w:r>
                    <w:rPr>
                      <w:rFonts w:hint="eastAsia"/>
                      <w:color w:val="auto"/>
                      <w:sz w:val="18"/>
                      <w:szCs w:val="18"/>
                      <w:lang w:val="en-US" w:eastAsia="zh-CN"/>
                    </w:rPr>
                    <w:t>S</w:t>
                  </w:r>
                </w:p>
              </w:tc>
              <w:tc>
                <w:tcPr>
                  <w:tcW w:w="521" w:type="pct"/>
                  <w:vAlign w:val="center"/>
                </w:tcPr>
                <w:p w14:paraId="78EA9D45">
                  <w:pPr>
                    <w:spacing w:line="240" w:lineRule="atLeast"/>
                    <w:jc w:val="center"/>
                    <w:rPr>
                      <w:rFonts w:hint="default"/>
                      <w:color w:val="auto"/>
                      <w:sz w:val="18"/>
                      <w:szCs w:val="18"/>
                      <w:lang w:val="en-US" w:eastAsia="zh-CN"/>
                    </w:rPr>
                  </w:pPr>
                  <w:r>
                    <w:rPr>
                      <w:rFonts w:hint="eastAsia"/>
                      <w:color w:val="auto"/>
                      <w:sz w:val="18"/>
                      <w:szCs w:val="18"/>
                      <w:lang w:val="en-US" w:eastAsia="zh-CN"/>
                    </w:rPr>
                    <w:t>55</w:t>
                  </w:r>
                </w:p>
              </w:tc>
            </w:tr>
            <w:tr w14:paraId="4AB3F0C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18" w:hRule="atLeast"/>
              </w:trPr>
              <w:tc>
                <w:tcPr>
                  <w:tcW w:w="5000" w:type="pct"/>
                  <w:gridSpan w:val="8"/>
                  <w:vAlign w:val="center"/>
                </w:tcPr>
                <w:p w14:paraId="6055457F">
                  <w:pPr>
                    <w:spacing w:line="240" w:lineRule="atLeast"/>
                    <w:jc w:val="left"/>
                    <w:rPr>
                      <w:rFonts w:hint="default"/>
                      <w:color w:val="auto"/>
                      <w:sz w:val="18"/>
                      <w:szCs w:val="18"/>
                      <w:lang w:val="en-US" w:eastAsia="zh-CN"/>
                    </w:rPr>
                  </w:pPr>
                  <w:r>
                    <w:rPr>
                      <w:rFonts w:hint="eastAsia"/>
                      <w:color w:val="auto"/>
                      <w:sz w:val="18"/>
                      <w:szCs w:val="18"/>
                      <w:lang w:val="en-US" w:eastAsia="zh-CN"/>
                    </w:rPr>
                    <w:t>注：保护内容为保护人数等；坐标以场区西南角处边界点位原点。</w:t>
                  </w:r>
                </w:p>
              </w:tc>
            </w:tr>
          </w:tbl>
          <w:p w14:paraId="662500CF">
            <w:pPr>
              <w:spacing w:line="360" w:lineRule="auto"/>
              <w:ind w:firstLine="422" w:firstLineChars="200"/>
              <w:rPr>
                <w:rFonts w:hint="eastAsia"/>
                <w:b/>
                <w:bCs/>
                <w:color w:val="auto"/>
                <w:szCs w:val="21"/>
                <w:lang w:val="en-US" w:eastAsia="zh-CN"/>
              </w:rPr>
            </w:pPr>
            <w:r>
              <w:rPr>
                <w:rFonts w:hint="eastAsia"/>
                <w:b/>
                <w:bCs/>
                <w:color w:val="auto"/>
                <w:szCs w:val="21"/>
                <w:lang w:val="en-US" w:eastAsia="zh-CN"/>
              </w:rPr>
              <w:t>3.5声环境</w:t>
            </w:r>
          </w:p>
          <w:p w14:paraId="54B5620A">
            <w:pPr>
              <w:spacing w:line="360" w:lineRule="auto"/>
              <w:ind w:firstLine="420" w:firstLineChars="200"/>
              <w:rPr>
                <w:rFonts w:hint="eastAsia"/>
                <w:color w:val="auto"/>
                <w:szCs w:val="21"/>
                <w:lang w:val="en-US" w:eastAsia="zh-CN"/>
              </w:rPr>
            </w:pPr>
            <w:r>
              <w:rPr>
                <w:rFonts w:hint="eastAsia"/>
                <w:color w:val="auto"/>
                <w:szCs w:val="21"/>
                <w:lang w:val="en-US" w:eastAsia="zh-CN"/>
              </w:rPr>
              <w:t>根据调查，本项目场址外50m范围内无声环境保护目标，距离最近的声环境敏感点为场址南侧55m处的御东观澜湾小区2#楼。</w:t>
            </w:r>
          </w:p>
          <w:p w14:paraId="3913385C">
            <w:pPr>
              <w:spacing w:line="360" w:lineRule="auto"/>
              <w:ind w:firstLine="420" w:firstLineChars="200"/>
              <w:rPr>
                <w:color w:val="auto"/>
                <w:szCs w:val="21"/>
              </w:rPr>
            </w:pPr>
            <w:r>
              <w:rPr>
                <w:rFonts w:hint="eastAsia"/>
                <w:color w:val="auto"/>
                <w:szCs w:val="21"/>
                <w:lang w:val="en-US" w:eastAsia="zh-CN"/>
              </w:rPr>
              <w:t>据调查，项目场界外500m范围内无地下室集中式饮用水水源地和热水、矿泉水、温泉等特殊地下水资源，无地下水环境保护目标。项目用地范围处于园区范围内土地，周边无生态环境保护目标。</w:t>
            </w:r>
          </w:p>
        </w:tc>
      </w:tr>
      <w:tr w14:paraId="6B016BA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2" w:hRule="atLeast"/>
          <w:jc w:val="center"/>
        </w:trPr>
        <w:tc>
          <w:tcPr>
            <w:tcW w:w="800" w:type="dxa"/>
            <w:tcMar>
              <w:left w:w="28" w:type="dxa"/>
              <w:right w:w="28" w:type="dxa"/>
            </w:tcMar>
            <w:vAlign w:val="center"/>
          </w:tcPr>
          <w:p w14:paraId="2D54C573">
            <w:pPr>
              <w:adjustRightInd w:val="0"/>
              <w:snapToGrid w:val="0"/>
              <w:jc w:val="center"/>
              <w:rPr>
                <w:kern w:val="0"/>
                <w:szCs w:val="21"/>
              </w:rPr>
            </w:pPr>
            <w:r>
              <w:rPr>
                <w:kern w:val="0"/>
                <w:szCs w:val="21"/>
              </w:rPr>
              <w:t>污染</w:t>
            </w:r>
          </w:p>
          <w:p w14:paraId="2EF1002B">
            <w:pPr>
              <w:adjustRightInd w:val="0"/>
              <w:snapToGrid w:val="0"/>
              <w:jc w:val="center"/>
              <w:rPr>
                <w:kern w:val="0"/>
                <w:szCs w:val="21"/>
              </w:rPr>
            </w:pPr>
            <w:r>
              <w:rPr>
                <w:kern w:val="0"/>
                <w:szCs w:val="21"/>
              </w:rPr>
              <w:t>物排</w:t>
            </w:r>
          </w:p>
          <w:p w14:paraId="6A0BC428">
            <w:pPr>
              <w:adjustRightInd w:val="0"/>
              <w:snapToGrid w:val="0"/>
              <w:jc w:val="center"/>
              <w:rPr>
                <w:kern w:val="0"/>
                <w:szCs w:val="21"/>
              </w:rPr>
            </w:pPr>
            <w:r>
              <w:rPr>
                <w:kern w:val="0"/>
                <w:szCs w:val="21"/>
              </w:rPr>
              <w:t>放控</w:t>
            </w:r>
          </w:p>
          <w:p w14:paraId="3060C3A2">
            <w:pPr>
              <w:adjustRightInd w:val="0"/>
              <w:snapToGrid w:val="0"/>
              <w:jc w:val="center"/>
              <w:rPr>
                <w:kern w:val="0"/>
                <w:szCs w:val="21"/>
              </w:rPr>
            </w:pPr>
            <w:r>
              <w:rPr>
                <w:kern w:val="0"/>
                <w:szCs w:val="21"/>
              </w:rPr>
              <w:t>制标</w:t>
            </w:r>
          </w:p>
          <w:p w14:paraId="4BD32481">
            <w:pPr>
              <w:adjustRightInd w:val="0"/>
              <w:snapToGrid w:val="0"/>
              <w:jc w:val="center"/>
              <w:rPr>
                <w:kern w:val="0"/>
                <w:szCs w:val="21"/>
              </w:rPr>
            </w:pPr>
            <w:r>
              <w:rPr>
                <w:kern w:val="0"/>
                <w:szCs w:val="21"/>
              </w:rPr>
              <w:t>准</w:t>
            </w:r>
          </w:p>
        </w:tc>
        <w:tc>
          <w:tcPr>
            <w:tcW w:w="8190" w:type="dxa"/>
            <w:vAlign w:val="center"/>
          </w:tcPr>
          <w:p w14:paraId="4904A83D">
            <w:pPr>
              <w:spacing w:line="360" w:lineRule="auto"/>
              <w:ind w:firstLine="422" w:firstLineChars="200"/>
              <w:rPr>
                <w:b/>
                <w:bCs/>
                <w:color w:val="auto"/>
                <w:szCs w:val="21"/>
              </w:rPr>
            </w:pPr>
            <w:r>
              <w:rPr>
                <w:rFonts w:hint="eastAsia"/>
                <w:b/>
                <w:bCs/>
                <w:color w:val="auto"/>
                <w:szCs w:val="21"/>
                <w:lang w:val="en-US" w:eastAsia="zh-CN"/>
              </w:rPr>
              <w:t>3.6</w:t>
            </w:r>
            <w:r>
              <w:rPr>
                <w:b/>
                <w:bCs/>
                <w:color w:val="auto"/>
                <w:szCs w:val="21"/>
              </w:rPr>
              <w:t>废气</w:t>
            </w:r>
          </w:p>
          <w:p w14:paraId="4DF06448">
            <w:pPr>
              <w:autoSpaceDE w:val="0"/>
              <w:autoSpaceDN w:val="0"/>
              <w:adjustRightInd w:val="0"/>
              <w:spacing w:line="312" w:lineRule="auto"/>
              <w:ind w:firstLine="420" w:firstLineChars="200"/>
              <w:jc w:val="both"/>
              <w:rPr>
                <w:rFonts w:hint="default"/>
                <w:color w:val="auto"/>
                <w:szCs w:val="21"/>
                <w:lang w:val="en-US"/>
              </w:rPr>
            </w:pPr>
            <w:r>
              <w:rPr>
                <w:color w:val="auto"/>
                <w:szCs w:val="21"/>
              </w:rPr>
              <w:t>项目</w:t>
            </w:r>
            <w:r>
              <w:rPr>
                <w:rFonts w:hint="eastAsia"/>
                <w:color w:val="auto"/>
                <w:szCs w:val="21"/>
                <w:lang w:val="en-US" w:eastAsia="zh-CN"/>
              </w:rPr>
              <w:t>污水处理站</w:t>
            </w:r>
            <w:r>
              <w:rPr>
                <w:rFonts w:hint="eastAsia"/>
                <w:color w:val="auto"/>
                <w:szCs w:val="21"/>
              </w:rPr>
              <w:t>运营期</w:t>
            </w:r>
            <w:r>
              <w:rPr>
                <w:rFonts w:hint="eastAsia"/>
                <w:color w:val="auto"/>
                <w:szCs w:val="21"/>
                <w:lang w:val="en-US" w:eastAsia="zh-CN"/>
              </w:rPr>
              <w:t>废气执行《恶臭污染物排</w:t>
            </w:r>
            <w:r>
              <w:rPr>
                <w:rFonts w:hint="eastAsia"/>
                <w:color w:val="auto"/>
                <w:szCs w:val="21"/>
                <w:highlight w:val="none"/>
                <w:lang w:val="en-US" w:eastAsia="zh-CN"/>
              </w:rPr>
              <w:t>放</w:t>
            </w:r>
            <w:r>
              <w:rPr>
                <w:rFonts w:hint="eastAsia"/>
                <w:color w:val="auto"/>
                <w:szCs w:val="21"/>
                <w:lang w:val="en-US" w:eastAsia="zh-CN"/>
              </w:rPr>
              <w:t>标准》（GB14554-93）表1中二级（新改扩建）要求。</w:t>
            </w:r>
          </w:p>
          <w:p w14:paraId="40F8ACA4">
            <w:pPr>
              <w:jc w:val="center"/>
              <w:rPr>
                <w:rFonts w:eastAsia="黑体"/>
                <w:b/>
                <w:color w:val="auto"/>
                <w:sz w:val="18"/>
                <w:szCs w:val="18"/>
                <w:vertAlign w:val="superscript"/>
              </w:rPr>
            </w:pPr>
            <w:r>
              <w:rPr>
                <w:b/>
                <w:color w:val="auto"/>
                <w:sz w:val="18"/>
                <w:szCs w:val="18"/>
              </w:rPr>
              <w:t>表3-</w:t>
            </w:r>
            <w:r>
              <w:rPr>
                <w:rFonts w:hint="eastAsia"/>
                <w:b/>
                <w:color w:val="auto"/>
                <w:sz w:val="18"/>
                <w:szCs w:val="18"/>
                <w:lang w:val="en-US" w:eastAsia="zh-CN"/>
              </w:rPr>
              <w:t>5</w:t>
            </w:r>
            <w:r>
              <w:rPr>
                <w:b/>
                <w:color w:val="auto"/>
                <w:sz w:val="18"/>
                <w:szCs w:val="18"/>
              </w:rPr>
              <w:t xml:space="preserve">    </w:t>
            </w:r>
            <w:r>
              <w:rPr>
                <w:rFonts w:hint="eastAsia"/>
                <w:b/>
                <w:color w:val="auto"/>
                <w:sz w:val="18"/>
                <w:szCs w:val="18"/>
                <w:lang w:val="en-US" w:eastAsia="zh-CN"/>
              </w:rPr>
              <w:t>恶臭</w:t>
            </w:r>
            <w:r>
              <w:rPr>
                <w:b/>
                <w:color w:val="auto"/>
                <w:sz w:val="18"/>
                <w:szCs w:val="18"/>
              </w:rPr>
              <w:t>污染物排放标准</w:t>
            </w:r>
          </w:p>
          <w:tbl>
            <w:tblPr>
              <w:tblStyle w:val="47"/>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540"/>
              <w:gridCol w:w="1233"/>
              <w:gridCol w:w="1200"/>
              <w:gridCol w:w="2411"/>
              <w:gridCol w:w="2560"/>
            </w:tblGrid>
            <w:tr w14:paraId="6ACB707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3" w:hRule="atLeast"/>
              </w:trPr>
              <w:tc>
                <w:tcPr>
                  <w:tcW w:w="340" w:type="pct"/>
                  <w:vMerge w:val="restart"/>
                  <w:vAlign w:val="center"/>
                </w:tcPr>
                <w:p w14:paraId="4714BE7C">
                  <w:pPr>
                    <w:spacing w:line="240" w:lineRule="atLeast"/>
                    <w:jc w:val="center"/>
                    <w:rPr>
                      <w:rFonts w:hint="eastAsia" w:eastAsia="宋体"/>
                      <w:color w:val="auto"/>
                      <w:sz w:val="18"/>
                      <w:szCs w:val="18"/>
                      <w:lang w:val="en-US" w:eastAsia="zh-CN"/>
                    </w:rPr>
                  </w:pPr>
                  <w:r>
                    <w:rPr>
                      <w:rFonts w:hint="eastAsia"/>
                      <w:color w:val="auto"/>
                      <w:sz w:val="18"/>
                      <w:szCs w:val="18"/>
                      <w:lang w:val="en-US" w:eastAsia="zh-CN"/>
                    </w:rPr>
                    <w:t>序号</w:t>
                  </w:r>
                </w:p>
              </w:tc>
              <w:tc>
                <w:tcPr>
                  <w:tcW w:w="776" w:type="pct"/>
                  <w:vMerge w:val="restart"/>
                  <w:vAlign w:val="center"/>
                </w:tcPr>
                <w:p w14:paraId="512D62DD">
                  <w:pPr>
                    <w:spacing w:line="240" w:lineRule="atLeast"/>
                    <w:jc w:val="center"/>
                    <w:rPr>
                      <w:rFonts w:hint="eastAsia" w:eastAsia="宋体"/>
                      <w:color w:val="auto"/>
                      <w:sz w:val="18"/>
                      <w:szCs w:val="18"/>
                      <w:lang w:val="en-US" w:eastAsia="zh-CN"/>
                    </w:rPr>
                  </w:pPr>
                  <w:r>
                    <w:rPr>
                      <w:rFonts w:hint="eastAsia"/>
                      <w:color w:val="auto"/>
                      <w:sz w:val="18"/>
                      <w:szCs w:val="18"/>
                      <w:lang w:val="en-US" w:eastAsia="zh-CN"/>
                    </w:rPr>
                    <w:t>污染物</w:t>
                  </w:r>
                </w:p>
              </w:tc>
              <w:tc>
                <w:tcPr>
                  <w:tcW w:w="2272" w:type="pct"/>
                  <w:gridSpan w:val="2"/>
                  <w:vAlign w:val="center"/>
                </w:tcPr>
                <w:p w14:paraId="2B20ABC9">
                  <w:pPr>
                    <w:spacing w:line="240" w:lineRule="atLeast"/>
                    <w:jc w:val="center"/>
                    <w:rPr>
                      <w:rFonts w:hint="default" w:eastAsia="宋体"/>
                      <w:color w:val="auto"/>
                      <w:sz w:val="18"/>
                      <w:szCs w:val="18"/>
                      <w:lang w:val="en-US" w:eastAsia="zh-CN"/>
                    </w:rPr>
                  </w:pPr>
                  <w:r>
                    <w:rPr>
                      <w:rFonts w:hint="eastAsia"/>
                      <w:color w:val="auto"/>
                      <w:sz w:val="18"/>
                      <w:szCs w:val="18"/>
                      <w:lang w:val="en-US" w:eastAsia="zh-CN"/>
                    </w:rPr>
                    <w:t>有组织</w:t>
                  </w:r>
                </w:p>
              </w:tc>
              <w:tc>
                <w:tcPr>
                  <w:tcW w:w="1610" w:type="pct"/>
                  <w:vAlign w:val="center"/>
                </w:tcPr>
                <w:p w14:paraId="06E276C4">
                  <w:pPr>
                    <w:spacing w:line="240" w:lineRule="atLeast"/>
                    <w:jc w:val="center"/>
                    <w:rPr>
                      <w:rFonts w:hint="eastAsia" w:eastAsia="宋体"/>
                      <w:color w:val="auto"/>
                      <w:sz w:val="18"/>
                      <w:szCs w:val="18"/>
                      <w:lang w:val="en-US" w:eastAsia="zh-CN"/>
                    </w:rPr>
                  </w:pPr>
                  <w:r>
                    <w:rPr>
                      <w:rFonts w:hint="eastAsia"/>
                      <w:color w:val="auto"/>
                      <w:sz w:val="18"/>
                      <w:szCs w:val="18"/>
                      <w:lang w:val="en-US" w:eastAsia="zh-CN"/>
                    </w:rPr>
                    <w:t>厂界</w:t>
                  </w:r>
                </w:p>
              </w:tc>
            </w:tr>
            <w:tr w14:paraId="56BBEA1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7" w:hRule="atLeast"/>
              </w:trPr>
              <w:tc>
                <w:tcPr>
                  <w:tcW w:w="340" w:type="pct"/>
                  <w:vMerge w:val="continue"/>
                  <w:vAlign w:val="center"/>
                </w:tcPr>
                <w:p w14:paraId="24B61BAE">
                  <w:pPr>
                    <w:spacing w:line="240" w:lineRule="atLeast"/>
                    <w:jc w:val="center"/>
                    <w:rPr>
                      <w:rFonts w:hint="eastAsia"/>
                      <w:color w:val="auto"/>
                      <w:sz w:val="18"/>
                      <w:szCs w:val="18"/>
                      <w:lang w:val="en-US" w:eastAsia="zh-CN"/>
                    </w:rPr>
                  </w:pPr>
                </w:p>
              </w:tc>
              <w:tc>
                <w:tcPr>
                  <w:tcW w:w="776" w:type="pct"/>
                  <w:vMerge w:val="continue"/>
                  <w:vAlign w:val="center"/>
                </w:tcPr>
                <w:p w14:paraId="16AD461E">
                  <w:pPr>
                    <w:spacing w:line="240" w:lineRule="atLeast"/>
                    <w:jc w:val="center"/>
                    <w:rPr>
                      <w:rFonts w:hint="eastAsia"/>
                      <w:color w:val="auto"/>
                      <w:sz w:val="18"/>
                      <w:szCs w:val="18"/>
                      <w:lang w:val="en-US" w:eastAsia="zh-CN"/>
                    </w:rPr>
                  </w:pPr>
                </w:p>
              </w:tc>
              <w:tc>
                <w:tcPr>
                  <w:tcW w:w="755" w:type="pct"/>
                  <w:vAlign w:val="center"/>
                </w:tcPr>
                <w:p w14:paraId="484C1C4B">
                  <w:pPr>
                    <w:spacing w:line="240" w:lineRule="atLeast"/>
                    <w:jc w:val="center"/>
                    <w:rPr>
                      <w:rFonts w:hint="default" w:eastAsia="宋体"/>
                      <w:color w:val="auto"/>
                      <w:sz w:val="18"/>
                      <w:szCs w:val="18"/>
                      <w:lang w:val="en-US" w:eastAsia="zh-CN"/>
                    </w:rPr>
                  </w:pPr>
                  <w:r>
                    <w:rPr>
                      <w:rFonts w:hint="eastAsia"/>
                      <w:color w:val="auto"/>
                      <w:sz w:val="18"/>
                      <w:szCs w:val="18"/>
                      <w:lang w:val="en-US" w:eastAsia="zh-CN"/>
                    </w:rPr>
                    <w:t>排气筒高度m</w:t>
                  </w:r>
                </w:p>
              </w:tc>
              <w:tc>
                <w:tcPr>
                  <w:tcW w:w="1517" w:type="pct"/>
                  <w:vAlign w:val="center"/>
                </w:tcPr>
                <w:p w14:paraId="08E49002">
                  <w:pPr>
                    <w:spacing w:line="240" w:lineRule="atLeast"/>
                    <w:jc w:val="center"/>
                    <w:rPr>
                      <w:rFonts w:hint="eastAsia" w:eastAsia="宋体"/>
                      <w:color w:val="auto"/>
                      <w:sz w:val="18"/>
                      <w:szCs w:val="18"/>
                      <w:lang w:val="en-US" w:eastAsia="zh-CN"/>
                    </w:rPr>
                  </w:pPr>
                  <w:r>
                    <w:rPr>
                      <w:rFonts w:hint="eastAsia"/>
                      <w:color w:val="auto"/>
                      <w:sz w:val="18"/>
                      <w:szCs w:val="18"/>
                      <w:lang w:val="en-US" w:eastAsia="zh-CN"/>
                    </w:rPr>
                    <w:t>排放限值</w:t>
                  </w:r>
                </w:p>
              </w:tc>
              <w:tc>
                <w:tcPr>
                  <w:tcW w:w="1610" w:type="pct"/>
                  <w:vAlign w:val="center"/>
                </w:tcPr>
                <w:p w14:paraId="2A0F0979">
                  <w:pPr>
                    <w:spacing w:line="240" w:lineRule="atLeast"/>
                    <w:jc w:val="center"/>
                    <w:rPr>
                      <w:rFonts w:hint="default" w:eastAsia="宋体"/>
                      <w:color w:val="auto"/>
                      <w:sz w:val="18"/>
                      <w:szCs w:val="18"/>
                      <w:lang w:val="en-US" w:eastAsia="zh-CN"/>
                    </w:rPr>
                  </w:pPr>
                  <w:r>
                    <w:rPr>
                      <w:rFonts w:hint="eastAsia"/>
                      <w:color w:val="auto"/>
                      <w:sz w:val="18"/>
                      <w:szCs w:val="18"/>
                      <w:lang w:val="en-US" w:eastAsia="zh-CN"/>
                    </w:rPr>
                    <w:t>浓度限值（mg/m</w:t>
                  </w:r>
                  <w:r>
                    <w:rPr>
                      <w:rFonts w:hint="eastAsia"/>
                      <w:color w:val="auto"/>
                      <w:sz w:val="18"/>
                      <w:szCs w:val="18"/>
                      <w:vertAlign w:val="superscript"/>
                      <w:lang w:val="en-US" w:eastAsia="zh-CN"/>
                    </w:rPr>
                    <w:t>3</w:t>
                  </w:r>
                  <w:r>
                    <w:rPr>
                      <w:rFonts w:hint="eastAsia"/>
                      <w:color w:val="auto"/>
                      <w:sz w:val="18"/>
                      <w:szCs w:val="18"/>
                      <w:lang w:val="en-US" w:eastAsia="zh-CN"/>
                    </w:rPr>
                    <w:t>）</w:t>
                  </w:r>
                </w:p>
              </w:tc>
            </w:tr>
            <w:tr w14:paraId="6EE7CBA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40" w:type="pct"/>
                  <w:vAlign w:val="center"/>
                </w:tcPr>
                <w:p w14:paraId="649AB753">
                  <w:pPr>
                    <w:spacing w:line="240" w:lineRule="atLeast"/>
                    <w:jc w:val="center"/>
                    <w:rPr>
                      <w:rFonts w:hint="eastAsia" w:eastAsia="宋体"/>
                      <w:color w:val="auto"/>
                      <w:sz w:val="18"/>
                      <w:szCs w:val="18"/>
                      <w:lang w:val="en-US" w:eastAsia="zh-CN"/>
                    </w:rPr>
                  </w:pPr>
                  <w:r>
                    <w:rPr>
                      <w:rFonts w:hint="eastAsia"/>
                      <w:color w:val="auto"/>
                      <w:sz w:val="18"/>
                      <w:szCs w:val="18"/>
                      <w:lang w:val="en-US" w:eastAsia="zh-CN"/>
                    </w:rPr>
                    <w:t>1</w:t>
                  </w:r>
                </w:p>
              </w:tc>
              <w:tc>
                <w:tcPr>
                  <w:tcW w:w="776" w:type="pct"/>
                  <w:vAlign w:val="center"/>
                </w:tcPr>
                <w:p w14:paraId="0CA6242C">
                  <w:pPr>
                    <w:spacing w:line="240" w:lineRule="atLeast"/>
                    <w:jc w:val="center"/>
                    <w:rPr>
                      <w:rFonts w:hint="default" w:eastAsia="宋体"/>
                      <w:color w:val="auto"/>
                      <w:sz w:val="18"/>
                      <w:szCs w:val="18"/>
                      <w:lang w:val="en-US" w:eastAsia="zh-CN"/>
                    </w:rPr>
                  </w:pPr>
                  <w:r>
                    <w:rPr>
                      <w:rFonts w:hint="eastAsia"/>
                      <w:color w:val="auto"/>
                      <w:sz w:val="18"/>
                      <w:szCs w:val="18"/>
                      <w:lang w:val="en-US" w:eastAsia="zh-CN"/>
                    </w:rPr>
                    <w:t>氨</w:t>
                  </w:r>
                </w:p>
              </w:tc>
              <w:tc>
                <w:tcPr>
                  <w:tcW w:w="755" w:type="pct"/>
                  <w:vMerge w:val="restart"/>
                  <w:vAlign w:val="center"/>
                </w:tcPr>
                <w:p w14:paraId="0E4E9AE7">
                  <w:pPr>
                    <w:spacing w:line="240" w:lineRule="atLeast"/>
                    <w:jc w:val="center"/>
                    <w:rPr>
                      <w:rFonts w:hint="default" w:eastAsia="宋体"/>
                      <w:color w:val="auto"/>
                      <w:sz w:val="18"/>
                      <w:szCs w:val="18"/>
                      <w:lang w:val="en-US" w:eastAsia="zh-CN"/>
                    </w:rPr>
                  </w:pPr>
                  <w:r>
                    <w:rPr>
                      <w:rFonts w:hint="eastAsia"/>
                      <w:color w:val="auto"/>
                      <w:sz w:val="18"/>
                      <w:szCs w:val="18"/>
                      <w:lang w:val="en-US" w:eastAsia="zh-CN"/>
                    </w:rPr>
                    <w:t>15</w:t>
                  </w:r>
                </w:p>
              </w:tc>
              <w:tc>
                <w:tcPr>
                  <w:tcW w:w="1517" w:type="pct"/>
                  <w:vAlign w:val="center"/>
                </w:tcPr>
                <w:p w14:paraId="23065884">
                  <w:pPr>
                    <w:spacing w:line="240" w:lineRule="atLeast"/>
                    <w:jc w:val="center"/>
                    <w:rPr>
                      <w:rFonts w:hint="default" w:eastAsia="宋体"/>
                      <w:color w:val="auto"/>
                      <w:sz w:val="18"/>
                      <w:szCs w:val="18"/>
                      <w:lang w:val="en-US" w:eastAsia="zh-CN"/>
                    </w:rPr>
                  </w:pPr>
                  <w:r>
                    <w:rPr>
                      <w:rFonts w:hint="eastAsia"/>
                      <w:color w:val="auto"/>
                      <w:sz w:val="18"/>
                      <w:szCs w:val="18"/>
                      <w:lang w:val="en-US" w:eastAsia="zh-CN"/>
                    </w:rPr>
                    <w:t>4.9（kg/h）</w:t>
                  </w:r>
                </w:p>
              </w:tc>
              <w:tc>
                <w:tcPr>
                  <w:tcW w:w="1610" w:type="pct"/>
                  <w:vAlign w:val="center"/>
                </w:tcPr>
                <w:p w14:paraId="3F337286">
                  <w:pPr>
                    <w:spacing w:line="240" w:lineRule="atLeast"/>
                    <w:jc w:val="center"/>
                    <w:rPr>
                      <w:rFonts w:hint="default" w:eastAsia="宋体"/>
                      <w:color w:val="auto"/>
                      <w:sz w:val="18"/>
                      <w:szCs w:val="18"/>
                      <w:lang w:val="en-US" w:eastAsia="zh-CN"/>
                    </w:rPr>
                  </w:pPr>
                  <w:r>
                    <w:rPr>
                      <w:rFonts w:hint="eastAsia"/>
                      <w:color w:val="auto"/>
                      <w:sz w:val="18"/>
                      <w:szCs w:val="18"/>
                      <w:lang w:val="en-US" w:eastAsia="zh-CN"/>
                    </w:rPr>
                    <w:t>1.5</w:t>
                  </w:r>
                </w:p>
              </w:tc>
            </w:tr>
            <w:tr w14:paraId="744AE90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40" w:type="pct"/>
                  <w:vAlign w:val="center"/>
                </w:tcPr>
                <w:p w14:paraId="32B95B3A">
                  <w:pPr>
                    <w:spacing w:line="240" w:lineRule="atLeast"/>
                    <w:jc w:val="center"/>
                    <w:rPr>
                      <w:rFonts w:hint="eastAsia" w:eastAsia="宋体"/>
                      <w:color w:val="auto"/>
                      <w:sz w:val="18"/>
                      <w:szCs w:val="18"/>
                      <w:lang w:val="en-US" w:eastAsia="zh-CN"/>
                    </w:rPr>
                  </w:pPr>
                  <w:r>
                    <w:rPr>
                      <w:rFonts w:hint="eastAsia"/>
                      <w:color w:val="auto"/>
                      <w:sz w:val="18"/>
                      <w:szCs w:val="18"/>
                      <w:lang w:val="en-US" w:eastAsia="zh-CN"/>
                    </w:rPr>
                    <w:t>2</w:t>
                  </w:r>
                </w:p>
              </w:tc>
              <w:tc>
                <w:tcPr>
                  <w:tcW w:w="776" w:type="pct"/>
                  <w:vAlign w:val="center"/>
                </w:tcPr>
                <w:p w14:paraId="49FA090E">
                  <w:pPr>
                    <w:spacing w:line="240" w:lineRule="atLeast"/>
                    <w:jc w:val="center"/>
                    <w:rPr>
                      <w:rFonts w:hint="eastAsia" w:eastAsia="宋体"/>
                      <w:color w:val="auto"/>
                      <w:sz w:val="18"/>
                      <w:szCs w:val="18"/>
                      <w:lang w:val="en-US" w:eastAsia="zh-CN"/>
                    </w:rPr>
                  </w:pPr>
                  <w:r>
                    <w:rPr>
                      <w:rFonts w:hint="eastAsia"/>
                      <w:color w:val="auto"/>
                      <w:sz w:val="18"/>
                      <w:szCs w:val="18"/>
                      <w:lang w:val="en-US" w:eastAsia="zh-CN"/>
                    </w:rPr>
                    <w:t>硫化氢</w:t>
                  </w:r>
                </w:p>
              </w:tc>
              <w:tc>
                <w:tcPr>
                  <w:tcW w:w="755" w:type="pct"/>
                  <w:vMerge w:val="continue"/>
                  <w:vAlign w:val="center"/>
                </w:tcPr>
                <w:p w14:paraId="2690CCE8">
                  <w:pPr>
                    <w:spacing w:line="240" w:lineRule="atLeast"/>
                    <w:jc w:val="center"/>
                    <w:rPr>
                      <w:color w:val="auto"/>
                      <w:sz w:val="18"/>
                      <w:szCs w:val="18"/>
                    </w:rPr>
                  </w:pPr>
                </w:p>
              </w:tc>
              <w:tc>
                <w:tcPr>
                  <w:tcW w:w="1517" w:type="pct"/>
                  <w:vAlign w:val="center"/>
                </w:tcPr>
                <w:p w14:paraId="709DA64F">
                  <w:pPr>
                    <w:spacing w:line="240" w:lineRule="atLeast"/>
                    <w:jc w:val="center"/>
                    <w:rPr>
                      <w:rFonts w:hint="default" w:eastAsia="宋体"/>
                      <w:color w:val="auto"/>
                      <w:sz w:val="18"/>
                      <w:szCs w:val="18"/>
                      <w:lang w:val="en-US" w:eastAsia="zh-CN"/>
                    </w:rPr>
                  </w:pPr>
                  <w:r>
                    <w:rPr>
                      <w:rFonts w:hint="eastAsia"/>
                      <w:color w:val="auto"/>
                      <w:sz w:val="18"/>
                      <w:szCs w:val="18"/>
                      <w:lang w:val="en-US" w:eastAsia="zh-CN"/>
                    </w:rPr>
                    <w:t>0.33（kg/h）</w:t>
                  </w:r>
                </w:p>
              </w:tc>
              <w:tc>
                <w:tcPr>
                  <w:tcW w:w="1610" w:type="pct"/>
                  <w:vAlign w:val="center"/>
                </w:tcPr>
                <w:p w14:paraId="2257FABA">
                  <w:pPr>
                    <w:spacing w:line="240" w:lineRule="atLeast"/>
                    <w:jc w:val="center"/>
                    <w:rPr>
                      <w:rFonts w:hint="default" w:eastAsia="宋体"/>
                      <w:color w:val="auto"/>
                      <w:sz w:val="18"/>
                      <w:szCs w:val="18"/>
                      <w:lang w:val="en-US" w:eastAsia="zh-CN"/>
                    </w:rPr>
                  </w:pPr>
                  <w:r>
                    <w:rPr>
                      <w:rFonts w:hint="eastAsia"/>
                      <w:color w:val="auto"/>
                      <w:sz w:val="18"/>
                      <w:szCs w:val="18"/>
                      <w:lang w:val="en-US" w:eastAsia="zh-CN"/>
                    </w:rPr>
                    <w:t>0.06</w:t>
                  </w:r>
                </w:p>
              </w:tc>
            </w:tr>
            <w:tr w14:paraId="6D129AD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40" w:type="pct"/>
                  <w:vAlign w:val="center"/>
                </w:tcPr>
                <w:p w14:paraId="3C2EFBF2">
                  <w:pPr>
                    <w:spacing w:line="240" w:lineRule="atLeast"/>
                    <w:jc w:val="center"/>
                    <w:rPr>
                      <w:rFonts w:hint="default"/>
                      <w:color w:val="auto"/>
                      <w:sz w:val="18"/>
                      <w:szCs w:val="18"/>
                      <w:lang w:val="en-US" w:eastAsia="zh-CN"/>
                    </w:rPr>
                  </w:pPr>
                  <w:r>
                    <w:rPr>
                      <w:rFonts w:hint="eastAsia"/>
                      <w:color w:val="auto"/>
                      <w:sz w:val="18"/>
                      <w:szCs w:val="18"/>
                      <w:lang w:val="en-US" w:eastAsia="zh-CN"/>
                    </w:rPr>
                    <w:t>3</w:t>
                  </w:r>
                </w:p>
              </w:tc>
              <w:tc>
                <w:tcPr>
                  <w:tcW w:w="776" w:type="pct"/>
                  <w:vAlign w:val="center"/>
                </w:tcPr>
                <w:p w14:paraId="0C08E608">
                  <w:pPr>
                    <w:spacing w:line="240" w:lineRule="atLeast"/>
                    <w:jc w:val="center"/>
                    <w:rPr>
                      <w:rFonts w:hint="default"/>
                      <w:color w:val="auto"/>
                      <w:sz w:val="18"/>
                      <w:szCs w:val="18"/>
                      <w:lang w:val="en-US" w:eastAsia="zh-CN"/>
                    </w:rPr>
                  </w:pPr>
                  <w:r>
                    <w:rPr>
                      <w:rFonts w:hint="eastAsia"/>
                      <w:color w:val="auto"/>
                      <w:sz w:val="18"/>
                      <w:szCs w:val="18"/>
                      <w:lang w:val="en-US" w:eastAsia="zh-CN"/>
                    </w:rPr>
                    <w:t>臭气浓度</w:t>
                  </w:r>
                </w:p>
              </w:tc>
              <w:tc>
                <w:tcPr>
                  <w:tcW w:w="755" w:type="pct"/>
                  <w:vMerge w:val="continue"/>
                  <w:vAlign w:val="center"/>
                </w:tcPr>
                <w:p w14:paraId="5C0679E7">
                  <w:pPr>
                    <w:spacing w:line="240" w:lineRule="atLeast"/>
                    <w:jc w:val="center"/>
                    <w:rPr>
                      <w:color w:val="auto"/>
                      <w:sz w:val="18"/>
                      <w:szCs w:val="18"/>
                    </w:rPr>
                  </w:pPr>
                </w:p>
              </w:tc>
              <w:tc>
                <w:tcPr>
                  <w:tcW w:w="1517" w:type="pct"/>
                  <w:vAlign w:val="center"/>
                </w:tcPr>
                <w:p w14:paraId="353316A0">
                  <w:pPr>
                    <w:spacing w:line="240" w:lineRule="atLeast"/>
                    <w:jc w:val="center"/>
                    <w:rPr>
                      <w:rFonts w:hint="default" w:eastAsia="宋体"/>
                      <w:color w:val="auto"/>
                      <w:sz w:val="18"/>
                      <w:szCs w:val="18"/>
                      <w:lang w:val="en-US" w:eastAsia="zh-CN"/>
                    </w:rPr>
                  </w:pPr>
                  <w:r>
                    <w:rPr>
                      <w:rFonts w:hint="eastAsia"/>
                      <w:color w:val="auto"/>
                      <w:sz w:val="18"/>
                      <w:szCs w:val="18"/>
                      <w:lang w:val="en-US" w:eastAsia="zh-CN"/>
                    </w:rPr>
                    <w:t>＜2000（无量纲）</w:t>
                  </w:r>
                </w:p>
              </w:tc>
              <w:tc>
                <w:tcPr>
                  <w:tcW w:w="1610" w:type="pct"/>
                  <w:vAlign w:val="center"/>
                </w:tcPr>
                <w:p w14:paraId="45C5608C">
                  <w:pPr>
                    <w:spacing w:line="240" w:lineRule="atLeast"/>
                    <w:jc w:val="center"/>
                    <w:rPr>
                      <w:rFonts w:hint="default" w:eastAsia="宋体"/>
                      <w:color w:val="auto"/>
                      <w:sz w:val="18"/>
                      <w:szCs w:val="18"/>
                      <w:lang w:val="en-US" w:eastAsia="zh-CN"/>
                    </w:rPr>
                  </w:pPr>
                  <w:r>
                    <w:rPr>
                      <w:rFonts w:hint="eastAsia"/>
                      <w:color w:val="auto"/>
                      <w:sz w:val="18"/>
                      <w:szCs w:val="18"/>
                      <w:lang w:val="en-US" w:eastAsia="zh-CN"/>
                    </w:rPr>
                    <w:t>20</w:t>
                  </w:r>
                </w:p>
              </w:tc>
            </w:tr>
          </w:tbl>
          <w:p w14:paraId="54B30CDB">
            <w:pPr>
              <w:spacing w:line="360" w:lineRule="auto"/>
              <w:ind w:firstLine="420" w:firstLineChars="200"/>
              <w:rPr>
                <w:rFonts w:hint="eastAsia"/>
                <w:color w:val="auto"/>
                <w:szCs w:val="21"/>
                <w:lang w:val="en-US" w:eastAsia="zh-CN"/>
              </w:rPr>
            </w:pPr>
            <w:r>
              <w:rPr>
                <w:rFonts w:hint="eastAsia"/>
                <w:color w:val="auto"/>
                <w:szCs w:val="21"/>
                <w:lang w:val="en-US" w:eastAsia="zh-CN"/>
              </w:rPr>
              <w:t>污水处理站周边空气恶臭执行《医疗机构水污染物排放标准》（</w:t>
            </w:r>
            <w:r>
              <w:rPr>
                <w:rFonts w:hint="default"/>
                <w:color w:val="auto"/>
                <w:szCs w:val="21"/>
                <w:lang w:val="en-US" w:eastAsia="zh-CN"/>
              </w:rPr>
              <w:t>GB18466-2005</w:t>
            </w:r>
            <w:r>
              <w:rPr>
                <w:rFonts w:hint="eastAsia"/>
                <w:color w:val="auto"/>
                <w:szCs w:val="21"/>
                <w:lang w:val="en-US" w:eastAsia="zh-CN"/>
              </w:rPr>
              <w:t>） 表</w:t>
            </w:r>
            <w:r>
              <w:rPr>
                <w:rFonts w:hint="default"/>
                <w:color w:val="auto"/>
                <w:szCs w:val="21"/>
                <w:lang w:val="en-US" w:eastAsia="zh-CN"/>
              </w:rPr>
              <w:t>3</w:t>
            </w:r>
            <w:r>
              <w:rPr>
                <w:rFonts w:hint="eastAsia"/>
                <w:color w:val="auto"/>
                <w:szCs w:val="21"/>
                <w:lang w:val="en-US" w:eastAsia="zh-CN"/>
              </w:rPr>
              <w:t>中污水处理设施周边大气污染物最高允许浓度限值要求。</w:t>
            </w:r>
          </w:p>
          <w:p w14:paraId="49D51148">
            <w:pPr>
              <w:keepNext w:val="0"/>
              <w:keepLines w:val="0"/>
              <w:widowControl/>
              <w:suppressLineNumbers w:val="0"/>
              <w:jc w:val="center"/>
              <w:rPr>
                <w:rFonts w:eastAsia="黑体"/>
                <w:b/>
                <w:color w:val="auto"/>
                <w:sz w:val="18"/>
                <w:szCs w:val="18"/>
                <w:vertAlign w:val="superscript"/>
              </w:rPr>
            </w:pPr>
            <w:r>
              <w:rPr>
                <w:b/>
                <w:color w:val="auto"/>
                <w:sz w:val="18"/>
                <w:szCs w:val="18"/>
              </w:rPr>
              <w:t>表3-</w:t>
            </w:r>
            <w:r>
              <w:rPr>
                <w:rFonts w:hint="eastAsia"/>
                <w:b/>
                <w:color w:val="auto"/>
                <w:sz w:val="18"/>
                <w:szCs w:val="18"/>
                <w:lang w:val="en-US" w:eastAsia="zh-CN"/>
              </w:rPr>
              <w:t>6</w:t>
            </w:r>
            <w:r>
              <w:rPr>
                <w:b/>
                <w:color w:val="auto"/>
                <w:sz w:val="18"/>
                <w:szCs w:val="18"/>
              </w:rPr>
              <w:t xml:space="preserve">    </w:t>
            </w:r>
            <w:r>
              <w:rPr>
                <w:rFonts w:hint="eastAsia" w:ascii="宋体" w:hAnsi="宋体" w:eastAsia="宋体" w:cs="宋体"/>
                <w:b/>
                <w:bCs/>
                <w:color w:val="000000"/>
                <w:kern w:val="0"/>
                <w:sz w:val="18"/>
                <w:szCs w:val="18"/>
                <w:lang w:val="en-US" w:eastAsia="zh-CN" w:bidi="ar"/>
              </w:rPr>
              <w:t>污水处理设施周边大气污染物最高允许浓度</w:t>
            </w:r>
          </w:p>
          <w:tbl>
            <w:tblPr>
              <w:tblStyle w:val="47"/>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984"/>
              <w:gridCol w:w="4180"/>
              <w:gridCol w:w="2777"/>
            </w:tblGrid>
            <w:tr w14:paraId="41D59F8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97" w:hRule="atLeast"/>
              </w:trPr>
              <w:tc>
                <w:tcPr>
                  <w:tcW w:w="620" w:type="pct"/>
                  <w:vAlign w:val="center"/>
                </w:tcPr>
                <w:p w14:paraId="4D54553C">
                  <w:pPr>
                    <w:spacing w:line="240" w:lineRule="atLeast"/>
                    <w:jc w:val="center"/>
                    <w:rPr>
                      <w:rFonts w:hint="eastAsia" w:eastAsia="宋体"/>
                      <w:color w:val="auto"/>
                      <w:sz w:val="18"/>
                      <w:szCs w:val="18"/>
                      <w:lang w:val="en-US" w:eastAsia="zh-CN"/>
                    </w:rPr>
                  </w:pPr>
                  <w:r>
                    <w:rPr>
                      <w:rFonts w:hint="eastAsia"/>
                      <w:color w:val="auto"/>
                      <w:sz w:val="18"/>
                      <w:szCs w:val="18"/>
                      <w:lang w:val="en-US" w:eastAsia="zh-CN"/>
                    </w:rPr>
                    <w:t>序号</w:t>
                  </w:r>
                </w:p>
              </w:tc>
              <w:tc>
                <w:tcPr>
                  <w:tcW w:w="2631" w:type="pct"/>
                  <w:vAlign w:val="center"/>
                </w:tcPr>
                <w:p w14:paraId="2CF52C14">
                  <w:pPr>
                    <w:spacing w:line="240" w:lineRule="atLeast"/>
                    <w:jc w:val="center"/>
                    <w:rPr>
                      <w:rFonts w:hint="eastAsia" w:eastAsia="宋体"/>
                      <w:color w:val="auto"/>
                      <w:sz w:val="18"/>
                      <w:szCs w:val="18"/>
                      <w:lang w:val="en-US" w:eastAsia="zh-CN"/>
                    </w:rPr>
                  </w:pPr>
                  <w:r>
                    <w:rPr>
                      <w:rFonts w:hint="eastAsia"/>
                      <w:color w:val="auto"/>
                      <w:sz w:val="18"/>
                      <w:szCs w:val="18"/>
                      <w:lang w:val="en-US" w:eastAsia="zh-CN"/>
                    </w:rPr>
                    <w:t>污染物</w:t>
                  </w:r>
                </w:p>
              </w:tc>
              <w:tc>
                <w:tcPr>
                  <w:tcW w:w="1748" w:type="pct"/>
                  <w:vAlign w:val="center"/>
                </w:tcPr>
                <w:p w14:paraId="271E3D72">
                  <w:pPr>
                    <w:spacing w:line="240" w:lineRule="atLeast"/>
                    <w:jc w:val="center"/>
                    <w:rPr>
                      <w:rFonts w:hint="default" w:eastAsia="宋体"/>
                      <w:color w:val="auto"/>
                      <w:sz w:val="18"/>
                      <w:szCs w:val="18"/>
                      <w:lang w:val="en-US" w:eastAsia="zh-CN"/>
                    </w:rPr>
                  </w:pPr>
                  <w:r>
                    <w:rPr>
                      <w:rFonts w:hint="eastAsia"/>
                      <w:color w:val="auto"/>
                      <w:sz w:val="18"/>
                      <w:szCs w:val="18"/>
                      <w:lang w:val="en-US" w:eastAsia="zh-CN"/>
                    </w:rPr>
                    <w:t>标准值</w:t>
                  </w:r>
                </w:p>
              </w:tc>
            </w:tr>
            <w:tr w14:paraId="3F2F0CF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20" w:type="pct"/>
                  <w:vAlign w:val="center"/>
                </w:tcPr>
                <w:p w14:paraId="2DAA7151">
                  <w:pPr>
                    <w:spacing w:line="240" w:lineRule="atLeast"/>
                    <w:jc w:val="center"/>
                    <w:rPr>
                      <w:rFonts w:hint="eastAsia" w:eastAsia="宋体"/>
                      <w:color w:val="auto"/>
                      <w:sz w:val="18"/>
                      <w:szCs w:val="18"/>
                      <w:lang w:val="en-US" w:eastAsia="zh-CN"/>
                    </w:rPr>
                  </w:pPr>
                  <w:r>
                    <w:rPr>
                      <w:rFonts w:hint="eastAsia"/>
                      <w:color w:val="auto"/>
                      <w:sz w:val="18"/>
                      <w:szCs w:val="18"/>
                      <w:lang w:val="en-US" w:eastAsia="zh-CN"/>
                    </w:rPr>
                    <w:t>1</w:t>
                  </w:r>
                </w:p>
              </w:tc>
              <w:tc>
                <w:tcPr>
                  <w:tcW w:w="2631" w:type="pct"/>
                  <w:vAlign w:val="center"/>
                </w:tcPr>
                <w:p w14:paraId="45D1003D">
                  <w:pPr>
                    <w:spacing w:line="240" w:lineRule="atLeast"/>
                    <w:jc w:val="center"/>
                    <w:rPr>
                      <w:rFonts w:hint="default" w:eastAsia="宋体"/>
                      <w:color w:val="auto"/>
                      <w:sz w:val="18"/>
                      <w:szCs w:val="18"/>
                      <w:lang w:val="en-US" w:eastAsia="zh-CN"/>
                    </w:rPr>
                  </w:pPr>
                  <w:r>
                    <w:rPr>
                      <w:rFonts w:hint="eastAsia"/>
                      <w:color w:val="auto"/>
                      <w:sz w:val="18"/>
                      <w:szCs w:val="18"/>
                      <w:lang w:val="en-US" w:eastAsia="zh-CN"/>
                    </w:rPr>
                    <w:t>氨/mg/m</w:t>
                  </w:r>
                  <w:r>
                    <w:rPr>
                      <w:rFonts w:hint="eastAsia"/>
                      <w:color w:val="auto"/>
                      <w:sz w:val="18"/>
                      <w:szCs w:val="18"/>
                      <w:vertAlign w:val="superscript"/>
                      <w:lang w:val="en-US" w:eastAsia="zh-CN"/>
                    </w:rPr>
                    <w:t>3</w:t>
                  </w:r>
                </w:p>
              </w:tc>
              <w:tc>
                <w:tcPr>
                  <w:tcW w:w="1748" w:type="pct"/>
                  <w:vAlign w:val="center"/>
                </w:tcPr>
                <w:p w14:paraId="0148A1F0">
                  <w:pPr>
                    <w:spacing w:line="240" w:lineRule="atLeast"/>
                    <w:jc w:val="center"/>
                    <w:rPr>
                      <w:rFonts w:hint="default" w:eastAsia="宋体"/>
                      <w:color w:val="auto"/>
                      <w:sz w:val="18"/>
                      <w:szCs w:val="18"/>
                      <w:lang w:val="en-US" w:eastAsia="zh-CN"/>
                    </w:rPr>
                  </w:pPr>
                  <w:r>
                    <w:rPr>
                      <w:rFonts w:hint="eastAsia"/>
                      <w:color w:val="auto"/>
                      <w:sz w:val="18"/>
                      <w:szCs w:val="18"/>
                      <w:lang w:val="en-US" w:eastAsia="zh-CN"/>
                    </w:rPr>
                    <w:t>1.0</w:t>
                  </w:r>
                </w:p>
              </w:tc>
            </w:tr>
            <w:tr w14:paraId="5EABBE8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20" w:type="pct"/>
                  <w:vAlign w:val="center"/>
                </w:tcPr>
                <w:p w14:paraId="2B9D5029">
                  <w:pPr>
                    <w:spacing w:line="240" w:lineRule="atLeast"/>
                    <w:jc w:val="center"/>
                    <w:rPr>
                      <w:rFonts w:hint="eastAsia" w:eastAsia="宋体"/>
                      <w:color w:val="auto"/>
                      <w:sz w:val="18"/>
                      <w:szCs w:val="18"/>
                      <w:lang w:val="en-US" w:eastAsia="zh-CN"/>
                    </w:rPr>
                  </w:pPr>
                  <w:r>
                    <w:rPr>
                      <w:rFonts w:hint="eastAsia"/>
                      <w:color w:val="auto"/>
                      <w:sz w:val="18"/>
                      <w:szCs w:val="18"/>
                      <w:lang w:val="en-US" w:eastAsia="zh-CN"/>
                    </w:rPr>
                    <w:t>2</w:t>
                  </w:r>
                </w:p>
              </w:tc>
              <w:tc>
                <w:tcPr>
                  <w:tcW w:w="2631" w:type="pct"/>
                  <w:vAlign w:val="center"/>
                </w:tcPr>
                <w:p w14:paraId="1C094A6F">
                  <w:pPr>
                    <w:spacing w:line="240" w:lineRule="atLeast"/>
                    <w:jc w:val="center"/>
                    <w:rPr>
                      <w:rFonts w:hint="default" w:eastAsia="宋体"/>
                      <w:color w:val="auto"/>
                      <w:sz w:val="18"/>
                      <w:szCs w:val="18"/>
                      <w:lang w:val="en-US" w:eastAsia="zh-CN"/>
                    </w:rPr>
                  </w:pPr>
                  <w:r>
                    <w:rPr>
                      <w:rFonts w:hint="eastAsia"/>
                      <w:color w:val="auto"/>
                      <w:sz w:val="18"/>
                      <w:szCs w:val="18"/>
                      <w:lang w:val="en-US" w:eastAsia="zh-CN"/>
                    </w:rPr>
                    <w:t>硫化氢/mg/m</w:t>
                  </w:r>
                  <w:r>
                    <w:rPr>
                      <w:rFonts w:hint="eastAsia"/>
                      <w:color w:val="auto"/>
                      <w:sz w:val="18"/>
                      <w:szCs w:val="18"/>
                      <w:vertAlign w:val="superscript"/>
                      <w:lang w:val="en-US" w:eastAsia="zh-CN"/>
                    </w:rPr>
                    <w:t>3</w:t>
                  </w:r>
                </w:p>
              </w:tc>
              <w:tc>
                <w:tcPr>
                  <w:tcW w:w="1748" w:type="pct"/>
                  <w:vAlign w:val="center"/>
                </w:tcPr>
                <w:p w14:paraId="48104FFC">
                  <w:pPr>
                    <w:spacing w:line="240" w:lineRule="atLeast"/>
                    <w:jc w:val="center"/>
                    <w:rPr>
                      <w:rFonts w:hint="default" w:eastAsia="宋体"/>
                      <w:color w:val="auto"/>
                      <w:sz w:val="18"/>
                      <w:szCs w:val="18"/>
                      <w:lang w:val="en-US" w:eastAsia="zh-CN"/>
                    </w:rPr>
                  </w:pPr>
                  <w:r>
                    <w:rPr>
                      <w:rFonts w:hint="eastAsia"/>
                      <w:color w:val="auto"/>
                      <w:sz w:val="18"/>
                      <w:szCs w:val="18"/>
                      <w:lang w:val="en-US" w:eastAsia="zh-CN"/>
                    </w:rPr>
                    <w:t>0.03</w:t>
                  </w:r>
                </w:p>
              </w:tc>
            </w:tr>
            <w:tr w14:paraId="5D5BF4B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20" w:type="pct"/>
                  <w:vAlign w:val="center"/>
                </w:tcPr>
                <w:p w14:paraId="04924998">
                  <w:pPr>
                    <w:spacing w:line="240" w:lineRule="atLeast"/>
                    <w:jc w:val="center"/>
                    <w:rPr>
                      <w:rFonts w:hint="default"/>
                      <w:color w:val="auto"/>
                      <w:sz w:val="18"/>
                      <w:szCs w:val="18"/>
                      <w:lang w:val="en-US" w:eastAsia="zh-CN"/>
                    </w:rPr>
                  </w:pPr>
                  <w:r>
                    <w:rPr>
                      <w:rFonts w:hint="eastAsia"/>
                      <w:color w:val="auto"/>
                      <w:sz w:val="18"/>
                      <w:szCs w:val="18"/>
                      <w:lang w:val="en-US" w:eastAsia="zh-CN"/>
                    </w:rPr>
                    <w:t>3</w:t>
                  </w:r>
                </w:p>
              </w:tc>
              <w:tc>
                <w:tcPr>
                  <w:tcW w:w="2631" w:type="pct"/>
                  <w:vAlign w:val="center"/>
                </w:tcPr>
                <w:p w14:paraId="1B0C648E">
                  <w:pPr>
                    <w:spacing w:line="240" w:lineRule="atLeast"/>
                    <w:jc w:val="center"/>
                    <w:rPr>
                      <w:rFonts w:hint="default"/>
                      <w:color w:val="auto"/>
                      <w:sz w:val="18"/>
                      <w:szCs w:val="18"/>
                      <w:lang w:val="en-US" w:eastAsia="zh-CN"/>
                    </w:rPr>
                  </w:pPr>
                  <w:r>
                    <w:rPr>
                      <w:rFonts w:hint="eastAsia"/>
                      <w:color w:val="auto"/>
                      <w:sz w:val="18"/>
                      <w:szCs w:val="18"/>
                      <w:lang w:val="en-US" w:eastAsia="zh-CN"/>
                    </w:rPr>
                    <w:t>臭气浓度/无量纲</w:t>
                  </w:r>
                </w:p>
              </w:tc>
              <w:tc>
                <w:tcPr>
                  <w:tcW w:w="1748" w:type="pct"/>
                  <w:vAlign w:val="center"/>
                </w:tcPr>
                <w:p w14:paraId="6ABC88D2">
                  <w:pPr>
                    <w:spacing w:line="240" w:lineRule="atLeast"/>
                    <w:jc w:val="center"/>
                    <w:rPr>
                      <w:rFonts w:hint="default" w:eastAsia="宋体"/>
                      <w:color w:val="auto"/>
                      <w:sz w:val="18"/>
                      <w:szCs w:val="18"/>
                      <w:lang w:val="en-US" w:eastAsia="zh-CN"/>
                    </w:rPr>
                  </w:pPr>
                  <w:r>
                    <w:rPr>
                      <w:rFonts w:hint="eastAsia"/>
                      <w:color w:val="auto"/>
                      <w:sz w:val="18"/>
                      <w:szCs w:val="18"/>
                      <w:lang w:val="en-US" w:eastAsia="zh-CN"/>
                    </w:rPr>
                    <w:t>10</w:t>
                  </w:r>
                </w:p>
              </w:tc>
            </w:tr>
            <w:tr w14:paraId="3148B01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18" w:hRule="atLeast"/>
              </w:trPr>
              <w:tc>
                <w:tcPr>
                  <w:tcW w:w="620" w:type="pct"/>
                  <w:vAlign w:val="center"/>
                </w:tcPr>
                <w:p w14:paraId="5362BAB2">
                  <w:pPr>
                    <w:spacing w:line="240" w:lineRule="atLeast"/>
                    <w:jc w:val="center"/>
                    <w:rPr>
                      <w:rFonts w:hint="default"/>
                      <w:color w:val="auto"/>
                      <w:sz w:val="18"/>
                      <w:szCs w:val="18"/>
                      <w:lang w:val="en-US" w:eastAsia="zh-CN"/>
                    </w:rPr>
                  </w:pPr>
                  <w:r>
                    <w:rPr>
                      <w:rFonts w:hint="eastAsia"/>
                      <w:color w:val="auto"/>
                      <w:sz w:val="18"/>
                      <w:szCs w:val="18"/>
                      <w:lang w:val="en-US" w:eastAsia="zh-CN"/>
                    </w:rPr>
                    <w:t>4</w:t>
                  </w:r>
                </w:p>
              </w:tc>
              <w:tc>
                <w:tcPr>
                  <w:tcW w:w="2631" w:type="pct"/>
                  <w:vAlign w:val="center"/>
                </w:tcPr>
                <w:p w14:paraId="186CC1AB">
                  <w:pPr>
                    <w:spacing w:line="240" w:lineRule="atLeast"/>
                    <w:jc w:val="center"/>
                    <w:rPr>
                      <w:rFonts w:hint="default"/>
                      <w:color w:val="auto"/>
                      <w:sz w:val="18"/>
                      <w:szCs w:val="18"/>
                      <w:lang w:val="en-US" w:eastAsia="zh-CN"/>
                    </w:rPr>
                  </w:pPr>
                  <w:r>
                    <w:rPr>
                      <w:rFonts w:hint="eastAsia"/>
                      <w:color w:val="auto"/>
                      <w:sz w:val="18"/>
                      <w:szCs w:val="18"/>
                      <w:lang w:val="en-US" w:eastAsia="zh-CN"/>
                    </w:rPr>
                    <w:t>氯气/mg/m</w:t>
                  </w:r>
                  <w:r>
                    <w:rPr>
                      <w:rFonts w:hint="eastAsia"/>
                      <w:color w:val="auto"/>
                      <w:sz w:val="18"/>
                      <w:szCs w:val="18"/>
                      <w:vertAlign w:val="superscript"/>
                      <w:lang w:val="en-US" w:eastAsia="zh-CN"/>
                    </w:rPr>
                    <w:t>3</w:t>
                  </w:r>
                </w:p>
              </w:tc>
              <w:tc>
                <w:tcPr>
                  <w:tcW w:w="1748" w:type="pct"/>
                  <w:vAlign w:val="center"/>
                </w:tcPr>
                <w:p w14:paraId="02215A62">
                  <w:pPr>
                    <w:spacing w:line="240" w:lineRule="atLeast"/>
                    <w:jc w:val="center"/>
                    <w:rPr>
                      <w:rFonts w:hint="default"/>
                      <w:color w:val="auto"/>
                      <w:sz w:val="18"/>
                      <w:szCs w:val="18"/>
                      <w:lang w:val="en-US" w:eastAsia="zh-CN"/>
                    </w:rPr>
                  </w:pPr>
                  <w:r>
                    <w:rPr>
                      <w:rFonts w:hint="eastAsia"/>
                      <w:color w:val="auto"/>
                      <w:sz w:val="18"/>
                      <w:szCs w:val="18"/>
                      <w:lang w:val="en-US" w:eastAsia="zh-CN"/>
                    </w:rPr>
                    <w:t>0.1</w:t>
                  </w:r>
                </w:p>
              </w:tc>
            </w:tr>
            <w:tr w14:paraId="2D1F4B5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20" w:type="pct"/>
                  <w:vAlign w:val="center"/>
                </w:tcPr>
                <w:p w14:paraId="7E01E4C5">
                  <w:pPr>
                    <w:spacing w:line="240" w:lineRule="atLeast"/>
                    <w:jc w:val="center"/>
                    <w:rPr>
                      <w:rFonts w:hint="default"/>
                      <w:color w:val="auto"/>
                      <w:sz w:val="18"/>
                      <w:szCs w:val="18"/>
                      <w:lang w:val="en-US" w:eastAsia="zh-CN"/>
                    </w:rPr>
                  </w:pPr>
                  <w:r>
                    <w:rPr>
                      <w:rFonts w:hint="eastAsia"/>
                      <w:color w:val="auto"/>
                      <w:sz w:val="18"/>
                      <w:szCs w:val="18"/>
                      <w:lang w:val="en-US" w:eastAsia="zh-CN"/>
                    </w:rPr>
                    <w:t>5</w:t>
                  </w:r>
                </w:p>
              </w:tc>
              <w:tc>
                <w:tcPr>
                  <w:tcW w:w="2631" w:type="pct"/>
                  <w:vAlign w:val="center"/>
                </w:tcPr>
                <w:p w14:paraId="7FD13039">
                  <w:pPr>
                    <w:spacing w:line="240" w:lineRule="atLeast"/>
                    <w:jc w:val="center"/>
                    <w:rPr>
                      <w:rFonts w:hint="default"/>
                      <w:color w:val="auto"/>
                      <w:sz w:val="18"/>
                      <w:szCs w:val="18"/>
                      <w:lang w:val="en-US" w:eastAsia="zh-CN"/>
                    </w:rPr>
                  </w:pPr>
                  <w:r>
                    <w:rPr>
                      <w:rFonts w:hint="eastAsia"/>
                      <w:color w:val="auto"/>
                      <w:sz w:val="18"/>
                      <w:szCs w:val="18"/>
                      <w:lang w:val="en-US" w:eastAsia="zh-CN"/>
                    </w:rPr>
                    <w:t>甲烷（指处理站内最高体积百分数/%）</w:t>
                  </w:r>
                </w:p>
              </w:tc>
              <w:tc>
                <w:tcPr>
                  <w:tcW w:w="1748" w:type="pct"/>
                  <w:vAlign w:val="center"/>
                </w:tcPr>
                <w:p w14:paraId="5C21DDD9">
                  <w:pPr>
                    <w:spacing w:line="240" w:lineRule="atLeast"/>
                    <w:jc w:val="center"/>
                    <w:rPr>
                      <w:rFonts w:hint="default"/>
                      <w:color w:val="auto"/>
                      <w:sz w:val="18"/>
                      <w:szCs w:val="18"/>
                      <w:lang w:val="en-US" w:eastAsia="zh-CN"/>
                    </w:rPr>
                  </w:pPr>
                  <w:r>
                    <w:rPr>
                      <w:rFonts w:hint="eastAsia"/>
                      <w:color w:val="auto"/>
                      <w:sz w:val="18"/>
                      <w:szCs w:val="18"/>
                      <w:lang w:val="en-US" w:eastAsia="zh-CN"/>
                    </w:rPr>
                    <w:t>1</w:t>
                  </w:r>
                </w:p>
              </w:tc>
            </w:tr>
          </w:tbl>
          <w:p w14:paraId="5A3CEB57">
            <w:pPr>
              <w:spacing w:line="360" w:lineRule="auto"/>
              <w:ind w:firstLine="420" w:firstLineChars="200"/>
              <w:rPr>
                <w:rFonts w:hint="eastAsia" w:ascii="Times New Roman" w:hAnsi="Times New Roman" w:eastAsia="宋体" w:cs="Times New Roman"/>
                <w:b w:val="0"/>
                <w:bCs w:val="0"/>
                <w:color w:val="auto"/>
                <w:szCs w:val="21"/>
                <w:lang w:val="en-US" w:eastAsia="zh-CN"/>
              </w:rPr>
            </w:pPr>
            <w:r>
              <w:rPr>
                <w:rFonts w:hint="eastAsia" w:ascii="Times New Roman" w:hAnsi="Times New Roman" w:eastAsia="宋体" w:cs="Times New Roman"/>
                <w:b w:val="0"/>
                <w:bCs w:val="0"/>
                <w:color w:val="auto"/>
                <w:szCs w:val="21"/>
                <w:lang w:val="en-US" w:eastAsia="zh-CN"/>
              </w:rPr>
              <w:t>项目运营期食堂排放的油烟执行《饮食业油烟排放标准》（</w:t>
            </w:r>
            <w:r>
              <w:rPr>
                <w:rFonts w:hint="default" w:ascii="Times New Roman" w:hAnsi="Times New Roman" w:eastAsia="宋体" w:cs="Times New Roman"/>
                <w:b w:val="0"/>
                <w:bCs w:val="0"/>
                <w:color w:val="auto"/>
                <w:szCs w:val="21"/>
                <w:lang w:val="en-US" w:eastAsia="zh-CN"/>
              </w:rPr>
              <w:t>GB18483-2001</w:t>
            </w:r>
            <w:r>
              <w:rPr>
                <w:rFonts w:hint="eastAsia" w:ascii="Times New Roman" w:hAnsi="Times New Roman" w:eastAsia="宋体" w:cs="Times New Roman"/>
                <w:b w:val="0"/>
                <w:bCs w:val="0"/>
                <w:color w:val="auto"/>
                <w:szCs w:val="21"/>
                <w:lang w:val="en-US" w:eastAsia="zh-CN"/>
              </w:rPr>
              <w:t>）</w:t>
            </w:r>
            <w:r>
              <w:rPr>
                <w:rFonts w:hint="eastAsia" w:cs="Times New Roman"/>
                <w:b w:val="0"/>
                <w:bCs w:val="0"/>
                <w:color w:val="auto"/>
                <w:szCs w:val="21"/>
                <w:lang w:val="en-US" w:eastAsia="zh-CN"/>
              </w:rPr>
              <w:t>标准要求，其中1#和2#食堂各设置2个灶头，3#食堂设置4个灶头，环评按照</w:t>
            </w:r>
            <w:r>
              <w:rPr>
                <w:rFonts w:hint="eastAsia" w:ascii="Times New Roman" w:hAnsi="Times New Roman" w:eastAsia="宋体" w:cs="Times New Roman"/>
                <w:b w:val="0"/>
                <w:bCs w:val="0"/>
                <w:color w:val="auto"/>
                <w:szCs w:val="21"/>
                <w:lang w:val="en-US" w:eastAsia="zh-CN"/>
              </w:rPr>
              <w:t>中型标准要求</w:t>
            </w:r>
            <w:r>
              <w:rPr>
                <w:rFonts w:hint="eastAsia" w:cs="Times New Roman"/>
                <w:b w:val="0"/>
                <w:bCs w:val="0"/>
                <w:color w:val="auto"/>
                <w:szCs w:val="21"/>
                <w:lang w:val="en-US" w:eastAsia="zh-CN"/>
              </w:rPr>
              <w:t>执行。</w:t>
            </w:r>
          </w:p>
          <w:p w14:paraId="1E35D4CC">
            <w:pPr>
              <w:keepNext w:val="0"/>
              <w:keepLines w:val="0"/>
              <w:widowControl/>
              <w:suppressLineNumbers w:val="0"/>
              <w:jc w:val="center"/>
              <w:rPr>
                <w:rFonts w:eastAsia="黑体"/>
                <w:b/>
                <w:color w:val="auto"/>
                <w:sz w:val="18"/>
                <w:szCs w:val="18"/>
                <w:vertAlign w:val="superscript"/>
              </w:rPr>
            </w:pPr>
            <w:r>
              <w:rPr>
                <w:b/>
                <w:color w:val="auto"/>
                <w:sz w:val="18"/>
                <w:szCs w:val="18"/>
              </w:rPr>
              <w:t>表3-</w:t>
            </w:r>
            <w:r>
              <w:rPr>
                <w:rFonts w:hint="eastAsia"/>
                <w:b/>
                <w:color w:val="auto"/>
                <w:sz w:val="18"/>
                <w:szCs w:val="18"/>
                <w:lang w:val="en-US" w:eastAsia="zh-CN"/>
              </w:rPr>
              <w:t>7</w:t>
            </w:r>
            <w:r>
              <w:rPr>
                <w:b/>
                <w:color w:val="auto"/>
                <w:sz w:val="18"/>
                <w:szCs w:val="18"/>
              </w:rPr>
              <w:t xml:space="preserve">    </w:t>
            </w:r>
            <w:r>
              <w:rPr>
                <w:rFonts w:hint="eastAsia" w:ascii="宋体" w:hAnsi="宋体" w:eastAsia="宋体" w:cs="宋体"/>
                <w:b/>
                <w:bCs/>
                <w:color w:val="000000"/>
                <w:kern w:val="0"/>
                <w:sz w:val="18"/>
                <w:szCs w:val="18"/>
                <w:lang w:val="en-US" w:eastAsia="zh-CN" w:bidi="ar"/>
              </w:rPr>
              <w:t>油烟最高允许排放浓度和油烟净化设施最低去除率</w:t>
            </w:r>
          </w:p>
          <w:tbl>
            <w:tblPr>
              <w:tblStyle w:val="47"/>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276"/>
              <w:gridCol w:w="1401"/>
              <w:gridCol w:w="1401"/>
              <w:gridCol w:w="863"/>
            </w:tblGrid>
            <w:tr w14:paraId="465639D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97" w:hRule="atLeast"/>
              </w:trPr>
              <w:tc>
                <w:tcPr>
                  <w:tcW w:w="2692" w:type="pct"/>
                  <w:vAlign w:val="center"/>
                </w:tcPr>
                <w:p w14:paraId="1FCCE312">
                  <w:pPr>
                    <w:spacing w:line="240" w:lineRule="atLeast"/>
                    <w:jc w:val="center"/>
                    <w:rPr>
                      <w:rFonts w:hint="default" w:eastAsia="宋体"/>
                      <w:color w:val="auto"/>
                      <w:sz w:val="18"/>
                      <w:szCs w:val="18"/>
                      <w:lang w:val="en-US" w:eastAsia="zh-CN"/>
                    </w:rPr>
                  </w:pPr>
                  <w:r>
                    <w:rPr>
                      <w:rFonts w:hint="eastAsia"/>
                      <w:color w:val="auto"/>
                      <w:sz w:val="18"/>
                      <w:szCs w:val="18"/>
                      <w:lang w:val="en-US" w:eastAsia="zh-CN"/>
                    </w:rPr>
                    <w:t>饮食业单位规模</w:t>
                  </w:r>
                </w:p>
              </w:tc>
              <w:tc>
                <w:tcPr>
                  <w:tcW w:w="882" w:type="pct"/>
                  <w:vAlign w:val="center"/>
                </w:tcPr>
                <w:p w14:paraId="5C7FD450">
                  <w:pPr>
                    <w:spacing w:line="240" w:lineRule="atLeast"/>
                    <w:jc w:val="center"/>
                    <w:rPr>
                      <w:rFonts w:hint="eastAsia" w:eastAsia="宋体"/>
                      <w:color w:val="auto"/>
                      <w:sz w:val="18"/>
                      <w:szCs w:val="18"/>
                      <w:lang w:val="en-US" w:eastAsia="zh-CN"/>
                    </w:rPr>
                  </w:pPr>
                  <w:r>
                    <w:rPr>
                      <w:rFonts w:hint="eastAsia"/>
                      <w:color w:val="auto"/>
                      <w:sz w:val="18"/>
                      <w:szCs w:val="18"/>
                      <w:lang w:val="en-US" w:eastAsia="zh-CN"/>
                    </w:rPr>
                    <w:t>小型</w:t>
                  </w:r>
                </w:p>
              </w:tc>
              <w:tc>
                <w:tcPr>
                  <w:tcW w:w="882" w:type="pct"/>
                  <w:vAlign w:val="center"/>
                </w:tcPr>
                <w:p w14:paraId="212A6974">
                  <w:pPr>
                    <w:spacing w:line="240" w:lineRule="atLeast"/>
                    <w:jc w:val="center"/>
                    <w:rPr>
                      <w:rFonts w:hint="default"/>
                      <w:color w:val="auto"/>
                      <w:sz w:val="18"/>
                      <w:szCs w:val="18"/>
                      <w:lang w:val="en-US" w:eastAsia="zh-CN"/>
                    </w:rPr>
                  </w:pPr>
                  <w:r>
                    <w:rPr>
                      <w:rFonts w:hint="eastAsia"/>
                      <w:color w:val="auto"/>
                      <w:sz w:val="18"/>
                      <w:szCs w:val="18"/>
                      <w:lang w:val="en-US" w:eastAsia="zh-CN"/>
                    </w:rPr>
                    <w:t>中型</w:t>
                  </w:r>
                </w:p>
              </w:tc>
              <w:tc>
                <w:tcPr>
                  <w:tcW w:w="542" w:type="pct"/>
                  <w:vAlign w:val="center"/>
                </w:tcPr>
                <w:p w14:paraId="38260111">
                  <w:pPr>
                    <w:spacing w:line="240" w:lineRule="atLeast"/>
                    <w:jc w:val="center"/>
                    <w:rPr>
                      <w:rFonts w:hint="default" w:eastAsia="宋体"/>
                      <w:color w:val="auto"/>
                      <w:sz w:val="18"/>
                      <w:szCs w:val="18"/>
                      <w:lang w:val="en-US" w:eastAsia="zh-CN"/>
                    </w:rPr>
                  </w:pPr>
                  <w:r>
                    <w:rPr>
                      <w:rFonts w:hint="eastAsia"/>
                      <w:color w:val="auto"/>
                      <w:sz w:val="18"/>
                      <w:szCs w:val="18"/>
                      <w:lang w:val="en-US" w:eastAsia="zh-CN"/>
                    </w:rPr>
                    <w:t>大型</w:t>
                  </w:r>
                </w:p>
              </w:tc>
            </w:tr>
            <w:tr w14:paraId="11BCAEC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692" w:type="pct"/>
                  <w:vAlign w:val="center"/>
                </w:tcPr>
                <w:p w14:paraId="24F61EED">
                  <w:pPr>
                    <w:spacing w:line="240" w:lineRule="atLeast"/>
                    <w:jc w:val="center"/>
                    <w:rPr>
                      <w:rFonts w:hint="default" w:eastAsia="宋体"/>
                      <w:color w:val="auto"/>
                      <w:sz w:val="18"/>
                      <w:szCs w:val="18"/>
                      <w:lang w:val="en-US" w:eastAsia="zh-CN"/>
                    </w:rPr>
                  </w:pPr>
                  <w:r>
                    <w:rPr>
                      <w:rFonts w:hint="eastAsia"/>
                      <w:color w:val="auto"/>
                      <w:sz w:val="18"/>
                      <w:szCs w:val="18"/>
                      <w:lang w:val="en-US" w:eastAsia="zh-CN"/>
                    </w:rPr>
                    <w:t>基准灶头数</w:t>
                  </w:r>
                </w:p>
              </w:tc>
              <w:tc>
                <w:tcPr>
                  <w:tcW w:w="882" w:type="pct"/>
                  <w:vAlign w:val="center"/>
                </w:tcPr>
                <w:p w14:paraId="47704900">
                  <w:pPr>
                    <w:spacing w:line="240" w:lineRule="atLeast"/>
                    <w:jc w:val="center"/>
                    <w:rPr>
                      <w:rFonts w:hint="default" w:eastAsia="宋体"/>
                      <w:color w:val="auto"/>
                      <w:sz w:val="18"/>
                      <w:szCs w:val="18"/>
                      <w:lang w:val="en-US" w:eastAsia="zh-CN"/>
                    </w:rPr>
                  </w:pPr>
                  <w:r>
                    <w:rPr>
                      <w:rFonts w:hint="eastAsia"/>
                      <w:color w:val="auto"/>
                      <w:sz w:val="18"/>
                      <w:szCs w:val="18"/>
                      <w:lang w:val="en-US" w:eastAsia="zh-CN"/>
                    </w:rPr>
                    <w:t>≥1，＜3</w:t>
                  </w:r>
                </w:p>
              </w:tc>
              <w:tc>
                <w:tcPr>
                  <w:tcW w:w="882" w:type="pct"/>
                  <w:vAlign w:val="center"/>
                </w:tcPr>
                <w:p w14:paraId="1B9FFC81">
                  <w:pPr>
                    <w:spacing w:line="240" w:lineRule="atLeast"/>
                    <w:jc w:val="center"/>
                    <w:rPr>
                      <w:rFonts w:hint="eastAsia"/>
                      <w:color w:val="auto"/>
                      <w:sz w:val="18"/>
                      <w:szCs w:val="18"/>
                      <w:lang w:val="en-US" w:eastAsia="zh-CN"/>
                    </w:rPr>
                  </w:pPr>
                  <w:r>
                    <w:rPr>
                      <w:rFonts w:hint="eastAsia"/>
                      <w:color w:val="auto"/>
                      <w:sz w:val="18"/>
                      <w:szCs w:val="18"/>
                      <w:lang w:val="en-US" w:eastAsia="zh-CN"/>
                    </w:rPr>
                    <w:t>≥3，＜6</w:t>
                  </w:r>
                </w:p>
              </w:tc>
              <w:tc>
                <w:tcPr>
                  <w:tcW w:w="542" w:type="pct"/>
                  <w:vAlign w:val="center"/>
                </w:tcPr>
                <w:p w14:paraId="21B8C87E">
                  <w:pPr>
                    <w:spacing w:line="240" w:lineRule="atLeast"/>
                    <w:jc w:val="center"/>
                    <w:rPr>
                      <w:rFonts w:hint="default" w:eastAsia="宋体"/>
                      <w:color w:val="auto"/>
                      <w:sz w:val="18"/>
                      <w:szCs w:val="18"/>
                      <w:lang w:val="en-US" w:eastAsia="zh-CN"/>
                    </w:rPr>
                  </w:pPr>
                  <w:r>
                    <w:rPr>
                      <w:rFonts w:hint="eastAsia"/>
                      <w:color w:val="auto"/>
                      <w:sz w:val="18"/>
                      <w:szCs w:val="18"/>
                      <w:lang w:val="en-US" w:eastAsia="zh-CN"/>
                    </w:rPr>
                    <w:t>≥6</w:t>
                  </w:r>
                </w:p>
              </w:tc>
            </w:tr>
            <w:tr w14:paraId="6238664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692" w:type="pct"/>
                  <w:vAlign w:val="center"/>
                </w:tcPr>
                <w:p w14:paraId="353AD497">
                  <w:pPr>
                    <w:spacing w:line="240" w:lineRule="atLeast"/>
                    <w:jc w:val="center"/>
                    <w:rPr>
                      <w:rFonts w:hint="default" w:eastAsia="宋体"/>
                      <w:color w:val="auto"/>
                      <w:sz w:val="18"/>
                      <w:szCs w:val="18"/>
                      <w:lang w:val="en-US" w:eastAsia="zh-CN"/>
                    </w:rPr>
                  </w:pPr>
                  <w:r>
                    <w:rPr>
                      <w:rFonts w:hint="eastAsia"/>
                      <w:color w:val="auto"/>
                      <w:sz w:val="18"/>
                      <w:szCs w:val="18"/>
                      <w:lang w:val="en-US" w:eastAsia="zh-CN"/>
                    </w:rPr>
                    <w:t>油烟最高允许排放浓度（mg/m</w:t>
                  </w:r>
                  <w:r>
                    <w:rPr>
                      <w:rFonts w:hint="eastAsia"/>
                      <w:color w:val="auto"/>
                      <w:sz w:val="18"/>
                      <w:szCs w:val="18"/>
                      <w:vertAlign w:val="superscript"/>
                      <w:lang w:val="en-US" w:eastAsia="zh-CN"/>
                    </w:rPr>
                    <w:t>3</w:t>
                  </w:r>
                  <w:r>
                    <w:rPr>
                      <w:rFonts w:hint="eastAsia"/>
                      <w:color w:val="auto"/>
                      <w:sz w:val="18"/>
                      <w:szCs w:val="18"/>
                      <w:lang w:val="en-US" w:eastAsia="zh-CN"/>
                    </w:rPr>
                    <w:t>）</w:t>
                  </w:r>
                </w:p>
              </w:tc>
              <w:tc>
                <w:tcPr>
                  <w:tcW w:w="2307" w:type="pct"/>
                  <w:gridSpan w:val="3"/>
                  <w:vAlign w:val="center"/>
                </w:tcPr>
                <w:p w14:paraId="3B615AEC">
                  <w:pPr>
                    <w:spacing w:line="240" w:lineRule="atLeast"/>
                    <w:jc w:val="center"/>
                    <w:rPr>
                      <w:rFonts w:hint="default" w:eastAsia="宋体"/>
                      <w:color w:val="auto"/>
                      <w:sz w:val="18"/>
                      <w:szCs w:val="18"/>
                      <w:lang w:val="en-US" w:eastAsia="zh-CN"/>
                    </w:rPr>
                  </w:pPr>
                  <w:r>
                    <w:rPr>
                      <w:rFonts w:hint="eastAsia"/>
                      <w:color w:val="auto"/>
                      <w:sz w:val="18"/>
                      <w:szCs w:val="18"/>
                      <w:lang w:val="en-US" w:eastAsia="zh-CN"/>
                    </w:rPr>
                    <w:t>2.0</w:t>
                  </w:r>
                </w:p>
              </w:tc>
            </w:tr>
            <w:tr w14:paraId="43A20C0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692" w:type="pct"/>
                  <w:vAlign w:val="center"/>
                </w:tcPr>
                <w:p w14:paraId="78670A7D">
                  <w:pPr>
                    <w:spacing w:line="240" w:lineRule="atLeast"/>
                    <w:jc w:val="center"/>
                    <w:rPr>
                      <w:rFonts w:hint="default"/>
                      <w:color w:val="auto"/>
                      <w:sz w:val="18"/>
                      <w:szCs w:val="18"/>
                      <w:lang w:val="en-US" w:eastAsia="zh-CN"/>
                    </w:rPr>
                  </w:pPr>
                  <w:r>
                    <w:rPr>
                      <w:rFonts w:hint="eastAsia"/>
                      <w:color w:val="auto"/>
                      <w:sz w:val="18"/>
                      <w:szCs w:val="18"/>
                      <w:lang w:val="en-US" w:eastAsia="zh-CN"/>
                    </w:rPr>
                    <w:t>净化设施最低去除率（%）</w:t>
                  </w:r>
                </w:p>
              </w:tc>
              <w:tc>
                <w:tcPr>
                  <w:tcW w:w="882" w:type="pct"/>
                  <w:vAlign w:val="center"/>
                </w:tcPr>
                <w:p w14:paraId="2686E559">
                  <w:pPr>
                    <w:spacing w:line="240" w:lineRule="atLeast"/>
                    <w:jc w:val="center"/>
                    <w:rPr>
                      <w:rFonts w:hint="default"/>
                      <w:color w:val="auto"/>
                      <w:sz w:val="18"/>
                      <w:szCs w:val="18"/>
                      <w:lang w:val="en-US" w:eastAsia="zh-CN"/>
                    </w:rPr>
                  </w:pPr>
                  <w:r>
                    <w:rPr>
                      <w:rFonts w:hint="eastAsia"/>
                      <w:color w:val="auto"/>
                      <w:sz w:val="18"/>
                      <w:szCs w:val="18"/>
                      <w:lang w:val="en-US" w:eastAsia="zh-CN"/>
                    </w:rPr>
                    <w:t>60</w:t>
                  </w:r>
                </w:p>
              </w:tc>
              <w:tc>
                <w:tcPr>
                  <w:tcW w:w="882" w:type="pct"/>
                  <w:vAlign w:val="center"/>
                </w:tcPr>
                <w:p w14:paraId="7607AFDC">
                  <w:pPr>
                    <w:spacing w:line="240" w:lineRule="atLeast"/>
                    <w:jc w:val="center"/>
                    <w:rPr>
                      <w:rFonts w:hint="default"/>
                      <w:color w:val="auto"/>
                      <w:sz w:val="18"/>
                      <w:szCs w:val="18"/>
                      <w:lang w:val="en-US" w:eastAsia="zh-CN"/>
                    </w:rPr>
                  </w:pPr>
                  <w:r>
                    <w:rPr>
                      <w:rFonts w:hint="eastAsia"/>
                      <w:color w:val="auto"/>
                      <w:sz w:val="18"/>
                      <w:szCs w:val="18"/>
                      <w:lang w:val="en-US" w:eastAsia="zh-CN"/>
                    </w:rPr>
                    <w:t>75</w:t>
                  </w:r>
                </w:p>
              </w:tc>
              <w:tc>
                <w:tcPr>
                  <w:tcW w:w="542" w:type="pct"/>
                  <w:vAlign w:val="center"/>
                </w:tcPr>
                <w:p w14:paraId="069DE0B4">
                  <w:pPr>
                    <w:spacing w:line="240" w:lineRule="atLeast"/>
                    <w:jc w:val="center"/>
                    <w:rPr>
                      <w:rFonts w:hint="default" w:eastAsia="宋体"/>
                      <w:color w:val="auto"/>
                      <w:sz w:val="18"/>
                      <w:szCs w:val="18"/>
                      <w:lang w:val="en-US" w:eastAsia="zh-CN"/>
                    </w:rPr>
                  </w:pPr>
                  <w:r>
                    <w:rPr>
                      <w:rFonts w:hint="eastAsia"/>
                      <w:color w:val="auto"/>
                      <w:sz w:val="18"/>
                      <w:szCs w:val="18"/>
                      <w:lang w:val="en-US" w:eastAsia="zh-CN"/>
                    </w:rPr>
                    <w:t>85</w:t>
                  </w:r>
                </w:p>
              </w:tc>
            </w:tr>
          </w:tbl>
          <w:p w14:paraId="202BA573">
            <w:pPr>
              <w:spacing w:line="360" w:lineRule="auto"/>
              <w:ind w:firstLine="422" w:firstLineChars="200"/>
              <w:rPr>
                <w:b/>
                <w:color w:val="auto"/>
                <w:szCs w:val="21"/>
              </w:rPr>
            </w:pPr>
            <w:r>
              <w:rPr>
                <w:rFonts w:hint="eastAsia"/>
                <w:b/>
                <w:color w:val="auto"/>
                <w:szCs w:val="21"/>
                <w:lang w:val="en-US" w:eastAsia="zh-CN"/>
              </w:rPr>
              <w:t>3.7</w:t>
            </w:r>
            <w:r>
              <w:rPr>
                <w:b/>
                <w:color w:val="auto"/>
                <w:szCs w:val="21"/>
              </w:rPr>
              <w:t>废水</w:t>
            </w:r>
          </w:p>
          <w:p w14:paraId="6B673FD9">
            <w:pPr>
              <w:spacing w:line="360" w:lineRule="auto"/>
              <w:ind w:firstLine="420" w:firstLineChars="200"/>
              <w:rPr>
                <w:rFonts w:hint="eastAsia"/>
                <w:color w:val="auto"/>
                <w:szCs w:val="21"/>
                <w:lang w:val="en-US" w:eastAsia="zh-CN"/>
              </w:rPr>
            </w:pPr>
            <w:r>
              <w:rPr>
                <w:rFonts w:hint="eastAsia"/>
                <w:color w:val="auto"/>
                <w:szCs w:val="21"/>
                <w:lang w:val="en-US" w:eastAsia="zh-CN"/>
              </w:rPr>
              <w:t>本工程为疗养院项目，各类废水经预处理后，排入自建污水处理站，经处理达标后排入园区污水管网系统。</w:t>
            </w:r>
          </w:p>
          <w:p w14:paraId="2E506EC6">
            <w:pPr>
              <w:spacing w:line="360" w:lineRule="auto"/>
              <w:ind w:firstLine="420" w:firstLineChars="200"/>
              <w:rPr>
                <w:rFonts w:hint="eastAsia"/>
                <w:color w:val="auto"/>
                <w:szCs w:val="21"/>
                <w:lang w:val="en-US" w:eastAsia="zh-CN"/>
              </w:rPr>
            </w:pPr>
            <w:r>
              <w:rPr>
                <w:rFonts w:hint="eastAsia"/>
                <w:color w:val="auto"/>
                <w:szCs w:val="21"/>
                <w:lang w:val="en-US" w:eastAsia="zh-CN"/>
              </w:rPr>
              <w:t>根据《医疗机构水污染物排放标准》</w:t>
            </w:r>
            <w:r>
              <w:rPr>
                <w:rFonts w:hint="default"/>
                <w:color w:val="auto"/>
                <w:szCs w:val="21"/>
                <w:lang w:val="en-US" w:eastAsia="zh-CN"/>
              </w:rPr>
              <w:t>(GB 18466-2005)</w:t>
            </w:r>
            <w:r>
              <w:rPr>
                <w:rFonts w:hint="eastAsia"/>
                <w:color w:val="auto"/>
                <w:szCs w:val="21"/>
                <w:lang w:val="en-US" w:eastAsia="zh-CN"/>
              </w:rPr>
              <w:t>中规定：排入终端已建有正常运行城镇二级污水处理厂的下水道的污水，执行标准中表</w:t>
            </w:r>
            <w:r>
              <w:rPr>
                <w:rFonts w:hint="default"/>
                <w:color w:val="auto"/>
                <w:szCs w:val="21"/>
                <w:lang w:val="en-US" w:eastAsia="zh-CN"/>
              </w:rPr>
              <w:t>2</w:t>
            </w:r>
            <w:r>
              <w:rPr>
                <w:rFonts w:hint="eastAsia"/>
                <w:color w:val="auto"/>
                <w:szCs w:val="21"/>
                <w:lang w:val="en-US" w:eastAsia="zh-CN"/>
              </w:rPr>
              <w:t>的预处理标准；</w:t>
            </w:r>
          </w:p>
          <w:p w14:paraId="08A51884">
            <w:pPr>
              <w:keepNext w:val="0"/>
              <w:keepLines w:val="0"/>
              <w:widowControl/>
              <w:suppressLineNumbers w:val="0"/>
              <w:jc w:val="center"/>
              <w:rPr>
                <w:color w:val="auto"/>
                <w:sz w:val="18"/>
                <w:szCs w:val="18"/>
              </w:rPr>
            </w:pPr>
            <w:r>
              <w:rPr>
                <w:b/>
                <w:bCs/>
                <w:color w:val="auto"/>
                <w:sz w:val="18"/>
                <w:szCs w:val="18"/>
              </w:rPr>
              <w:t>表</w:t>
            </w:r>
            <w:r>
              <w:rPr>
                <w:rFonts w:hint="eastAsia"/>
                <w:b/>
                <w:bCs/>
                <w:color w:val="auto"/>
                <w:sz w:val="18"/>
                <w:szCs w:val="18"/>
              </w:rPr>
              <w:t>3</w:t>
            </w:r>
            <w:r>
              <w:rPr>
                <w:b/>
                <w:bCs/>
                <w:color w:val="auto"/>
                <w:sz w:val="18"/>
                <w:szCs w:val="18"/>
              </w:rPr>
              <w:t>-</w:t>
            </w:r>
            <w:r>
              <w:rPr>
                <w:rFonts w:hint="eastAsia"/>
                <w:b/>
                <w:bCs/>
                <w:color w:val="auto"/>
                <w:sz w:val="18"/>
                <w:szCs w:val="18"/>
                <w:lang w:val="en-US" w:eastAsia="zh-CN"/>
              </w:rPr>
              <w:t>8</w:t>
            </w:r>
            <w:r>
              <w:rPr>
                <w:rFonts w:hint="eastAsia"/>
                <w:b/>
                <w:bCs/>
                <w:color w:val="auto"/>
                <w:sz w:val="18"/>
                <w:szCs w:val="18"/>
              </w:rPr>
              <w:t xml:space="preserve">    </w:t>
            </w:r>
            <w:r>
              <w:rPr>
                <w:rFonts w:hint="eastAsia" w:ascii="宋体" w:hAnsi="宋体" w:eastAsia="宋体" w:cs="宋体"/>
                <w:b/>
                <w:bCs/>
                <w:color w:val="000000"/>
                <w:kern w:val="0"/>
                <w:sz w:val="18"/>
                <w:szCs w:val="18"/>
                <w:lang w:val="en-US" w:eastAsia="zh-CN" w:bidi="ar"/>
              </w:rPr>
              <w:t>综合医疗机构和其他医疗机构水污染物排放限值</w:t>
            </w:r>
          </w:p>
          <w:tbl>
            <w:tblPr>
              <w:tblStyle w:val="47"/>
              <w:tblW w:w="4998"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28" w:type="dxa"/>
                <w:bottom w:w="0" w:type="dxa"/>
                <w:right w:w="28" w:type="dxa"/>
              </w:tblCellMar>
            </w:tblPr>
            <w:tblGrid>
              <w:gridCol w:w="373"/>
              <w:gridCol w:w="2642"/>
              <w:gridCol w:w="955"/>
              <w:gridCol w:w="373"/>
              <w:gridCol w:w="2642"/>
              <w:gridCol w:w="956"/>
            </w:tblGrid>
            <w:tr w14:paraId="58FAC77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cantSplit/>
                <w:trHeight w:val="113" w:hRule="atLeast"/>
              </w:trPr>
              <w:tc>
                <w:tcPr>
                  <w:tcW w:w="1898" w:type="pct"/>
                  <w:gridSpan w:val="2"/>
                  <w:tcBorders>
                    <w:right w:val="single" w:color="auto" w:sz="4" w:space="0"/>
                  </w:tcBorders>
                  <w:vAlign w:val="center"/>
                </w:tcPr>
                <w:p w14:paraId="6493E420">
                  <w:pPr>
                    <w:snapToGrid w:val="0"/>
                    <w:spacing w:line="320" w:lineRule="exact"/>
                    <w:ind w:left="-101" w:leftChars="-49" w:hanging="2"/>
                    <w:jc w:val="center"/>
                    <w:rPr>
                      <w:rFonts w:hint="default" w:eastAsia="宋体"/>
                      <w:color w:val="auto"/>
                      <w:sz w:val="18"/>
                      <w:szCs w:val="18"/>
                      <w:lang w:val="en-US" w:eastAsia="zh-CN"/>
                    </w:rPr>
                  </w:pPr>
                  <w:r>
                    <w:rPr>
                      <w:rFonts w:hint="eastAsia"/>
                      <w:color w:val="auto"/>
                      <w:sz w:val="18"/>
                      <w:szCs w:val="18"/>
                      <w:lang w:val="en-US" w:eastAsia="zh-CN"/>
                    </w:rPr>
                    <w:t>控制项目</w:t>
                  </w:r>
                </w:p>
              </w:tc>
              <w:tc>
                <w:tcPr>
                  <w:tcW w:w="601" w:type="pct"/>
                  <w:tcBorders>
                    <w:left w:val="single" w:color="auto" w:sz="4" w:space="0"/>
                  </w:tcBorders>
                  <w:vAlign w:val="center"/>
                </w:tcPr>
                <w:p w14:paraId="59E12591">
                  <w:pPr>
                    <w:snapToGrid w:val="0"/>
                    <w:spacing w:line="320" w:lineRule="exact"/>
                    <w:ind w:left="-101" w:leftChars="-49" w:hanging="2"/>
                    <w:jc w:val="center"/>
                    <w:rPr>
                      <w:rFonts w:hint="default" w:eastAsia="宋体"/>
                      <w:color w:val="auto"/>
                      <w:sz w:val="18"/>
                      <w:szCs w:val="18"/>
                      <w:lang w:val="en-US" w:eastAsia="zh-CN"/>
                    </w:rPr>
                  </w:pPr>
                  <w:r>
                    <w:rPr>
                      <w:rFonts w:hint="eastAsia"/>
                      <w:color w:val="auto"/>
                      <w:sz w:val="18"/>
                      <w:szCs w:val="18"/>
                      <w:lang w:val="en-US" w:eastAsia="zh-CN"/>
                    </w:rPr>
                    <w:t>预处理标准</w:t>
                  </w:r>
                </w:p>
              </w:tc>
              <w:tc>
                <w:tcPr>
                  <w:tcW w:w="1898" w:type="pct"/>
                  <w:gridSpan w:val="2"/>
                  <w:tcBorders>
                    <w:right w:val="single" w:color="auto" w:sz="4" w:space="0"/>
                  </w:tcBorders>
                  <w:vAlign w:val="center"/>
                </w:tcPr>
                <w:p w14:paraId="78C0286A">
                  <w:pPr>
                    <w:snapToGrid w:val="0"/>
                    <w:spacing w:line="320" w:lineRule="exact"/>
                    <w:ind w:left="-101" w:leftChars="-49" w:hanging="2" w:firstLineChars="0"/>
                    <w:jc w:val="center"/>
                    <w:rPr>
                      <w:rFonts w:hint="default"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控制项目</w:t>
                  </w:r>
                </w:p>
              </w:tc>
              <w:tc>
                <w:tcPr>
                  <w:tcW w:w="601" w:type="pct"/>
                  <w:tcBorders>
                    <w:left w:val="single" w:color="auto" w:sz="4" w:space="0"/>
                  </w:tcBorders>
                  <w:vAlign w:val="center"/>
                </w:tcPr>
                <w:p w14:paraId="441FD0A6">
                  <w:pPr>
                    <w:snapToGrid w:val="0"/>
                    <w:spacing w:line="320" w:lineRule="exact"/>
                    <w:ind w:left="-101" w:leftChars="-49" w:hanging="2" w:firstLineChars="0"/>
                    <w:jc w:val="center"/>
                    <w:rPr>
                      <w:rFonts w:hint="default"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预处理标准</w:t>
                  </w:r>
                </w:p>
              </w:tc>
            </w:tr>
            <w:tr w14:paraId="772BAC0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cantSplit/>
                <w:trHeight w:val="113" w:hRule="atLeast"/>
              </w:trPr>
              <w:tc>
                <w:tcPr>
                  <w:tcW w:w="1898" w:type="pct"/>
                  <w:gridSpan w:val="2"/>
                  <w:tcBorders>
                    <w:right w:val="single" w:color="auto" w:sz="4" w:space="0"/>
                  </w:tcBorders>
                  <w:vAlign w:val="center"/>
                </w:tcPr>
                <w:p w14:paraId="26352504">
                  <w:pPr>
                    <w:snapToGrid w:val="0"/>
                    <w:spacing w:line="320" w:lineRule="exact"/>
                    <w:ind w:left="-101" w:leftChars="-49" w:hanging="2" w:firstLineChars="0"/>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粪大肠菌群数MPN/L</w:t>
                  </w:r>
                </w:p>
              </w:tc>
              <w:tc>
                <w:tcPr>
                  <w:tcW w:w="601" w:type="pct"/>
                  <w:tcBorders>
                    <w:left w:val="single" w:color="auto" w:sz="4" w:space="0"/>
                  </w:tcBorders>
                  <w:vAlign w:val="center"/>
                </w:tcPr>
                <w:p w14:paraId="1834A84F">
                  <w:pPr>
                    <w:snapToGrid w:val="0"/>
                    <w:spacing w:line="320" w:lineRule="exact"/>
                    <w:ind w:left="-101" w:leftChars="-49" w:hanging="2" w:firstLineChars="0"/>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5000</w:t>
                  </w:r>
                </w:p>
              </w:tc>
              <w:tc>
                <w:tcPr>
                  <w:tcW w:w="1898" w:type="pct"/>
                  <w:gridSpan w:val="2"/>
                  <w:tcBorders>
                    <w:right w:val="single" w:color="auto" w:sz="4" w:space="0"/>
                  </w:tcBorders>
                  <w:vAlign w:val="center"/>
                </w:tcPr>
                <w:p w14:paraId="18E91570">
                  <w:pPr>
                    <w:snapToGrid w:val="0"/>
                    <w:spacing w:line="320" w:lineRule="exact"/>
                    <w:ind w:left="-101" w:leftChars="-49" w:hanging="2" w:firstLineChars="0"/>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动植物油（mg/L）</w:t>
                  </w:r>
                </w:p>
              </w:tc>
              <w:tc>
                <w:tcPr>
                  <w:tcW w:w="601" w:type="pct"/>
                  <w:tcBorders>
                    <w:left w:val="single" w:color="auto" w:sz="4" w:space="0"/>
                  </w:tcBorders>
                  <w:vAlign w:val="center"/>
                </w:tcPr>
                <w:p w14:paraId="4DCDC8EA">
                  <w:pPr>
                    <w:snapToGrid w:val="0"/>
                    <w:spacing w:line="320" w:lineRule="exact"/>
                    <w:ind w:left="-101" w:leftChars="-49" w:hanging="2" w:firstLineChars="0"/>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20</w:t>
                  </w:r>
                </w:p>
              </w:tc>
            </w:tr>
            <w:tr w14:paraId="110CB4C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cantSplit/>
                <w:trHeight w:val="113" w:hRule="atLeast"/>
              </w:trPr>
              <w:tc>
                <w:tcPr>
                  <w:tcW w:w="1898" w:type="pct"/>
                  <w:gridSpan w:val="2"/>
                  <w:tcBorders>
                    <w:right w:val="single" w:color="auto" w:sz="4" w:space="0"/>
                  </w:tcBorders>
                  <w:vAlign w:val="center"/>
                </w:tcPr>
                <w:p w14:paraId="5ED78681">
                  <w:pPr>
                    <w:keepNext w:val="0"/>
                    <w:keepLines w:val="0"/>
                    <w:widowControl/>
                    <w:suppressLineNumbers w:val="0"/>
                    <w:jc w:val="center"/>
                    <w:rPr>
                      <w:color w:val="auto"/>
                      <w:sz w:val="18"/>
                      <w:szCs w:val="18"/>
                    </w:rPr>
                  </w:pPr>
                  <w:r>
                    <w:rPr>
                      <w:rFonts w:hint="eastAsia" w:ascii="宋体" w:hAnsi="宋体" w:eastAsia="宋体" w:cs="宋体"/>
                      <w:color w:val="000000"/>
                      <w:kern w:val="0"/>
                      <w:sz w:val="18"/>
                      <w:szCs w:val="18"/>
                      <w:lang w:val="en-US" w:eastAsia="zh-CN" w:bidi="ar"/>
                    </w:rPr>
                    <w:t>肠道致病菌</w:t>
                  </w:r>
                </w:p>
              </w:tc>
              <w:tc>
                <w:tcPr>
                  <w:tcW w:w="601" w:type="pct"/>
                  <w:tcBorders>
                    <w:left w:val="single" w:color="auto" w:sz="4" w:space="0"/>
                  </w:tcBorders>
                  <w:vAlign w:val="center"/>
                </w:tcPr>
                <w:p w14:paraId="473796CE">
                  <w:pPr>
                    <w:snapToGrid w:val="0"/>
                    <w:spacing w:line="320" w:lineRule="exact"/>
                    <w:ind w:left="-101" w:leftChars="-49" w:hanging="2"/>
                    <w:jc w:val="center"/>
                    <w:rPr>
                      <w:rFonts w:hint="eastAsia" w:eastAsia="宋体"/>
                      <w:color w:val="auto"/>
                      <w:sz w:val="18"/>
                      <w:szCs w:val="18"/>
                      <w:lang w:val="en-US" w:eastAsia="zh-CN"/>
                    </w:rPr>
                  </w:pPr>
                  <w:r>
                    <w:rPr>
                      <w:rFonts w:hint="eastAsia"/>
                      <w:color w:val="auto"/>
                      <w:sz w:val="18"/>
                      <w:szCs w:val="18"/>
                      <w:lang w:val="en-US" w:eastAsia="zh-CN"/>
                    </w:rPr>
                    <w:t>-</w:t>
                  </w:r>
                </w:p>
              </w:tc>
              <w:tc>
                <w:tcPr>
                  <w:tcW w:w="1898" w:type="pct"/>
                  <w:gridSpan w:val="2"/>
                  <w:tcBorders>
                    <w:right w:val="single" w:color="auto" w:sz="4" w:space="0"/>
                  </w:tcBorders>
                  <w:vAlign w:val="center"/>
                </w:tcPr>
                <w:p w14:paraId="09CB642A">
                  <w:pPr>
                    <w:keepNext w:val="0"/>
                    <w:keepLines w:val="0"/>
                    <w:widowControl/>
                    <w:suppressLineNumbers w:val="0"/>
                    <w:jc w:val="center"/>
                    <w:rPr>
                      <w:color w:val="auto"/>
                      <w:sz w:val="18"/>
                      <w:szCs w:val="18"/>
                    </w:rPr>
                  </w:pPr>
                  <w:r>
                    <w:rPr>
                      <w:rFonts w:hint="eastAsia" w:ascii="宋体" w:hAnsi="宋体" w:eastAsia="宋体" w:cs="宋体"/>
                      <w:color w:val="000000"/>
                      <w:kern w:val="0"/>
                      <w:sz w:val="18"/>
                      <w:szCs w:val="18"/>
                      <w:lang w:val="en-US" w:eastAsia="zh-CN" w:bidi="ar"/>
                    </w:rPr>
                    <w:t>石油类</w:t>
                  </w:r>
                  <w:r>
                    <w:rPr>
                      <w:rFonts w:hint="default" w:ascii="Times New Roman" w:hAnsi="Times New Roman" w:eastAsia="宋体" w:cs="Times New Roman"/>
                      <w:color w:val="000000"/>
                      <w:kern w:val="0"/>
                      <w:sz w:val="18"/>
                      <w:szCs w:val="18"/>
                      <w:lang w:val="en-US" w:eastAsia="zh-CN" w:bidi="ar"/>
                    </w:rPr>
                    <w:t>(mg/L)</w:t>
                  </w:r>
                </w:p>
              </w:tc>
              <w:tc>
                <w:tcPr>
                  <w:tcW w:w="601" w:type="pct"/>
                  <w:tcBorders>
                    <w:left w:val="single" w:color="auto" w:sz="4" w:space="0"/>
                  </w:tcBorders>
                  <w:vAlign w:val="center"/>
                </w:tcPr>
                <w:p w14:paraId="590D2912">
                  <w:pPr>
                    <w:snapToGrid w:val="0"/>
                    <w:spacing w:line="320" w:lineRule="exact"/>
                    <w:ind w:left="-101" w:leftChars="-49" w:hanging="2"/>
                    <w:jc w:val="center"/>
                    <w:rPr>
                      <w:rFonts w:hint="default" w:eastAsia="宋体"/>
                      <w:color w:val="auto"/>
                      <w:sz w:val="18"/>
                      <w:szCs w:val="18"/>
                      <w:lang w:val="en-US" w:eastAsia="zh-CN"/>
                    </w:rPr>
                  </w:pPr>
                  <w:r>
                    <w:rPr>
                      <w:rFonts w:hint="eastAsia"/>
                      <w:color w:val="auto"/>
                      <w:sz w:val="18"/>
                      <w:szCs w:val="18"/>
                      <w:lang w:val="en-US" w:eastAsia="zh-CN"/>
                    </w:rPr>
                    <w:t>20</w:t>
                  </w:r>
                </w:p>
              </w:tc>
            </w:tr>
            <w:tr w14:paraId="34216F6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cantSplit/>
                <w:trHeight w:val="113" w:hRule="atLeast"/>
              </w:trPr>
              <w:tc>
                <w:tcPr>
                  <w:tcW w:w="1898" w:type="pct"/>
                  <w:gridSpan w:val="2"/>
                  <w:tcBorders>
                    <w:right w:val="single" w:color="auto" w:sz="4" w:space="0"/>
                  </w:tcBorders>
                  <w:vAlign w:val="center"/>
                </w:tcPr>
                <w:p w14:paraId="46E42C9B">
                  <w:pPr>
                    <w:keepNext w:val="0"/>
                    <w:keepLines w:val="0"/>
                    <w:widowControl/>
                    <w:suppressLineNumbers w:val="0"/>
                    <w:jc w:val="center"/>
                    <w:rPr>
                      <w:color w:val="auto"/>
                      <w:sz w:val="18"/>
                      <w:szCs w:val="18"/>
                    </w:rPr>
                  </w:pPr>
                  <w:r>
                    <w:rPr>
                      <w:rFonts w:hint="eastAsia" w:ascii="宋体" w:hAnsi="宋体" w:eastAsia="宋体" w:cs="宋体"/>
                      <w:color w:val="000000"/>
                      <w:kern w:val="0"/>
                      <w:sz w:val="18"/>
                      <w:szCs w:val="18"/>
                      <w:lang w:val="en-US" w:eastAsia="zh-CN" w:bidi="ar"/>
                    </w:rPr>
                    <w:t>肠道病毒</w:t>
                  </w:r>
                </w:p>
              </w:tc>
              <w:tc>
                <w:tcPr>
                  <w:tcW w:w="601" w:type="pct"/>
                  <w:tcBorders>
                    <w:left w:val="single" w:color="auto" w:sz="4" w:space="0"/>
                  </w:tcBorders>
                  <w:vAlign w:val="center"/>
                </w:tcPr>
                <w:p w14:paraId="0EA793E3">
                  <w:pPr>
                    <w:snapToGrid w:val="0"/>
                    <w:spacing w:line="320" w:lineRule="exact"/>
                    <w:ind w:left="-101" w:leftChars="-49" w:hanging="2"/>
                    <w:jc w:val="center"/>
                    <w:rPr>
                      <w:rFonts w:hint="eastAsia" w:eastAsia="宋体"/>
                      <w:color w:val="auto"/>
                      <w:sz w:val="18"/>
                      <w:szCs w:val="18"/>
                      <w:lang w:val="en-US" w:eastAsia="zh-CN"/>
                    </w:rPr>
                  </w:pPr>
                  <w:r>
                    <w:rPr>
                      <w:rFonts w:hint="eastAsia"/>
                      <w:color w:val="auto"/>
                      <w:sz w:val="18"/>
                      <w:szCs w:val="18"/>
                      <w:lang w:val="en-US" w:eastAsia="zh-CN"/>
                    </w:rPr>
                    <w:t>-</w:t>
                  </w:r>
                </w:p>
              </w:tc>
              <w:tc>
                <w:tcPr>
                  <w:tcW w:w="1898" w:type="pct"/>
                  <w:gridSpan w:val="2"/>
                  <w:tcBorders>
                    <w:right w:val="single" w:color="auto" w:sz="4" w:space="0"/>
                  </w:tcBorders>
                  <w:vAlign w:val="center"/>
                </w:tcPr>
                <w:p w14:paraId="7C82B19C">
                  <w:pPr>
                    <w:keepNext w:val="0"/>
                    <w:keepLines w:val="0"/>
                    <w:widowControl/>
                    <w:suppressLineNumbers w:val="0"/>
                    <w:jc w:val="center"/>
                    <w:rPr>
                      <w:color w:val="auto"/>
                      <w:sz w:val="18"/>
                      <w:szCs w:val="18"/>
                    </w:rPr>
                  </w:pPr>
                  <w:r>
                    <w:rPr>
                      <w:rFonts w:hint="eastAsia" w:ascii="宋体" w:hAnsi="宋体" w:eastAsia="宋体" w:cs="宋体"/>
                      <w:color w:val="000000"/>
                      <w:kern w:val="0"/>
                      <w:sz w:val="18"/>
                      <w:szCs w:val="18"/>
                      <w:lang w:val="en-US" w:eastAsia="zh-CN" w:bidi="ar"/>
                    </w:rPr>
                    <w:t>阴离子表面活性剂</w:t>
                  </w:r>
                  <w:r>
                    <w:rPr>
                      <w:rFonts w:hint="default" w:ascii="Times New Roman" w:hAnsi="Times New Roman" w:eastAsia="宋体" w:cs="Times New Roman"/>
                      <w:color w:val="000000"/>
                      <w:kern w:val="0"/>
                      <w:sz w:val="18"/>
                      <w:szCs w:val="18"/>
                      <w:lang w:val="en-US" w:eastAsia="zh-CN" w:bidi="ar"/>
                    </w:rPr>
                    <w:t>(mg/L)</w:t>
                  </w:r>
                </w:p>
              </w:tc>
              <w:tc>
                <w:tcPr>
                  <w:tcW w:w="601" w:type="pct"/>
                  <w:tcBorders>
                    <w:left w:val="single" w:color="auto" w:sz="4" w:space="0"/>
                  </w:tcBorders>
                  <w:vAlign w:val="center"/>
                </w:tcPr>
                <w:p w14:paraId="60F17BF5">
                  <w:pPr>
                    <w:snapToGrid w:val="0"/>
                    <w:spacing w:line="320" w:lineRule="exact"/>
                    <w:ind w:left="-101" w:leftChars="-49" w:hanging="2"/>
                    <w:jc w:val="center"/>
                    <w:rPr>
                      <w:rFonts w:hint="default" w:eastAsia="宋体"/>
                      <w:color w:val="auto"/>
                      <w:sz w:val="18"/>
                      <w:szCs w:val="18"/>
                      <w:lang w:val="en-US" w:eastAsia="zh-CN"/>
                    </w:rPr>
                  </w:pPr>
                  <w:r>
                    <w:rPr>
                      <w:rFonts w:hint="eastAsia"/>
                      <w:color w:val="auto"/>
                      <w:sz w:val="18"/>
                      <w:szCs w:val="18"/>
                      <w:lang w:val="en-US" w:eastAsia="zh-CN"/>
                    </w:rPr>
                    <w:t>10</w:t>
                  </w:r>
                </w:p>
              </w:tc>
            </w:tr>
            <w:tr w14:paraId="642B210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cantSplit/>
                <w:trHeight w:val="113" w:hRule="atLeast"/>
              </w:trPr>
              <w:tc>
                <w:tcPr>
                  <w:tcW w:w="1898" w:type="pct"/>
                  <w:gridSpan w:val="2"/>
                  <w:tcBorders>
                    <w:right w:val="single" w:color="auto" w:sz="4" w:space="0"/>
                  </w:tcBorders>
                  <w:vAlign w:val="center"/>
                </w:tcPr>
                <w:p w14:paraId="5E86DACD">
                  <w:pPr>
                    <w:keepNext w:val="0"/>
                    <w:keepLines w:val="0"/>
                    <w:widowControl/>
                    <w:suppressLineNumbers w:val="0"/>
                    <w:jc w:val="center"/>
                    <w:rPr>
                      <w:color w:val="auto"/>
                      <w:sz w:val="18"/>
                      <w:szCs w:val="18"/>
                    </w:rPr>
                  </w:pPr>
                  <w:r>
                    <w:rPr>
                      <w:rFonts w:hint="default" w:ascii="Times New Roman" w:hAnsi="Times New Roman" w:eastAsia="宋体" w:cs="Times New Roman"/>
                      <w:color w:val="000000"/>
                      <w:kern w:val="0"/>
                      <w:sz w:val="18"/>
                      <w:szCs w:val="18"/>
                      <w:lang w:val="en-US" w:eastAsia="zh-CN" w:bidi="ar"/>
                    </w:rPr>
                    <w:t>pH</w:t>
                  </w:r>
                </w:p>
              </w:tc>
              <w:tc>
                <w:tcPr>
                  <w:tcW w:w="601" w:type="pct"/>
                  <w:tcBorders>
                    <w:left w:val="single" w:color="auto" w:sz="4" w:space="0"/>
                  </w:tcBorders>
                  <w:vAlign w:val="center"/>
                </w:tcPr>
                <w:p w14:paraId="6BC21BC7">
                  <w:pPr>
                    <w:snapToGrid w:val="0"/>
                    <w:spacing w:line="320" w:lineRule="exact"/>
                    <w:ind w:left="-101" w:leftChars="-49" w:hanging="2"/>
                    <w:jc w:val="center"/>
                    <w:rPr>
                      <w:rFonts w:hint="default" w:eastAsia="宋体"/>
                      <w:color w:val="auto"/>
                      <w:sz w:val="18"/>
                      <w:szCs w:val="18"/>
                      <w:lang w:val="en-US" w:eastAsia="zh-CN"/>
                    </w:rPr>
                  </w:pPr>
                  <w:r>
                    <w:rPr>
                      <w:rFonts w:hint="eastAsia"/>
                      <w:color w:val="auto"/>
                      <w:sz w:val="18"/>
                      <w:szCs w:val="18"/>
                      <w:lang w:val="en-US" w:eastAsia="zh-CN"/>
                    </w:rPr>
                    <w:t>6-9</w:t>
                  </w:r>
                </w:p>
              </w:tc>
              <w:tc>
                <w:tcPr>
                  <w:tcW w:w="1898" w:type="pct"/>
                  <w:gridSpan w:val="2"/>
                  <w:tcBorders>
                    <w:right w:val="single" w:color="auto" w:sz="4" w:space="0"/>
                  </w:tcBorders>
                  <w:vAlign w:val="center"/>
                </w:tcPr>
                <w:p w14:paraId="78C215F5">
                  <w:pPr>
                    <w:keepNext w:val="0"/>
                    <w:keepLines w:val="0"/>
                    <w:widowControl/>
                    <w:suppressLineNumbers w:val="0"/>
                    <w:jc w:val="center"/>
                    <w:rPr>
                      <w:color w:val="auto"/>
                      <w:sz w:val="18"/>
                      <w:szCs w:val="18"/>
                    </w:rPr>
                  </w:pPr>
                  <w:r>
                    <w:rPr>
                      <w:rFonts w:hint="eastAsia" w:ascii="宋体" w:hAnsi="宋体" w:eastAsia="宋体" w:cs="宋体"/>
                      <w:color w:val="000000"/>
                      <w:kern w:val="0"/>
                      <w:sz w:val="18"/>
                      <w:szCs w:val="18"/>
                      <w:lang w:val="en-US" w:eastAsia="zh-CN" w:bidi="ar"/>
                    </w:rPr>
                    <w:t>色度（稀释倍数）</w:t>
                  </w:r>
                </w:p>
              </w:tc>
              <w:tc>
                <w:tcPr>
                  <w:tcW w:w="601" w:type="pct"/>
                  <w:tcBorders>
                    <w:left w:val="single" w:color="auto" w:sz="4" w:space="0"/>
                  </w:tcBorders>
                  <w:vAlign w:val="center"/>
                </w:tcPr>
                <w:p w14:paraId="168629C7">
                  <w:pPr>
                    <w:snapToGrid w:val="0"/>
                    <w:spacing w:line="320" w:lineRule="exact"/>
                    <w:ind w:left="-101" w:leftChars="-49" w:hanging="2"/>
                    <w:jc w:val="center"/>
                    <w:rPr>
                      <w:rFonts w:hint="eastAsia" w:eastAsia="宋体"/>
                      <w:color w:val="auto"/>
                      <w:sz w:val="18"/>
                      <w:szCs w:val="18"/>
                      <w:lang w:val="en-US" w:eastAsia="zh-CN"/>
                    </w:rPr>
                  </w:pPr>
                  <w:r>
                    <w:rPr>
                      <w:rFonts w:hint="eastAsia"/>
                      <w:color w:val="auto"/>
                      <w:sz w:val="18"/>
                      <w:szCs w:val="18"/>
                      <w:lang w:val="en-US" w:eastAsia="zh-CN"/>
                    </w:rPr>
                    <w:t>-</w:t>
                  </w:r>
                </w:p>
              </w:tc>
            </w:tr>
            <w:tr w14:paraId="21544F9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cantSplit/>
                <w:trHeight w:val="113" w:hRule="atLeast"/>
              </w:trPr>
              <w:tc>
                <w:tcPr>
                  <w:tcW w:w="235" w:type="pct"/>
                  <w:vMerge w:val="restart"/>
                  <w:tcBorders>
                    <w:right w:val="single" w:color="auto" w:sz="4" w:space="0"/>
                  </w:tcBorders>
                  <w:vAlign w:val="center"/>
                </w:tcPr>
                <w:p w14:paraId="68603FBF">
                  <w:pPr>
                    <w:snapToGrid w:val="0"/>
                    <w:spacing w:line="320" w:lineRule="exact"/>
                    <w:ind w:left="-101" w:leftChars="-49" w:hanging="2"/>
                    <w:jc w:val="center"/>
                    <w:rPr>
                      <w:rFonts w:hint="default" w:eastAsia="宋体"/>
                      <w:color w:val="auto"/>
                      <w:sz w:val="18"/>
                      <w:szCs w:val="18"/>
                      <w:lang w:val="en-US" w:eastAsia="zh-CN"/>
                    </w:rPr>
                  </w:pPr>
                  <w:r>
                    <w:rPr>
                      <w:rFonts w:hint="eastAsia"/>
                      <w:color w:val="auto"/>
                      <w:sz w:val="18"/>
                      <w:szCs w:val="18"/>
                      <w:lang w:val="en-US" w:eastAsia="zh-CN"/>
                    </w:rPr>
                    <w:t>COD</w:t>
                  </w:r>
                </w:p>
              </w:tc>
              <w:tc>
                <w:tcPr>
                  <w:tcW w:w="1662" w:type="pct"/>
                  <w:tcBorders>
                    <w:left w:val="single" w:color="auto" w:sz="4" w:space="0"/>
                    <w:right w:val="single" w:color="auto" w:sz="4" w:space="0"/>
                  </w:tcBorders>
                  <w:vAlign w:val="center"/>
                </w:tcPr>
                <w:p w14:paraId="766719D7">
                  <w:pPr>
                    <w:keepNext w:val="0"/>
                    <w:keepLines w:val="0"/>
                    <w:widowControl/>
                    <w:suppressLineNumbers w:val="0"/>
                    <w:jc w:val="center"/>
                    <w:rPr>
                      <w:color w:val="auto"/>
                      <w:sz w:val="18"/>
                      <w:szCs w:val="18"/>
                    </w:rPr>
                  </w:pPr>
                  <w:r>
                    <w:rPr>
                      <w:rFonts w:hint="eastAsia" w:ascii="宋体" w:hAnsi="宋体" w:eastAsia="宋体" w:cs="宋体"/>
                      <w:color w:val="000000"/>
                      <w:kern w:val="0"/>
                      <w:sz w:val="18"/>
                      <w:szCs w:val="18"/>
                      <w:lang w:val="en-US" w:eastAsia="zh-CN" w:bidi="ar"/>
                    </w:rPr>
                    <w:t>浓度</w:t>
                  </w:r>
                  <w:r>
                    <w:rPr>
                      <w:rFonts w:hint="default" w:ascii="Times New Roman" w:hAnsi="Times New Roman" w:eastAsia="宋体" w:cs="Times New Roman"/>
                      <w:color w:val="000000"/>
                      <w:kern w:val="0"/>
                      <w:sz w:val="18"/>
                      <w:szCs w:val="18"/>
                      <w:lang w:val="en-US" w:eastAsia="zh-CN" w:bidi="ar"/>
                    </w:rPr>
                    <w:t>(mg/L)</w:t>
                  </w:r>
                </w:p>
              </w:tc>
              <w:tc>
                <w:tcPr>
                  <w:tcW w:w="601" w:type="pct"/>
                  <w:tcBorders>
                    <w:left w:val="single" w:color="auto" w:sz="4" w:space="0"/>
                  </w:tcBorders>
                  <w:vAlign w:val="center"/>
                </w:tcPr>
                <w:p w14:paraId="5DD75773">
                  <w:pPr>
                    <w:snapToGrid w:val="0"/>
                    <w:spacing w:line="320" w:lineRule="exact"/>
                    <w:ind w:left="-101" w:leftChars="-49" w:hanging="2"/>
                    <w:jc w:val="center"/>
                    <w:rPr>
                      <w:rFonts w:hint="default" w:eastAsia="宋体"/>
                      <w:color w:val="auto"/>
                      <w:sz w:val="18"/>
                      <w:szCs w:val="18"/>
                      <w:lang w:val="en-US" w:eastAsia="zh-CN"/>
                    </w:rPr>
                  </w:pPr>
                  <w:r>
                    <w:rPr>
                      <w:rFonts w:hint="eastAsia"/>
                      <w:color w:val="auto"/>
                      <w:sz w:val="18"/>
                      <w:szCs w:val="18"/>
                      <w:lang w:val="en-US" w:eastAsia="zh-CN"/>
                    </w:rPr>
                    <w:t>250</w:t>
                  </w:r>
                </w:p>
              </w:tc>
              <w:tc>
                <w:tcPr>
                  <w:tcW w:w="1898" w:type="pct"/>
                  <w:gridSpan w:val="2"/>
                  <w:vMerge w:val="restart"/>
                  <w:tcBorders>
                    <w:right w:val="single" w:color="auto" w:sz="4" w:space="0"/>
                  </w:tcBorders>
                  <w:vAlign w:val="center"/>
                </w:tcPr>
                <w:p w14:paraId="0C5F87A0">
                  <w:pPr>
                    <w:keepNext w:val="0"/>
                    <w:keepLines w:val="0"/>
                    <w:widowControl/>
                    <w:suppressLineNumbers w:val="0"/>
                    <w:jc w:val="center"/>
                    <w:rPr>
                      <w:rFonts w:hint="eastAsia" w:eastAsia="宋体"/>
                      <w:color w:val="auto"/>
                      <w:sz w:val="18"/>
                      <w:szCs w:val="18"/>
                      <w:lang w:eastAsia="zh-CN"/>
                    </w:rPr>
                  </w:pPr>
                  <w:r>
                    <w:rPr>
                      <w:rFonts w:hint="eastAsia" w:ascii="宋体" w:hAnsi="宋体" w:eastAsia="宋体" w:cs="宋体"/>
                      <w:color w:val="000000"/>
                      <w:kern w:val="0"/>
                      <w:sz w:val="18"/>
                      <w:szCs w:val="18"/>
                      <w:lang w:val="en-US" w:eastAsia="zh-CN" w:bidi="ar"/>
                    </w:rPr>
                    <w:t>挥发酚（</w:t>
                  </w:r>
                  <w:r>
                    <w:rPr>
                      <w:rFonts w:hint="default" w:ascii="Times New Roman" w:hAnsi="Times New Roman" w:eastAsia="宋体" w:cs="Times New Roman"/>
                      <w:color w:val="000000"/>
                      <w:kern w:val="0"/>
                      <w:sz w:val="18"/>
                      <w:szCs w:val="18"/>
                      <w:lang w:val="en-US" w:eastAsia="zh-CN" w:bidi="ar"/>
                    </w:rPr>
                    <w:t>mg/L</w:t>
                  </w:r>
                  <w:r>
                    <w:rPr>
                      <w:rFonts w:hint="eastAsia" w:ascii="宋体" w:hAnsi="宋体" w:eastAsia="宋体" w:cs="宋体"/>
                      <w:color w:val="000000"/>
                      <w:kern w:val="0"/>
                      <w:sz w:val="18"/>
                      <w:szCs w:val="18"/>
                      <w:lang w:val="en-US" w:eastAsia="zh-CN" w:bidi="ar"/>
                    </w:rPr>
                    <w:t>）</w:t>
                  </w:r>
                </w:p>
              </w:tc>
              <w:tc>
                <w:tcPr>
                  <w:tcW w:w="601" w:type="pct"/>
                  <w:vMerge w:val="restart"/>
                  <w:tcBorders>
                    <w:left w:val="single" w:color="auto" w:sz="4" w:space="0"/>
                  </w:tcBorders>
                  <w:vAlign w:val="center"/>
                </w:tcPr>
                <w:p w14:paraId="07A0BBA3">
                  <w:pPr>
                    <w:snapToGrid w:val="0"/>
                    <w:spacing w:line="320" w:lineRule="exact"/>
                    <w:ind w:left="-101" w:leftChars="-49" w:hanging="2"/>
                    <w:jc w:val="center"/>
                    <w:rPr>
                      <w:rFonts w:hint="default" w:eastAsia="宋体"/>
                      <w:color w:val="auto"/>
                      <w:sz w:val="18"/>
                      <w:szCs w:val="18"/>
                      <w:lang w:val="en-US" w:eastAsia="zh-CN"/>
                    </w:rPr>
                  </w:pPr>
                  <w:r>
                    <w:rPr>
                      <w:rFonts w:hint="eastAsia"/>
                      <w:color w:val="auto"/>
                      <w:sz w:val="18"/>
                      <w:szCs w:val="18"/>
                      <w:lang w:val="en-US" w:eastAsia="zh-CN"/>
                    </w:rPr>
                    <w:t>1.0</w:t>
                  </w:r>
                </w:p>
              </w:tc>
            </w:tr>
            <w:tr w14:paraId="39D34F7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cantSplit/>
                <w:trHeight w:val="113" w:hRule="atLeast"/>
              </w:trPr>
              <w:tc>
                <w:tcPr>
                  <w:tcW w:w="235" w:type="pct"/>
                  <w:vMerge w:val="continue"/>
                  <w:tcBorders>
                    <w:right w:val="single" w:color="auto" w:sz="4" w:space="0"/>
                  </w:tcBorders>
                  <w:vAlign w:val="center"/>
                </w:tcPr>
                <w:p w14:paraId="1D1D35EA">
                  <w:pPr>
                    <w:snapToGrid w:val="0"/>
                    <w:spacing w:line="320" w:lineRule="exact"/>
                    <w:ind w:left="-101" w:leftChars="-49" w:hanging="2"/>
                    <w:jc w:val="center"/>
                    <w:rPr>
                      <w:color w:val="auto"/>
                      <w:sz w:val="18"/>
                      <w:szCs w:val="18"/>
                    </w:rPr>
                  </w:pPr>
                </w:p>
              </w:tc>
              <w:tc>
                <w:tcPr>
                  <w:tcW w:w="1662" w:type="pct"/>
                  <w:tcBorders>
                    <w:left w:val="single" w:color="auto" w:sz="4" w:space="0"/>
                    <w:right w:val="single" w:color="auto" w:sz="4" w:space="0"/>
                  </w:tcBorders>
                  <w:vAlign w:val="center"/>
                </w:tcPr>
                <w:p w14:paraId="2BD8B735">
                  <w:pPr>
                    <w:keepNext w:val="0"/>
                    <w:keepLines w:val="0"/>
                    <w:widowControl/>
                    <w:suppressLineNumbers w:val="0"/>
                    <w:jc w:val="center"/>
                    <w:rPr>
                      <w:color w:val="auto"/>
                      <w:sz w:val="18"/>
                      <w:szCs w:val="18"/>
                    </w:rPr>
                  </w:pPr>
                  <w:r>
                    <w:rPr>
                      <w:rFonts w:hint="eastAsia" w:ascii="宋体" w:hAnsi="宋体" w:eastAsia="宋体" w:cs="宋体"/>
                      <w:color w:val="000000"/>
                      <w:kern w:val="0"/>
                      <w:sz w:val="18"/>
                      <w:szCs w:val="18"/>
                      <w:lang w:val="en-US" w:eastAsia="zh-CN" w:bidi="ar"/>
                    </w:rPr>
                    <w:t>最高允许排放负荷（</w:t>
                  </w:r>
                  <w:r>
                    <w:rPr>
                      <w:rFonts w:hint="default" w:ascii="Times New Roman" w:hAnsi="Times New Roman" w:eastAsia="宋体" w:cs="Times New Roman"/>
                      <w:color w:val="000000"/>
                      <w:kern w:val="0"/>
                      <w:sz w:val="18"/>
                      <w:szCs w:val="18"/>
                      <w:lang w:val="en-US" w:eastAsia="zh-CN" w:bidi="ar"/>
                    </w:rPr>
                    <w:t>g/</w:t>
                  </w:r>
                  <w:r>
                    <w:rPr>
                      <w:rFonts w:hint="eastAsia" w:ascii="宋体" w:hAnsi="宋体" w:eastAsia="宋体" w:cs="宋体"/>
                      <w:color w:val="000000"/>
                      <w:kern w:val="0"/>
                      <w:sz w:val="18"/>
                      <w:szCs w:val="18"/>
                      <w:lang w:val="en-US" w:eastAsia="zh-CN" w:bidi="ar"/>
                    </w:rPr>
                    <w:t>床位）</w:t>
                  </w:r>
                </w:p>
              </w:tc>
              <w:tc>
                <w:tcPr>
                  <w:tcW w:w="601" w:type="pct"/>
                  <w:tcBorders>
                    <w:left w:val="single" w:color="auto" w:sz="4" w:space="0"/>
                  </w:tcBorders>
                  <w:vAlign w:val="center"/>
                </w:tcPr>
                <w:p w14:paraId="587C76D4">
                  <w:pPr>
                    <w:snapToGrid w:val="0"/>
                    <w:spacing w:line="320" w:lineRule="exact"/>
                    <w:ind w:left="-101" w:leftChars="-49" w:hanging="2"/>
                    <w:jc w:val="center"/>
                    <w:rPr>
                      <w:rFonts w:hint="default" w:eastAsia="宋体"/>
                      <w:color w:val="auto"/>
                      <w:sz w:val="18"/>
                      <w:szCs w:val="18"/>
                      <w:lang w:val="en-US" w:eastAsia="zh-CN"/>
                    </w:rPr>
                  </w:pPr>
                  <w:r>
                    <w:rPr>
                      <w:rFonts w:hint="eastAsia"/>
                      <w:color w:val="auto"/>
                      <w:sz w:val="18"/>
                      <w:szCs w:val="18"/>
                      <w:lang w:val="en-US" w:eastAsia="zh-CN"/>
                    </w:rPr>
                    <w:t>250</w:t>
                  </w:r>
                </w:p>
              </w:tc>
              <w:tc>
                <w:tcPr>
                  <w:tcW w:w="1898" w:type="pct"/>
                  <w:gridSpan w:val="2"/>
                  <w:vMerge w:val="continue"/>
                  <w:tcBorders>
                    <w:right w:val="single" w:color="auto" w:sz="4" w:space="0"/>
                  </w:tcBorders>
                  <w:vAlign w:val="center"/>
                </w:tcPr>
                <w:p w14:paraId="080B2340">
                  <w:pPr>
                    <w:snapToGrid w:val="0"/>
                    <w:spacing w:line="320" w:lineRule="exact"/>
                    <w:ind w:left="-101" w:leftChars="-49" w:hanging="2"/>
                    <w:jc w:val="center"/>
                    <w:rPr>
                      <w:rFonts w:hint="default"/>
                      <w:color w:val="auto"/>
                      <w:sz w:val="18"/>
                      <w:szCs w:val="18"/>
                      <w:lang w:val="en-US"/>
                    </w:rPr>
                  </w:pPr>
                </w:p>
              </w:tc>
              <w:tc>
                <w:tcPr>
                  <w:tcW w:w="601" w:type="pct"/>
                  <w:vMerge w:val="continue"/>
                  <w:tcBorders>
                    <w:left w:val="single" w:color="auto" w:sz="4" w:space="0"/>
                  </w:tcBorders>
                  <w:vAlign w:val="center"/>
                </w:tcPr>
                <w:p w14:paraId="1FC70F38">
                  <w:pPr>
                    <w:snapToGrid w:val="0"/>
                    <w:spacing w:line="320" w:lineRule="exact"/>
                    <w:ind w:left="-101" w:leftChars="-49" w:hanging="2"/>
                    <w:jc w:val="center"/>
                    <w:rPr>
                      <w:rFonts w:hint="default" w:eastAsia="宋体"/>
                      <w:color w:val="auto"/>
                      <w:sz w:val="18"/>
                      <w:szCs w:val="18"/>
                      <w:lang w:val="en-US" w:eastAsia="zh-CN"/>
                    </w:rPr>
                  </w:pPr>
                </w:p>
              </w:tc>
            </w:tr>
            <w:tr w14:paraId="3D4BF56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cantSplit/>
                <w:trHeight w:val="113" w:hRule="atLeast"/>
              </w:trPr>
              <w:tc>
                <w:tcPr>
                  <w:tcW w:w="1898" w:type="pct"/>
                  <w:gridSpan w:val="2"/>
                  <w:tcBorders>
                    <w:right w:val="single" w:color="auto" w:sz="4" w:space="0"/>
                  </w:tcBorders>
                  <w:vAlign w:val="center"/>
                </w:tcPr>
                <w:p w14:paraId="76096FCD">
                  <w:pPr>
                    <w:keepNext w:val="0"/>
                    <w:keepLines w:val="0"/>
                    <w:widowControl/>
                    <w:suppressLineNumbers w:val="0"/>
                    <w:jc w:val="center"/>
                    <w:rPr>
                      <w:color w:val="auto"/>
                      <w:sz w:val="18"/>
                      <w:szCs w:val="18"/>
                    </w:rPr>
                  </w:pPr>
                  <w:r>
                    <w:rPr>
                      <w:rFonts w:hint="eastAsia" w:ascii="宋体" w:hAnsi="宋体" w:eastAsia="宋体" w:cs="宋体"/>
                      <w:color w:val="000000"/>
                      <w:kern w:val="0"/>
                      <w:sz w:val="18"/>
                      <w:szCs w:val="18"/>
                      <w:lang w:val="en-US" w:eastAsia="zh-CN" w:bidi="ar"/>
                    </w:rPr>
                    <w:t>氨氮（</w:t>
                  </w:r>
                  <w:r>
                    <w:rPr>
                      <w:rFonts w:hint="default" w:ascii="Times New Roman" w:hAnsi="Times New Roman" w:eastAsia="宋体" w:cs="Times New Roman"/>
                      <w:color w:val="000000"/>
                      <w:kern w:val="0"/>
                      <w:sz w:val="18"/>
                      <w:szCs w:val="18"/>
                      <w:lang w:val="en-US" w:eastAsia="zh-CN" w:bidi="ar"/>
                    </w:rPr>
                    <w:t>mg/L</w:t>
                  </w:r>
                  <w:r>
                    <w:rPr>
                      <w:rFonts w:hint="eastAsia" w:ascii="宋体" w:hAnsi="宋体" w:eastAsia="宋体" w:cs="宋体"/>
                      <w:color w:val="000000"/>
                      <w:kern w:val="0"/>
                      <w:sz w:val="18"/>
                      <w:szCs w:val="18"/>
                      <w:lang w:val="en-US" w:eastAsia="zh-CN" w:bidi="ar"/>
                    </w:rPr>
                    <w:t>）</w:t>
                  </w:r>
                </w:p>
              </w:tc>
              <w:tc>
                <w:tcPr>
                  <w:tcW w:w="601" w:type="pct"/>
                  <w:tcBorders>
                    <w:left w:val="single" w:color="auto" w:sz="4" w:space="0"/>
                  </w:tcBorders>
                  <w:vAlign w:val="center"/>
                </w:tcPr>
                <w:p w14:paraId="38DFFF67">
                  <w:pPr>
                    <w:snapToGrid w:val="0"/>
                    <w:spacing w:line="320" w:lineRule="exact"/>
                    <w:ind w:left="-101" w:leftChars="-49" w:hanging="2"/>
                    <w:jc w:val="center"/>
                    <w:rPr>
                      <w:rFonts w:hint="eastAsia" w:eastAsia="宋体"/>
                      <w:color w:val="auto"/>
                      <w:sz w:val="18"/>
                      <w:szCs w:val="18"/>
                      <w:lang w:val="en-US" w:eastAsia="zh-CN"/>
                    </w:rPr>
                  </w:pPr>
                  <w:r>
                    <w:rPr>
                      <w:rFonts w:hint="eastAsia"/>
                      <w:color w:val="auto"/>
                      <w:sz w:val="18"/>
                      <w:szCs w:val="18"/>
                      <w:lang w:val="en-US" w:eastAsia="zh-CN"/>
                    </w:rPr>
                    <w:t>-</w:t>
                  </w:r>
                </w:p>
              </w:tc>
              <w:tc>
                <w:tcPr>
                  <w:tcW w:w="1898" w:type="pct"/>
                  <w:gridSpan w:val="2"/>
                  <w:tcBorders>
                    <w:right w:val="single" w:color="auto" w:sz="4" w:space="0"/>
                  </w:tcBorders>
                  <w:vAlign w:val="center"/>
                </w:tcPr>
                <w:p w14:paraId="563FB2E6">
                  <w:pPr>
                    <w:keepNext w:val="0"/>
                    <w:keepLines w:val="0"/>
                    <w:widowControl/>
                    <w:suppressLineNumbers w:val="0"/>
                    <w:jc w:val="center"/>
                    <w:rPr>
                      <w:color w:val="auto"/>
                      <w:sz w:val="18"/>
                      <w:szCs w:val="18"/>
                    </w:rPr>
                  </w:pPr>
                  <w:r>
                    <w:rPr>
                      <w:rFonts w:hint="eastAsia" w:ascii="宋体" w:hAnsi="宋体" w:eastAsia="宋体" w:cs="宋体"/>
                      <w:color w:val="000000"/>
                      <w:kern w:val="0"/>
                      <w:sz w:val="18"/>
                      <w:szCs w:val="18"/>
                      <w:lang w:val="en-US" w:eastAsia="zh-CN" w:bidi="ar"/>
                    </w:rPr>
                    <w:t>总氰化物</w:t>
                  </w:r>
                  <w:r>
                    <w:rPr>
                      <w:rFonts w:hint="default" w:ascii="Times New Roman" w:hAnsi="Times New Roman" w:eastAsia="宋体" w:cs="Times New Roman"/>
                      <w:color w:val="000000"/>
                      <w:kern w:val="0"/>
                      <w:sz w:val="18"/>
                      <w:szCs w:val="18"/>
                      <w:lang w:val="en-US" w:eastAsia="zh-CN" w:bidi="ar"/>
                    </w:rPr>
                    <w:t>(mg/L)</w:t>
                  </w:r>
                </w:p>
              </w:tc>
              <w:tc>
                <w:tcPr>
                  <w:tcW w:w="601" w:type="pct"/>
                  <w:tcBorders>
                    <w:left w:val="single" w:color="auto" w:sz="4" w:space="0"/>
                  </w:tcBorders>
                  <w:vAlign w:val="center"/>
                </w:tcPr>
                <w:p w14:paraId="4D86ACF3">
                  <w:pPr>
                    <w:snapToGrid w:val="0"/>
                    <w:spacing w:line="320" w:lineRule="exact"/>
                    <w:ind w:left="-101" w:leftChars="-49" w:hanging="2" w:firstLineChars="0"/>
                    <w:jc w:val="center"/>
                    <w:rPr>
                      <w:rFonts w:hint="default" w:eastAsia="宋体"/>
                      <w:color w:val="auto"/>
                      <w:sz w:val="18"/>
                      <w:szCs w:val="18"/>
                      <w:lang w:val="en-US" w:eastAsia="zh-CN"/>
                    </w:rPr>
                  </w:pPr>
                  <w:r>
                    <w:rPr>
                      <w:rFonts w:hint="eastAsia"/>
                      <w:color w:val="auto"/>
                      <w:sz w:val="18"/>
                      <w:szCs w:val="18"/>
                      <w:lang w:val="en-US" w:eastAsia="zh-CN"/>
                    </w:rPr>
                    <w:t>0.5</w:t>
                  </w:r>
                </w:p>
              </w:tc>
            </w:tr>
            <w:tr w14:paraId="6C00484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cantSplit/>
                <w:trHeight w:val="113" w:hRule="atLeast"/>
              </w:trPr>
              <w:tc>
                <w:tcPr>
                  <w:tcW w:w="235" w:type="pct"/>
                  <w:vMerge w:val="restart"/>
                  <w:tcBorders>
                    <w:right w:val="single" w:color="auto" w:sz="4" w:space="0"/>
                  </w:tcBorders>
                  <w:vAlign w:val="center"/>
                </w:tcPr>
                <w:p w14:paraId="2A63DC5D">
                  <w:pPr>
                    <w:snapToGrid w:val="0"/>
                    <w:spacing w:line="320" w:lineRule="exact"/>
                    <w:ind w:left="-101" w:leftChars="-49" w:hanging="2"/>
                    <w:jc w:val="center"/>
                    <w:rPr>
                      <w:rFonts w:hint="default" w:eastAsia="宋体"/>
                      <w:color w:val="auto"/>
                      <w:sz w:val="18"/>
                      <w:szCs w:val="18"/>
                      <w:lang w:val="en-US" w:eastAsia="zh-CN"/>
                    </w:rPr>
                  </w:pPr>
                  <w:r>
                    <w:rPr>
                      <w:rFonts w:hint="eastAsia"/>
                      <w:color w:val="auto"/>
                      <w:sz w:val="18"/>
                      <w:szCs w:val="18"/>
                      <w:lang w:val="en-US" w:eastAsia="zh-CN"/>
                    </w:rPr>
                    <w:t>SS</w:t>
                  </w:r>
                </w:p>
              </w:tc>
              <w:tc>
                <w:tcPr>
                  <w:tcW w:w="1662" w:type="pct"/>
                  <w:tcBorders>
                    <w:left w:val="single" w:color="auto" w:sz="4" w:space="0"/>
                    <w:right w:val="single" w:color="auto" w:sz="4" w:space="0"/>
                  </w:tcBorders>
                  <w:vAlign w:val="center"/>
                </w:tcPr>
                <w:p w14:paraId="54913F7B">
                  <w:pPr>
                    <w:keepNext w:val="0"/>
                    <w:keepLines w:val="0"/>
                    <w:widowControl/>
                    <w:suppressLineNumbers w:val="0"/>
                    <w:jc w:val="center"/>
                    <w:rPr>
                      <w:rFonts w:hint="eastAsia"/>
                      <w:color w:val="auto"/>
                      <w:sz w:val="18"/>
                      <w:szCs w:val="18"/>
                      <w:lang w:val="en-US" w:eastAsia="zh-CN"/>
                    </w:rPr>
                  </w:pPr>
                  <w:r>
                    <w:rPr>
                      <w:rFonts w:hint="eastAsia" w:ascii="宋体" w:hAnsi="宋体" w:eastAsia="宋体" w:cs="宋体"/>
                      <w:color w:val="000000"/>
                      <w:kern w:val="0"/>
                      <w:sz w:val="18"/>
                      <w:szCs w:val="18"/>
                      <w:lang w:val="en-US" w:eastAsia="zh-CN" w:bidi="ar"/>
                    </w:rPr>
                    <w:t>浓度</w:t>
                  </w:r>
                  <w:r>
                    <w:rPr>
                      <w:rFonts w:hint="default" w:ascii="Times New Roman" w:hAnsi="Times New Roman" w:eastAsia="宋体" w:cs="Times New Roman"/>
                      <w:color w:val="000000"/>
                      <w:kern w:val="0"/>
                      <w:sz w:val="18"/>
                      <w:szCs w:val="18"/>
                      <w:lang w:val="en-US" w:eastAsia="zh-CN" w:bidi="ar"/>
                    </w:rPr>
                    <w:t>(mg/L)</w:t>
                  </w:r>
                </w:p>
              </w:tc>
              <w:tc>
                <w:tcPr>
                  <w:tcW w:w="601" w:type="pct"/>
                  <w:tcBorders>
                    <w:left w:val="single" w:color="auto" w:sz="4" w:space="0"/>
                  </w:tcBorders>
                  <w:vAlign w:val="center"/>
                </w:tcPr>
                <w:p w14:paraId="22FCFEA8">
                  <w:pPr>
                    <w:snapToGrid w:val="0"/>
                    <w:spacing w:line="320" w:lineRule="exact"/>
                    <w:ind w:left="-101" w:leftChars="-49" w:hanging="2"/>
                    <w:jc w:val="center"/>
                    <w:rPr>
                      <w:rFonts w:hint="default" w:eastAsia="宋体"/>
                      <w:color w:val="auto"/>
                      <w:sz w:val="18"/>
                      <w:szCs w:val="18"/>
                      <w:lang w:val="en-US" w:eastAsia="zh-CN"/>
                    </w:rPr>
                  </w:pPr>
                  <w:r>
                    <w:rPr>
                      <w:rFonts w:hint="eastAsia"/>
                      <w:color w:val="auto"/>
                      <w:sz w:val="18"/>
                      <w:szCs w:val="18"/>
                      <w:lang w:val="en-US" w:eastAsia="zh-CN"/>
                    </w:rPr>
                    <w:t>60</w:t>
                  </w:r>
                </w:p>
              </w:tc>
              <w:tc>
                <w:tcPr>
                  <w:tcW w:w="235" w:type="pct"/>
                  <w:vMerge w:val="restart"/>
                  <w:tcBorders>
                    <w:right w:val="single" w:color="auto" w:sz="4" w:space="0"/>
                  </w:tcBorders>
                  <w:vAlign w:val="center"/>
                </w:tcPr>
                <w:p w14:paraId="20BC8B98">
                  <w:pPr>
                    <w:snapToGrid w:val="0"/>
                    <w:spacing w:line="320" w:lineRule="exact"/>
                    <w:ind w:left="-101" w:leftChars="-49" w:hanging="2"/>
                    <w:jc w:val="center"/>
                    <w:rPr>
                      <w:rFonts w:hint="default" w:eastAsia="宋体"/>
                      <w:color w:val="auto"/>
                      <w:sz w:val="18"/>
                      <w:szCs w:val="18"/>
                      <w:lang w:val="en-US" w:eastAsia="zh-CN"/>
                    </w:rPr>
                  </w:pPr>
                  <w:r>
                    <w:rPr>
                      <w:rFonts w:hint="eastAsia"/>
                      <w:color w:val="auto"/>
                      <w:sz w:val="18"/>
                      <w:szCs w:val="18"/>
                      <w:lang w:val="en-US" w:eastAsia="zh-CN"/>
                    </w:rPr>
                    <w:t>BOD</w:t>
                  </w:r>
                </w:p>
              </w:tc>
              <w:tc>
                <w:tcPr>
                  <w:tcW w:w="1662" w:type="pct"/>
                  <w:tcBorders>
                    <w:left w:val="single" w:color="auto" w:sz="4" w:space="0"/>
                    <w:right w:val="single" w:color="auto" w:sz="4" w:space="0"/>
                  </w:tcBorders>
                  <w:vAlign w:val="center"/>
                </w:tcPr>
                <w:p w14:paraId="041AA0CD">
                  <w:pPr>
                    <w:keepNext w:val="0"/>
                    <w:keepLines w:val="0"/>
                    <w:widowControl/>
                    <w:suppressLineNumbers w:val="0"/>
                    <w:jc w:val="center"/>
                    <w:rPr>
                      <w:color w:val="auto"/>
                      <w:sz w:val="18"/>
                      <w:szCs w:val="18"/>
                    </w:rPr>
                  </w:pPr>
                  <w:r>
                    <w:rPr>
                      <w:rFonts w:hint="eastAsia" w:ascii="宋体" w:hAnsi="宋体" w:eastAsia="宋体" w:cs="宋体"/>
                      <w:color w:val="000000"/>
                      <w:kern w:val="0"/>
                      <w:sz w:val="18"/>
                      <w:szCs w:val="18"/>
                      <w:lang w:val="en-US" w:eastAsia="zh-CN" w:bidi="ar"/>
                    </w:rPr>
                    <w:t>浓度</w:t>
                  </w:r>
                  <w:r>
                    <w:rPr>
                      <w:rFonts w:hint="default" w:ascii="Times New Roman" w:hAnsi="Times New Roman" w:eastAsia="宋体" w:cs="Times New Roman"/>
                      <w:color w:val="000000"/>
                      <w:kern w:val="0"/>
                      <w:sz w:val="18"/>
                      <w:szCs w:val="18"/>
                      <w:lang w:val="en-US" w:eastAsia="zh-CN" w:bidi="ar"/>
                    </w:rPr>
                    <w:t>(mg/L)</w:t>
                  </w:r>
                </w:p>
              </w:tc>
              <w:tc>
                <w:tcPr>
                  <w:tcW w:w="601" w:type="pct"/>
                  <w:tcBorders>
                    <w:left w:val="single" w:color="auto" w:sz="4" w:space="0"/>
                  </w:tcBorders>
                  <w:vAlign w:val="center"/>
                </w:tcPr>
                <w:p w14:paraId="335B1D3B">
                  <w:pPr>
                    <w:snapToGrid w:val="0"/>
                    <w:spacing w:line="320" w:lineRule="exact"/>
                    <w:ind w:left="-101" w:leftChars="-49" w:hanging="2" w:firstLineChars="0"/>
                    <w:jc w:val="center"/>
                    <w:rPr>
                      <w:rFonts w:hint="default" w:eastAsia="宋体"/>
                      <w:color w:val="auto"/>
                      <w:sz w:val="18"/>
                      <w:szCs w:val="18"/>
                      <w:lang w:val="en-US" w:eastAsia="zh-CN"/>
                    </w:rPr>
                  </w:pPr>
                  <w:r>
                    <w:rPr>
                      <w:rFonts w:hint="eastAsia"/>
                      <w:color w:val="auto"/>
                      <w:sz w:val="18"/>
                      <w:szCs w:val="18"/>
                      <w:lang w:val="en-US" w:eastAsia="zh-CN"/>
                    </w:rPr>
                    <w:t>100</w:t>
                  </w:r>
                </w:p>
              </w:tc>
            </w:tr>
            <w:tr w14:paraId="40F9275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cantSplit/>
                <w:trHeight w:val="113" w:hRule="atLeast"/>
              </w:trPr>
              <w:tc>
                <w:tcPr>
                  <w:tcW w:w="235" w:type="pct"/>
                  <w:vMerge w:val="continue"/>
                  <w:tcBorders>
                    <w:right w:val="single" w:color="auto" w:sz="4" w:space="0"/>
                  </w:tcBorders>
                  <w:vAlign w:val="center"/>
                </w:tcPr>
                <w:p w14:paraId="6DB9DD65">
                  <w:pPr>
                    <w:snapToGrid w:val="0"/>
                    <w:spacing w:line="320" w:lineRule="exact"/>
                    <w:ind w:left="-101" w:leftChars="-49" w:hanging="2"/>
                    <w:jc w:val="center"/>
                    <w:rPr>
                      <w:color w:val="auto"/>
                      <w:sz w:val="18"/>
                      <w:szCs w:val="18"/>
                    </w:rPr>
                  </w:pPr>
                </w:p>
              </w:tc>
              <w:tc>
                <w:tcPr>
                  <w:tcW w:w="1662" w:type="pct"/>
                  <w:tcBorders>
                    <w:left w:val="single" w:color="auto" w:sz="4" w:space="0"/>
                    <w:right w:val="single" w:color="auto" w:sz="4" w:space="0"/>
                  </w:tcBorders>
                  <w:vAlign w:val="center"/>
                </w:tcPr>
                <w:p w14:paraId="6956E301">
                  <w:pPr>
                    <w:keepNext w:val="0"/>
                    <w:keepLines w:val="0"/>
                    <w:widowControl/>
                    <w:suppressLineNumbers w:val="0"/>
                    <w:jc w:val="center"/>
                    <w:rPr>
                      <w:color w:val="auto"/>
                      <w:sz w:val="18"/>
                      <w:szCs w:val="18"/>
                    </w:rPr>
                  </w:pPr>
                  <w:r>
                    <w:rPr>
                      <w:rFonts w:hint="eastAsia" w:ascii="宋体" w:hAnsi="宋体" w:eastAsia="宋体" w:cs="宋体"/>
                      <w:color w:val="000000"/>
                      <w:kern w:val="0"/>
                      <w:sz w:val="18"/>
                      <w:szCs w:val="18"/>
                      <w:lang w:val="en-US" w:eastAsia="zh-CN" w:bidi="ar"/>
                    </w:rPr>
                    <w:t>最高允许排放负荷（</w:t>
                  </w:r>
                  <w:r>
                    <w:rPr>
                      <w:rFonts w:hint="default" w:ascii="Times New Roman" w:hAnsi="Times New Roman" w:eastAsia="宋体" w:cs="Times New Roman"/>
                      <w:color w:val="000000"/>
                      <w:kern w:val="0"/>
                      <w:sz w:val="18"/>
                      <w:szCs w:val="18"/>
                      <w:lang w:val="en-US" w:eastAsia="zh-CN" w:bidi="ar"/>
                    </w:rPr>
                    <w:t>g/</w:t>
                  </w:r>
                  <w:r>
                    <w:rPr>
                      <w:rFonts w:hint="eastAsia" w:ascii="宋体" w:hAnsi="宋体" w:eastAsia="宋体" w:cs="宋体"/>
                      <w:color w:val="000000"/>
                      <w:kern w:val="0"/>
                      <w:sz w:val="18"/>
                      <w:szCs w:val="18"/>
                      <w:lang w:val="en-US" w:eastAsia="zh-CN" w:bidi="ar"/>
                    </w:rPr>
                    <w:t>床位）</w:t>
                  </w:r>
                </w:p>
              </w:tc>
              <w:tc>
                <w:tcPr>
                  <w:tcW w:w="601" w:type="pct"/>
                  <w:tcBorders>
                    <w:left w:val="single" w:color="auto" w:sz="4" w:space="0"/>
                  </w:tcBorders>
                  <w:vAlign w:val="center"/>
                </w:tcPr>
                <w:p w14:paraId="5778FEE3">
                  <w:pPr>
                    <w:snapToGrid w:val="0"/>
                    <w:spacing w:line="320" w:lineRule="exact"/>
                    <w:ind w:left="-101" w:leftChars="-49" w:hanging="2"/>
                    <w:jc w:val="center"/>
                    <w:rPr>
                      <w:rFonts w:hint="default" w:eastAsia="宋体"/>
                      <w:color w:val="auto"/>
                      <w:sz w:val="18"/>
                      <w:szCs w:val="18"/>
                      <w:lang w:val="en-US" w:eastAsia="zh-CN"/>
                    </w:rPr>
                  </w:pPr>
                  <w:r>
                    <w:rPr>
                      <w:rFonts w:hint="eastAsia"/>
                      <w:color w:val="auto"/>
                      <w:sz w:val="18"/>
                      <w:szCs w:val="18"/>
                      <w:lang w:val="en-US" w:eastAsia="zh-CN"/>
                    </w:rPr>
                    <w:t>60</w:t>
                  </w:r>
                </w:p>
              </w:tc>
              <w:tc>
                <w:tcPr>
                  <w:tcW w:w="235" w:type="pct"/>
                  <w:vMerge w:val="continue"/>
                  <w:tcBorders>
                    <w:right w:val="single" w:color="auto" w:sz="4" w:space="0"/>
                  </w:tcBorders>
                  <w:vAlign w:val="center"/>
                </w:tcPr>
                <w:p w14:paraId="1E67DBFF">
                  <w:pPr>
                    <w:snapToGrid w:val="0"/>
                    <w:spacing w:line="320" w:lineRule="exact"/>
                    <w:ind w:left="-101" w:leftChars="-49" w:hanging="2"/>
                    <w:jc w:val="center"/>
                    <w:rPr>
                      <w:color w:val="auto"/>
                      <w:sz w:val="18"/>
                      <w:szCs w:val="18"/>
                    </w:rPr>
                  </w:pPr>
                </w:p>
              </w:tc>
              <w:tc>
                <w:tcPr>
                  <w:tcW w:w="1662" w:type="pct"/>
                  <w:tcBorders>
                    <w:left w:val="single" w:color="auto" w:sz="4" w:space="0"/>
                    <w:right w:val="single" w:color="auto" w:sz="4" w:space="0"/>
                  </w:tcBorders>
                  <w:vAlign w:val="center"/>
                </w:tcPr>
                <w:p w14:paraId="6C8D71D0">
                  <w:pPr>
                    <w:keepNext w:val="0"/>
                    <w:keepLines w:val="0"/>
                    <w:widowControl/>
                    <w:suppressLineNumbers w:val="0"/>
                    <w:jc w:val="center"/>
                    <w:rPr>
                      <w:color w:val="auto"/>
                      <w:sz w:val="18"/>
                      <w:szCs w:val="18"/>
                    </w:rPr>
                  </w:pPr>
                  <w:r>
                    <w:rPr>
                      <w:rFonts w:hint="eastAsia" w:ascii="宋体" w:hAnsi="宋体" w:eastAsia="宋体" w:cs="宋体"/>
                      <w:color w:val="000000"/>
                      <w:kern w:val="0"/>
                      <w:sz w:val="18"/>
                      <w:szCs w:val="18"/>
                      <w:lang w:val="en-US" w:eastAsia="zh-CN" w:bidi="ar"/>
                    </w:rPr>
                    <w:t>最高允许排放负荷（</w:t>
                  </w:r>
                  <w:r>
                    <w:rPr>
                      <w:rFonts w:hint="default" w:ascii="Times New Roman" w:hAnsi="Times New Roman" w:eastAsia="宋体" w:cs="Times New Roman"/>
                      <w:color w:val="000000"/>
                      <w:kern w:val="0"/>
                      <w:sz w:val="18"/>
                      <w:szCs w:val="18"/>
                      <w:lang w:val="en-US" w:eastAsia="zh-CN" w:bidi="ar"/>
                    </w:rPr>
                    <w:t>g/</w:t>
                  </w:r>
                  <w:r>
                    <w:rPr>
                      <w:rFonts w:hint="eastAsia" w:ascii="宋体" w:hAnsi="宋体" w:eastAsia="宋体" w:cs="宋体"/>
                      <w:color w:val="000000"/>
                      <w:kern w:val="0"/>
                      <w:sz w:val="18"/>
                      <w:szCs w:val="18"/>
                      <w:lang w:val="en-US" w:eastAsia="zh-CN" w:bidi="ar"/>
                    </w:rPr>
                    <w:t>床位）</w:t>
                  </w:r>
                </w:p>
              </w:tc>
              <w:tc>
                <w:tcPr>
                  <w:tcW w:w="601" w:type="pct"/>
                  <w:tcBorders>
                    <w:left w:val="single" w:color="auto" w:sz="4" w:space="0"/>
                  </w:tcBorders>
                  <w:vAlign w:val="center"/>
                </w:tcPr>
                <w:p w14:paraId="4A98EFB8">
                  <w:pPr>
                    <w:snapToGrid w:val="0"/>
                    <w:spacing w:line="320" w:lineRule="exact"/>
                    <w:ind w:left="-101" w:leftChars="-49" w:hanging="2" w:firstLineChars="0"/>
                    <w:jc w:val="center"/>
                    <w:rPr>
                      <w:rFonts w:hint="default" w:eastAsia="宋体"/>
                      <w:color w:val="auto"/>
                      <w:sz w:val="18"/>
                      <w:szCs w:val="18"/>
                      <w:lang w:val="en-US" w:eastAsia="zh-CN"/>
                    </w:rPr>
                  </w:pPr>
                  <w:r>
                    <w:rPr>
                      <w:rFonts w:hint="eastAsia"/>
                      <w:color w:val="auto"/>
                      <w:sz w:val="18"/>
                      <w:szCs w:val="18"/>
                      <w:lang w:val="en-US" w:eastAsia="zh-CN"/>
                    </w:rPr>
                    <w:t>100</w:t>
                  </w:r>
                </w:p>
              </w:tc>
            </w:tr>
            <w:tr w14:paraId="60188DE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cantSplit/>
                <w:trHeight w:val="113" w:hRule="atLeast"/>
              </w:trPr>
              <w:tc>
                <w:tcPr>
                  <w:tcW w:w="1898" w:type="pct"/>
                  <w:gridSpan w:val="2"/>
                  <w:tcBorders>
                    <w:right w:val="single" w:color="auto" w:sz="4" w:space="0"/>
                  </w:tcBorders>
                  <w:vAlign w:val="center"/>
                </w:tcPr>
                <w:p w14:paraId="6702A628">
                  <w:pPr>
                    <w:keepNext w:val="0"/>
                    <w:keepLines w:val="0"/>
                    <w:widowControl/>
                    <w:suppressLineNumbers w:val="0"/>
                    <w:jc w:val="center"/>
                    <w:rPr>
                      <w:color w:val="auto"/>
                      <w:sz w:val="18"/>
                      <w:szCs w:val="18"/>
                    </w:rPr>
                  </w:pPr>
                  <w:r>
                    <w:rPr>
                      <w:rFonts w:hint="eastAsia" w:ascii="宋体" w:hAnsi="宋体" w:eastAsia="宋体" w:cs="宋体"/>
                      <w:color w:val="000000"/>
                      <w:kern w:val="0"/>
                      <w:sz w:val="18"/>
                      <w:szCs w:val="18"/>
                      <w:lang w:val="en-US" w:eastAsia="zh-CN" w:bidi="ar"/>
                    </w:rPr>
                    <w:t>总铬</w:t>
                  </w:r>
                  <w:r>
                    <w:rPr>
                      <w:rFonts w:hint="default" w:ascii="Times New Roman" w:hAnsi="Times New Roman" w:eastAsia="宋体" w:cs="Times New Roman"/>
                      <w:color w:val="000000"/>
                      <w:kern w:val="0"/>
                      <w:sz w:val="18"/>
                      <w:szCs w:val="18"/>
                      <w:lang w:val="en-US" w:eastAsia="zh-CN" w:bidi="ar"/>
                    </w:rPr>
                    <w:t>(mg/L)</w:t>
                  </w:r>
                </w:p>
              </w:tc>
              <w:tc>
                <w:tcPr>
                  <w:tcW w:w="601" w:type="pct"/>
                  <w:tcBorders>
                    <w:left w:val="single" w:color="auto" w:sz="4" w:space="0"/>
                  </w:tcBorders>
                  <w:vAlign w:val="center"/>
                </w:tcPr>
                <w:p w14:paraId="18D77BD1">
                  <w:pPr>
                    <w:snapToGrid w:val="0"/>
                    <w:spacing w:line="320" w:lineRule="exact"/>
                    <w:ind w:left="-101" w:leftChars="-49" w:hanging="2"/>
                    <w:jc w:val="center"/>
                    <w:rPr>
                      <w:rFonts w:hint="default" w:eastAsia="宋体"/>
                      <w:color w:val="auto"/>
                      <w:sz w:val="18"/>
                      <w:szCs w:val="18"/>
                      <w:lang w:val="en-US" w:eastAsia="zh-CN"/>
                    </w:rPr>
                  </w:pPr>
                  <w:r>
                    <w:rPr>
                      <w:rFonts w:hint="eastAsia"/>
                      <w:color w:val="auto"/>
                      <w:sz w:val="18"/>
                      <w:szCs w:val="18"/>
                      <w:lang w:val="en-US" w:eastAsia="zh-CN"/>
                    </w:rPr>
                    <w:t>1.5</w:t>
                  </w:r>
                </w:p>
              </w:tc>
              <w:tc>
                <w:tcPr>
                  <w:tcW w:w="1898" w:type="pct"/>
                  <w:gridSpan w:val="2"/>
                  <w:tcBorders>
                    <w:right w:val="single" w:color="auto" w:sz="4" w:space="0"/>
                  </w:tcBorders>
                  <w:vAlign w:val="center"/>
                </w:tcPr>
                <w:p w14:paraId="52A21C64">
                  <w:pPr>
                    <w:keepNext w:val="0"/>
                    <w:keepLines w:val="0"/>
                    <w:widowControl/>
                    <w:suppressLineNumbers w:val="0"/>
                    <w:jc w:val="center"/>
                    <w:rPr>
                      <w:color w:val="auto"/>
                      <w:sz w:val="18"/>
                      <w:szCs w:val="18"/>
                    </w:rPr>
                  </w:pPr>
                  <w:r>
                    <w:rPr>
                      <w:rFonts w:hint="eastAsia" w:ascii="宋体" w:hAnsi="宋体" w:eastAsia="宋体" w:cs="宋体"/>
                      <w:color w:val="000000"/>
                      <w:kern w:val="0"/>
                      <w:sz w:val="18"/>
                      <w:szCs w:val="18"/>
                      <w:lang w:val="en-US" w:eastAsia="zh-CN" w:bidi="ar"/>
                    </w:rPr>
                    <w:t>总汞</w:t>
                  </w:r>
                  <w:r>
                    <w:rPr>
                      <w:rFonts w:hint="default" w:ascii="Times New Roman" w:hAnsi="Times New Roman" w:eastAsia="宋体" w:cs="Times New Roman"/>
                      <w:color w:val="000000"/>
                      <w:kern w:val="0"/>
                      <w:sz w:val="18"/>
                      <w:szCs w:val="18"/>
                      <w:lang w:val="en-US" w:eastAsia="zh-CN" w:bidi="ar"/>
                    </w:rPr>
                    <w:t>(mg/L)</w:t>
                  </w:r>
                </w:p>
              </w:tc>
              <w:tc>
                <w:tcPr>
                  <w:tcW w:w="601" w:type="pct"/>
                  <w:tcBorders>
                    <w:left w:val="single" w:color="auto" w:sz="4" w:space="0"/>
                  </w:tcBorders>
                  <w:vAlign w:val="center"/>
                </w:tcPr>
                <w:p w14:paraId="6700CFA7">
                  <w:pPr>
                    <w:snapToGrid w:val="0"/>
                    <w:spacing w:line="320" w:lineRule="exact"/>
                    <w:ind w:left="-101" w:leftChars="-49" w:hanging="2" w:firstLineChars="0"/>
                    <w:jc w:val="center"/>
                    <w:rPr>
                      <w:rFonts w:hint="default" w:eastAsia="宋体"/>
                      <w:color w:val="auto"/>
                      <w:sz w:val="18"/>
                      <w:szCs w:val="18"/>
                      <w:lang w:val="en-US" w:eastAsia="zh-CN"/>
                    </w:rPr>
                  </w:pPr>
                  <w:r>
                    <w:rPr>
                      <w:rFonts w:hint="eastAsia"/>
                      <w:color w:val="auto"/>
                      <w:sz w:val="18"/>
                      <w:szCs w:val="18"/>
                      <w:lang w:val="en-US" w:eastAsia="zh-CN"/>
                    </w:rPr>
                    <w:t>0.05</w:t>
                  </w:r>
                </w:p>
              </w:tc>
            </w:tr>
            <w:tr w14:paraId="0B74688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cantSplit/>
                <w:trHeight w:val="113" w:hRule="atLeast"/>
              </w:trPr>
              <w:tc>
                <w:tcPr>
                  <w:tcW w:w="1898" w:type="pct"/>
                  <w:gridSpan w:val="2"/>
                  <w:tcBorders>
                    <w:right w:val="single" w:color="auto" w:sz="4" w:space="0"/>
                  </w:tcBorders>
                  <w:vAlign w:val="center"/>
                </w:tcPr>
                <w:p w14:paraId="5EF89DA1">
                  <w:pPr>
                    <w:keepNext w:val="0"/>
                    <w:keepLines w:val="0"/>
                    <w:widowControl/>
                    <w:suppressLineNumbers w:val="0"/>
                    <w:jc w:val="center"/>
                    <w:rPr>
                      <w:color w:val="auto"/>
                      <w:sz w:val="18"/>
                      <w:szCs w:val="18"/>
                    </w:rPr>
                  </w:pPr>
                  <w:r>
                    <w:rPr>
                      <w:rFonts w:hint="eastAsia" w:ascii="宋体" w:hAnsi="宋体" w:eastAsia="宋体" w:cs="宋体"/>
                      <w:color w:val="000000"/>
                      <w:kern w:val="0"/>
                      <w:sz w:val="18"/>
                      <w:szCs w:val="18"/>
                      <w:lang w:val="en-US" w:eastAsia="zh-CN" w:bidi="ar"/>
                    </w:rPr>
                    <w:t>六价铬</w:t>
                  </w:r>
                  <w:r>
                    <w:rPr>
                      <w:rFonts w:hint="default" w:ascii="Times New Roman" w:hAnsi="Times New Roman" w:eastAsia="宋体" w:cs="Times New Roman"/>
                      <w:color w:val="000000"/>
                      <w:kern w:val="0"/>
                      <w:sz w:val="18"/>
                      <w:szCs w:val="18"/>
                      <w:lang w:val="en-US" w:eastAsia="zh-CN" w:bidi="ar"/>
                    </w:rPr>
                    <w:t>(mg/L)</w:t>
                  </w:r>
                </w:p>
              </w:tc>
              <w:tc>
                <w:tcPr>
                  <w:tcW w:w="601" w:type="pct"/>
                  <w:tcBorders>
                    <w:left w:val="single" w:color="auto" w:sz="4" w:space="0"/>
                  </w:tcBorders>
                  <w:vAlign w:val="center"/>
                </w:tcPr>
                <w:p w14:paraId="3F8178A7">
                  <w:pPr>
                    <w:snapToGrid w:val="0"/>
                    <w:spacing w:line="320" w:lineRule="exact"/>
                    <w:ind w:left="-101" w:leftChars="-49" w:hanging="2"/>
                    <w:jc w:val="center"/>
                    <w:rPr>
                      <w:rFonts w:hint="default" w:eastAsia="宋体"/>
                      <w:color w:val="auto"/>
                      <w:sz w:val="18"/>
                      <w:szCs w:val="18"/>
                      <w:lang w:val="en-US" w:eastAsia="zh-CN"/>
                    </w:rPr>
                  </w:pPr>
                  <w:r>
                    <w:rPr>
                      <w:rFonts w:hint="eastAsia"/>
                      <w:color w:val="auto"/>
                      <w:sz w:val="18"/>
                      <w:szCs w:val="18"/>
                      <w:lang w:val="en-US" w:eastAsia="zh-CN"/>
                    </w:rPr>
                    <w:t>0.5</w:t>
                  </w:r>
                </w:p>
              </w:tc>
              <w:tc>
                <w:tcPr>
                  <w:tcW w:w="1898" w:type="pct"/>
                  <w:gridSpan w:val="2"/>
                  <w:tcBorders>
                    <w:right w:val="single" w:color="auto" w:sz="4" w:space="0"/>
                  </w:tcBorders>
                  <w:vAlign w:val="center"/>
                </w:tcPr>
                <w:p w14:paraId="61B9E75A">
                  <w:pPr>
                    <w:keepNext w:val="0"/>
                    <w:keepLines w:val="0"/>
                    <w:widowControl/>
                    <w:suppressLineNumbers w:val="0"/>
                    <w:jc w:val="center"/>
                    <w:rPr>
                      <w:color w:val="auto"/>
                      <w:sz w:val="18"/>
                      <w:szCs w:val="18"/>
                    </w:rPr>
                  </w:pPr>
                  <w:r>
                    <w:rPr>
                      <w:rFonts w:hint="eastAsia" w:ascii="宋体" w:hAnsi="宋体" w:eastAsia="宋体" w:cs="宋体"/>
                      <w:color w:val="000000"/>
                      <w:kern w:val="0"/>
                      <w:sz w:val="18"/>
                      <w:szCs w:val="18"/>
                      <w:lang w:val="en-US" w:eastAsia="zh-CN" w:bidi="ar"/>
                    </w:rPr>
                    <w:t>总镉</w:t>
                  </w:r>
                  <w:r>
                    <w:rPr>
                      <w:rFonts w:hint="default" w:ascii="Times New Roman" w:hAnsi="Times New Roman" w:eastAsia="宋体" w:cs="Times New Roman"/>
                      <w:color w:val="000000"/>
                      <w:kern w:val="0"/>
                      <w:sz w:val="18"/>
                      <w:szCs w:val="18"/>
                      <w:lang w:val="en-US" w:eastAsia="zh-CN" w:bidi="ar"/>
                    </w:rPr>
                    <w:t>(mg/L)</w:t>
                  </w:r>
                </w:p>
              </w:tc>
              <w:tc>
                <w:tcPr>
                  <w:tcW w:w="601" w:type="pct"/>
                  <w:tcBorders>
                    <w:left w:val="single" w:color="auto" w:sz="4" w:space="0"/>
                  </w:tcBorders>
                  <w:vAlign w:val="center"/>
                </w:tcPr>
                <w:p w14:paraId="618BD7E8">
                  <w:pPr>
                    <w:snapToGrid w:val="0"/>
                    <w:spacing w:line="320" w:lineRule="exact"/>
                    <w:ind w:left="-101" w:leftChars="-49" w:hanging="2" w:firstLineChars="0"/>
                    <w:jc w:val="center"/>
                    <w:rPr>
                      <w:rFonts w:hint="default" w:eastAsia="宋体"/>
                      <w:color w:val="auto"/>
                      <w:sz w:val="18"/>
                      <w:szCs w:val="18"/>
                      <w:lang w:val="en-US" w:eastAsia="zh-CN"/>
                    </w:rPr>
                  </w:pPr>
                  <w:r>
                    <w:rPr>
                      <w:rFonts w:hint="eastAsia"/>
                      <w:color w:val="auto"/>
                      <w:sz w:val="18"/>
                      <w:szCs w:val="18"/>
                      <w:lang w:val="en-US" w:eastAsia="zh-CN"/>
                    </w:rPr>
                    <w:t>0.1</w:t>
                  </w:r>
                </w:p>
              </w:tc>
            </w:tr>
            <w:tr w14:paraId="3FFF50B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cantSplit/>
                <w:trHeight w:val="113" w:hRule="atLeast"/>
              </w:trPr>
              <w:tc>
                <w:tcPr>
                  <w:tcW w:w="1898" w:type="pct"/>
                  <w:gridSpan w:val="2"/>
                  <w:tcBorders>
                    <w:right w:val="single" w:color="auto" w:sz="4" w:space="0"/>
                  </w:tcBorders>
                  <w:vAlign w:val="center"/>
                </w:tcPr>
                <w:p w14:paraId="4C134748">
                  <w:pPr>
                    <w:keepNext w:val="0"/>
                    <w:keepLines w:val="0"/>
                    <w:widowControl/>
                    <w:suppressLineNumbers w:val="0"/>
                    <w:jc w:val="center"/>
                    <w:rPr>
                      <w:color w:val="auto"/>
                      <w:sz w:val="18"/>
                      <w:szCs w:val="18"/>
                    </w:rPr>
                  </w:pPr>
                  <w:r>
                    <w:rPr>
                      <w:rFonts w:hint="eastAsia" w:ascii="宋体" w:hAnsi="宋体" w:eastAsia="宋体" w:cs="宋体"/>
                      <w:color w:val="000000"/>
                      <w:kern w:val="0"/>
                      <w:sz w:val="18"/>
                      <w:szCs w:val="18"/>
                      <w:lang w:val="en-US" w:eastAsia="zh-CN" w:bidi="ar"/>
                    </w:rPr>
                    <w:t>总砷</w:t>
                  </w:r>
                  <w:r>
                    <w:rPr>
                      <w:rFonts w:hint="default" w:ascii="Times New Roman" w:hAnsi="Times New Roman" w:eastAsia="宋体" w:cs="Times New Roman"/>
                      <w:color w:val="000000"/>
                      <w:kern w:val="0"/>
                      <w:sz w:val="18"/>
                      <w:szCs w:val="18"/>
                      <w:lang w:val="en-US" w:eastAsia="zh-CN" w:bidi="ar"/>
                    </w:rPr>
                    <w:t>(mg/L)</w:t>
                  </w:r>
                </w:p>
              </w:tc>
              <w:tc>
                <w:tcPr>
                  <w:tcW w:w="601" w:type="pct"/>
                  <w:tcBorders>
                    <w:left w:val="single" w:color="auto" w:sz="4" w:space="0"/>
                  </w:tcBorders>
                  <w:vAlign w:val="center"/>
                </w:tcPr>
                <w:p w14:paraId="4801127C">
                  <w:pPr>
                    <w:snapToGrid w:val="0"/>
                    <w:spacing w:line="320" w:lineRule="exact"/>
                    <w:ind w:left="-101" w:leftChars="-49" w:hanging="2"/>
                    <w:jc w:val="center"/>
                    <w:rPr>
                      <w:rFonts w:hint="default" w:eastAsia="宋体"/>
                      <w:color w:val="auto"/>
                      <w:sz w:val="18"/>
                      <w:szCs w:val="18"/>
                      <w:lang w:val="en-US" w:eastAsia="zh-CN"/>
                    </w:rPr>
                  </w:pPr>
                  <w:r>
                    <w:rPr>
                      <w:rFonts w:hint="eastAsia"/>
                      <w:color w:val="auto"/>
                      <w:sz w:val="18"/>
                      <w:szCs w:val="18"/>
                      <w:lang w:val="en-US" w:eastAsia="zh-CN"/>
                    </w:rPr>
                    <w:t>0.5</w:t>
                  </w:r>
                </w:p>
              </w:tc>
              <w:tc>
                <w:tcPr>
                  <w:tcW w:w="1898" w:type="pct"/>
                  <w:gridSpan w:val="2"/>
                  <w:tcBorders>
                    <w:right w:val="single" w:color="auto" w:sz="4" w:space="0"/>
                  </w:tcBorders>
                  <w:vAlign w:val="center"/>
                </w:tcPr>
                <w:p w14:paraId="78AD4908">
                  <w:pPr>
                    <w:keepNext w:val="0"/>
                    <w:keepLines w:val="0"/>
                    <w:widowControl/>
                    <w:suppressLineNumbers w:val="0"/>
                    <w:jc w:val="center"/>
                    <w:rPr>
                      <w:color w:val="auto"/>
                      <w:sz w:val="18"/>
                      <w:szCs w:val="18"/>
                    </w:rPr>
                  </w:pPr>
                  <w:r>
                    <w:rPr>
                      <w:rFonts w:hint="eastAsia" w:ascii="宋体" w:hAnsi="宋体" w:eastAsia="宋体" w:cs="宋体"/>
                      <w:color w:val="000000"/>
                      <w:kern w:val="0"/>
                      <w:sz w:val="18"/>
                      <w:szCs w:val="18"/>
                      <w:lang w:val="en-US" w:eastAsia="zh-CN" w:bidi="ar"/>
                    </w:rPr>
                    <w:t xml:space="preserve">总 </w:t>
                  </w:r>
                  <w:r>
                    <w:rPr>
                      <w:rFonts w:hint="default" w:ascii="Times New Roman" w:hAnsi="Times New Roman" w:eastAsia="宋体" w:cs="Times New Roman"/>
                      <w:color w:val="000000"/>
                      <w:kern w:val="0"/>
                      <w:sz w:val="18"/>
                      <w:szCs w:val="18"/>
                      <w:lang w:val="en-US" w:eastAsia="zh-CN" w:bidi="ar"/>
                    </w:rPr>
                    <w:t>A(Bq/L)</w:t>
                  </w:r>
                </w:p>
              </w:tc>
              <w:tc>
                <w:tcPr>
                  <w:tcW w:w="601" w:type="pct"/>
                  <w:tcBorders>
                    <w:left w:val="single" w:color="auto" w:sz="4" w:space="0"/>
                  </w:tcBorders>
                  <w:vAlign w:val="center"/>
                </w:tcPr>
                <w:p w14:paraId="069D8CF5">
                  <w:pPr>
                    <w:snapToGrid w:val="0"/>
                    <w:spacing w:line="320" w:lineRule="exact"/>
                    <w:ind w:left="-101" w:leftChars="-49" w:hanging="2" w:firstLineChars="0"/>
                    <w:jc w:val="center"/>
                    <w:rPr>
                      <w:rFonts w:hint="default" w:eastAsia="宋体"/>
                      <w:color w:val="auto"/>
                      <w:sz w:val="18"/>
                      <w:szCs w:val="18"/>
                      <w:lang w:val="en-US" w:eastAsia="zh-CN"/>
                    </w:rPr>
                  </w:pPr>
                  <w:r>
                    <w:rPr>
                      <w:rFonts w:hint="eastAsia"/>
                      <w:color w:val="auto"/>
                      <w:sz w:val="18"/>
                      <w:szCs w:val="18"/>
                      <w:lang w:val="en-US" w:eastAsia="zh-CN"/>
                    </w:rPr>
                    <w:t>1.0</w:t>
                  </w:r>
                </w:p>
              </w:tc>
            </w:tr>
            <w:tr w14:paraId="5505EF2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cantSplit/>
                <w:trHeight w:val="113" w:hRule="atLeast"/>
              </w:trPr>
              <w:tc>
                <w:tcPr>
                  <w:tcW w:w="1898" w:type="pct"/>
                  <w:gridSpan w:val="2"/>
                  <w:tcBorders>
                    <w:right w:val="single" w:color="auto" w:sz="4" w:space="0"/>
                  </w:tcBorders>
                  <w:vAlign w:val="center"/>
                </w:tcPr>
                <w:p w14:paraId="4DA296D9">
                  <w:pPr>
                    <w:keepNext w:val="0"/>
                    <w:keepLines w:val="0"/>
                    <w:widowControl/>
                    <w:suppressLineNumbers w:val="0"/>
                    <w:jc w:val="center"/>
                    <w:rPr>
                      <w:color w:val="auto"/>
                      <w:sz w:val="18"/>
                      <w:szCs w:val="18"/>
                    </w:rPr>
                  </w:pPr>
                  <w:r>
                    <w:rPr>
                      <w:rFonts w:hint="eastAsia" w:ascii="宋体" w:hAnsi="宋体" w:eastAsia="宋体" w:cs="宋体"/>
                      <w:color w:val="000000"/>
                      <w:kern w:val="0"/>
                      <w:sz w:val="18"/>
                      <w:szCs w:val="18"/>
                      <w:lang w:val="en-US" w:eastAsia="zh-CN" w:bidi="ar"/>
                    </w:rPr>
                    <w:t>总铅</w:t>
                  </w:r>
                  <w:r>
                    <w:rPr>
                      <w:rFonts w:hint="default" w:ascii="Times New Roman" w:hAnsi="Times New Roman" w:eastAsia="宋体" w:cs="Times New Roman"/>
                      <w:color w:val="000000"/>
                      <w:kern w:val="0"/>
                      <w:sz w:val="18"/>
                      <w:szCs w:val="18"/>
                      <w:lang w:val="en-US" w:eastAsia="zh-CN" w:bidi="ar"/>
                    </w:rPr>
                    <w:t>(mg/L)</w:t>
                  </w:r>
                </w:p>
              </w:tc>
              <w:tc>
                <w:tcPr>
                  <w:tcW w:w="601" w:type="pct"/>
                  <w:tcBorders>
                    <w:left w:val="single" w:color="auto" w:sz="4" w:space="0"/>
                  </w:tcBorders>
                  <w:vAlign w:val="center"/>
                </w:tcPr>
                <w:p w14:paraId="5881F6A4">
                  <w:pPr>
                    <w:snapToGrid w:val="0"/>
                    <w:spacing w:line="320" w:lineRule="exact"/>
                    <w:ind w:left="-101" w:leftChars="-49" w:hanging="2"/>
                    <w:jc w:val="center"/>
                    <w:rPr>
                      <w:rFonts w:hint="default" w:eastAsia="宋体"/>
                      <w:color w:val="auto"/>
                      <w:sz w:val="18"/>
                      <w:szCs w:val="18"/>
                      <w:lang w:val="en-US" w:eastAsia="zh-CN"/>
                    </w:rPr>
                  </w:pPr>
                  <w:r>
                    <w:rPr>
                      <w:rFonts w:hint="eastAsia"/>
                      <w:color w:val="auto"/>
                      <w:sz w:val="18"/>
                      <w:szCs w:val="18"/>
                      <w:lang w:val="en-US" w:eastAsia="zh-CN"/>
                    </w:rPr>
                    <w:t>1.0</w:t>
                  </w:r>
                </w:p>
              </w:tc>
              <w:tc>
                <w:tcPr>
                  <w:tcW w:w="1898" w:type="pct"/>
                  <w:gridSpan w:val="2"/>
                  <w:tcBorders>
                    <w:right w:val="single" w:color="auto" w:sz="4" w:space="0"/>
                  </w:tcBorders>
                  <w:vAlign w:val="center"/>
                </w:tcPr>
                <w:p w14:paraId="60D877BC">
                  <w:pPr>
                    <w:keepNext w:val="0"/>
                    <w:keepLines w:val="0"/>
                    <w:widowControl/>
                    <w:suppressLineNumbers w:val="0"/>
                    <w:jc w:val="center"/>
                    <w:rPr>
                      <w:color w:val="auto"/>
                      <w:sz w:val="18"/>
                      <w:szCs w:val="18"/>
                    </w:rPr>
                  </w:pPr>
                  <w:r>
                    <w:rPr>
                      <w:rFonts w:hint="eastAsia" w:ascii="宋体" w:hAnsi="宋体" w:eastAsia="宋体" w:cs="宋体"/>
                      <w:color w:val="000000"/>
                      <w:kern w:val="0"/>
                      <w:sz w:val="18"/>
                      <w:szCs w:val="18"/>
                      <w:lang w:val="en-US" w:eastAsia="zh-CN" w:bidi="ar"/>
                    </w:rPr>
                    <w:t xml:space="preserve">总 </w:t>
                  </w:r>
                  <w:r>
                    <w:rPr>
                      <w:rFonts w:hint="default" w:ascii="Times New Roman" w:hAnsi="Times New Roman" w:eastAsia="宋体" w:cs="Times New Roman"/>
                      <w:color w:val="000000"/>
                      <w:kern w:val="0"/>
                      <w:sz w:val="18"/>
                      <w:szCs w:val="18"/>
                      <w:lang w:val="en-US" w:eastAsia="zh-CN" w:bidi="ar"/>
                    </w:rPr>
                    <w:t>B(Bq/L)</w:t>
                  </w:r>
                </w:p>
              </w:tc>
              <w:tc>
                <w:tcPr>
                  <w:tcW w:w="601" w:type="pct"/>
                  <w:tcBorders>
                    <w:left w:val="single" w:color="auto" w:sz="4" w:space="0"/>
                  </w:tcBorders>
                  <w:vAlign w:val="center"/>
                </w:tcPr>
                <w:p w14:paraId="4B3C1AC9">
                  <w:pPr>
                    <w:snapToGrid w:val="0"/>
                    <w:spacing w:line="320" w:lineRule="exact"/>
                    <w:ind w:left="-101" w:leftChars="-49" w:hanging="2" w:firstLineChars="0"/>
                    <w:jc w:val="center"/>
                    <w:rPr>
                      <w:rFonts w:hint="eastAsia" w:eastAsia="宋体"/>
                      <w:color w:val="auto"/>
                      <w:sz w:val="18"/>
                      <w:szCs w:val="18"/>
                      <w:lang w:val="en-US" w:eastAsia="zh-CN"/>
                    </w:rPr>
                  </w:pPr>
                  <w:r>
                    <w:rPr>
                      <w:rFonts w:hint="eastAsia"/>
                      <w:color w:val="auto"/>
                      <w:sz w:val="18"/>
                      <w:szCs w:val="18"/>
                      <w:lang w:val="en-US" w:eastAsia="zh-CN"/>
                    </w:rPr>
                    <w:t>10</w:t>
                  </w:r>
                </w:p>
              </w:tc>
            </w:tr>
            <w:tr w14:paraId="4C047EB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cantSplit/>
                <w:trHeight w:val="113" w:hRule="atLeast"/>
              </w:trPr>
              <w:tc>
                <w:tcPr>
                  <w:tcW w:w="1898" w:type="pct"/>
                  <w:gridSpan w:val="2"/>
                  <w:tcBorders>
                    <w:right w:val="single" w:color="auto" w:sz="4" w:space="0"/>
                  </w:tcBorders>
                  <w:vAlign w:val="center"/>
                </w:tcPr>
                <w:p w14:paraId="7F8E1D72">
                  <w:pPr>
                    <w:keepNext w:val="0"/>
                    <w:keepLines w:val="0"/>
                    <w:widowControl/>
                    <w:suppressLineNumbers w:val="0"/>
                    <w:jc w:val="center"/>
                    <w:rPr>
                      <w:color w:val="auto"/>
                      <w:sz w:val="18"/>
                      <w:szCs w:val="18"/>
                    </w:rPr>
                  </w:pPr>
                  <w:r>
                    <w:rPr>
                      <w:rFonts w:hint="eastAsia" w:ascii="宋体" w:hAnsi="宋体" w:eastAsia="宋体" w:cs="宋体"/>
                      <w:color w:val="000000"/>
                      <w:kern w:val="0"/>
                      <w:sz w:val="18"/>
                      <w:szCs w:val="18"/>
                      <w:lang w:val="en-US" w:eastAsia="zh-CN" w:bidi="ar"/>
                    </w:rPr>
                    <w:t>总银</w:t>
                  </w:r>
                  <w:r>
                    <w:rPr>
                      <w:rFonts w:hint="default" w:ascii="Times New Roman" w:hAnsi="Times New Roman" w:eastAsia="宋体" w:cs="Times New Roman"/>
                      <w:color w:val="000000"/>
                      <w:kern w:val="0"/>
                      <w:sz w:val="18"/>
                      <w:szCs w:val="18"/>
                      <w:lang w:val="en-US" w:eastAsia="zh-CN" w:bidi="ar"/>
                    </w:rPr>
                    <w:t>(mg/L)</w:t>
                  </w:r>
                </w:p>
              </w:tc>
              <w:tc>
                <w:tcPr>
                  <w:tcW w:w="601" w:type="pct"/>
                  <w:tcBorders>
                    <w:left w:val="single" w:color="auto" w:sz="4" w:space="0"/>
                  </w:tcBorders>
                  <w:vAlign w:val="center"/>
                </w:tcPr>
                <w:p w14:paraId="0E91414E">
                  <w:pPr>
                    <w:snapToGrid w:val="0"/>
                    <w:spacing w:line="320" w:lineRule="exact"/>
                    <w:ind w:left="-101" w:leftChars="-49" w:hanging="2"/>
                    <w:jc w:val="center"/>
                    <w:rPr>
                      <w:rFonts w:hint="default" w:eastAsia="宋体"/>
                      <w:color w:val="auto"/>
                      <w:sz w:val="18"/>
                      <w:szCs w:val="18"/>
                      <w:lang w:val="en-US" w:eastAsia="zh-CN"/>
                    </w:rPr>
                  </w:pPr>
                  <w:r>
                    <w:rPr>
                      <w:rFonts w:hint="eastAsia"/>
                      <w:color w:val="auto"/>
                      <w:sz w:val="18"/>
                      <w:szCs w:val="18"/>
                      <w:lang w:val="en-US" w:eastAsia="zh-CN"/>
                    </w:rPr>
                    <w:t>0.5</w:t>
                  </w:r>
                </w:p>
              </w:tc>
              <w:tc>
                <w:tcPr>
                  <w:tcW w:w="1898" w:type="pct"/>
                  <w:gridSpan w:val="2"/>
                  <w:tcBorders>
                    <w:right w:val="single" w:color="auto" w:sz="4" w:space="0"/>
                  </w:tcBorders>
                  <w:vAlign w:val="center"/>
                </w:tcPr>
                <w:p w14:paraId="63C255F6">
                  <w:pPr>
                    <w:keepNext w:val="0"/>
                    <w:keepLines w:val="0"/>
                    <w:widowControl/>
                    <w:suppressLineNumbers w:val="0"/>
                    <w:jc w:val="center"/>
                    <w:rPr>
                      <w:color w:val="auto"/>
                      <w:sz w:val="18"/>
                      <w:szCs w:val="18"/>
                    </w:rPr>
                  </w:pPr>
                  <w:r>
                    <w:rPr>
                      <w:rFonts w:hint="eastAsia" w:ascii="宋体" w:hAnsi="宋体" w:eastAsia="宋体" w:cs="宋体"/>
                      <w:color w:val="000000"/>
                      <w:kern w:val="0"/>
                      <w:sz w:val="18"/>
                      <w:szCs w:val="18"/>
                      <w:lang w:val="en-US" w:eastAsia="zh-CN" w:bidi="ar"/>
                    </w:rPr>
                    <w:t>总余氯</w:t>
                  </w:r>
                  <w:r>
                    <w:rPr>
                      <w:rFonts w:hint="default" w:ascii="Times New Roman" w:hAnsi="Times New Roman" w:eastAsia="宋体" w:cs="Times New Roman"/>
                      <w:color w:val="000000"/>
                      <w:kern w:val="0"/>
                      <w:sz w:val="18"/>
                      <w:szCs w:val="18"/>
                      <w:lang w:val="en-US" w:eastAsia="zh-CN" w:bidi="ar"/>
                    </w:rPr>
                    <w:t>(mg/L)</w:t>
                  </w:r>
                </w:p>
              </w:tc>
              <w:tc>
                <w:tcPr>
                  <w:tcW w:w="601" w:type="pct"/>
                  <w:tcBorders>
                    <w:left w:val="single" w:color="auto" w:sz="4" w:space="0"/>
                  </w:tcBorders>
                  <w:vAlign w:val="center"/>
                </w:tcPr>
                <w:p w14:paraId="66E43A6A">
                  <w:pPr>
                    <w:snapToGrid w:val="0"/>
                    <w:spacing w:line="320" w:lineRule="exact"/>
                    <w:ind w:left="-101" w:leftChars="-49" w:hanging="2" w:firstLineChars="0"/>
                    <w:jc w:val="center"/>
                    <w:rPr>
                      <w:color w:val="auto"/>
                      <w:sz w:val="18"/>
                      <w:szCs w:val="18"/>
                    </w:rPr>
                  </w:pPr>
                  <w:r>
                    <w:rPr>
                      <w:rFonts w:hint="eastAsia"/>
                      <w:color w:val="auto"/>
                      <w:sz w:val="18"/>
                      <w:szCs w:val="18"/>
                      <w:lang w:val="en-US" w:eastAsia="zh-CN"/>
                    </w:rPr>
                    <w:t>-</w:t>
                  </w:r>
                </w:p>
              </w:tc>
            </w:tr>
          </w:tbl>
          <w:p w14:paraId="4E2172F8">
            <w:pPr>
              <w:spacing w:line="360" w:lineRule="auto"/>
              <w:ind w:firstLine="420" w:firstLineChars="200"/>
              <w:rPr>
                <w:color w:val="auto"/>
                <w:szCs w:val="21"/>
              </w:rPr>
            </w:pPr>
            <w:r>
              <w:rPr>
                <w:rFonts w:hint="eastAsia"/>
                <w:color w:val="auto"/>
                <w:szCs w:val="21"/>
                <w:lang w:val="en-US" w:eastAsia="zh-CN"/>
              </w:rPr>
              <w:t>根据</w:t>
            </w:r>
            <w:r>
              <w:rPr>
                <w:rFonts w:hint="eastAsia" w:ascii="Times New Roman" w:hAnsi="Times New Roman" w:eastAsia="宋体" w:cs="Times New Roman"/>
                <w:b w:val="0"/>
                <w:bCs w:val="0"/>
                <w:color w:val="auto"/>
                <w:szCs w:val="21"/>
                <w:lang w:val="en-US" w:eastAsia="zh-CN"/>
              </w:rPr>
              <w:t>《大同经济技术开发区起步区控制性详细规划（现代服务产业园区）（2021-2035年）环境影响报告书》</w:t>
            </w:r>
            <w:r>
              <w:rPr>
                <w:rFonts w:hint="eastAsia" w:cs="Times New Roman"/>
                <w:b w:val="0"/>
                <w:bCs w:val="0"/>
                <w:color w:val="auto"/>
                <w:szCs w:val="21"/>
                <w:lang w:val="en-US" w:eastAsia="zh-CN"/>
              </w:rPr>
              <w:t>中要求，</w:t>
            </w:r>
            <w:r>
              <w:rPr>
                <w:color w:val="auto"/>
                <w:szCs w:val="21"/>
              </w:rPr>
              <w:t>项目</w:t>
            </w:r>
            <w:r>
              <w:rPr>
                <w:rFonts w:hint="eastAsia"/>
                <w:color w:val="auto"/>
                <w:szCs w:val="21"/>
                <w:lang w:val="en-US" w:eastAsia="zh-CN"/>
              </w:rPr>
              <w:t>所在区域</w:t>
            </w:r>
            <w:r>
              <w:rPr>
                <w:color w:val="auto"/>
                <w:szCs w:val="21"/>
              </w:rPr>
              <w:t>营运期</w:t>
            </w:r>
            <w:r>
              <w:rPr>
                <w:rFonts w:hint="eastAsia"/>
                <w:color w:val="auto"/>
                <w:szCs w:val="21"/>
                <w:highlight w:val="none"/>
                <w:lang w:val="en-US" w:eastAsia="zh-CN"/>
              </w:rPr>
              <w:t>废水执行</w:t>
            </w:r>
            <w:r>
              <w:rPr>
                <w:color w:val="auto"/>
                <w:szCs w:val="21"/>
                <w:highlight w:val="none"/>
              </w:rPr>
              <w:t>《</w:t>
            </w:r>
            <w:r>
              <w:rPr>
                <w:rFonts w:hint="eastAsia"/>
                <w:color w:val="auto"/>
                <w:szCs w:val="21"/>
                <w:highlight w:val="none"/>
              </w:rPr>
              <w:t>污水</w:t>
            </w:r>
            <w:r>
              <w:rPr>
                <w:color w:val="auto"/>
                <w:szCs w:val="21"/>
                <w:highlight w:val="none"/>
              </w:rPr>
              <w:t>排入城镇下水道水质标准》（GB/T</w:t>
            </w:r>
            <w:r>
              <w:rPr>
                <w:rFonts w:hint="eastAsia"/>
                <w:color w:val="auto"/>
                <w:szCs w:val="21"/>
                <w:highlight w:val="none"/>
              </w:rPr>
              <w:t xml:space="preserve"> 31962-2015</w:t>
            </w:r>
            <w:r>
              <w:rPr>
                <w:color w:val="auto"/>
                <w:szCs w:val="21"/>
                <w:highlight w:val="none"/>
              </w:rPr>
              <w:t>）中</w:t>
            </w:r>
            <w:r>
              <w:rPr>
                <w:rFonts w:hint="eastAsia"/>
                <w:color w:val="auto"/>
                <w:szCs w:val="21"/>
                <w:highlight w:val="none"/>
                <w:lang w:val="en-US" w:eastAsia="zh-CN"/>
              </w:rPr>
              <w:t>B</w:t>
            </w:r>
            <w:r>
              <w:rPr>
                <w:rFonts w:hint="eastAsia"/>
                <w:color w:val="auto"/>
                <w:szCs w:val="21"/>
                <w:highlight w:val="none"/>
              </w:rPr>
              <w:t>级</w:t>
            </w:r>
            <w:r>
              <w:rPr>
                <w:color w:val="auto"/>
                <w:szCs w:val="21"/>
                <w:highlight w:val="none"/>
              </w:rPr>
              <w:t>标准要求。</w:t>
            </w:r>
          </w:p>
          <w:p w14:paraId="65BB3F23">
            <w:pPr>
              <w:spacing w:line="240" w:lineRule="exact"/>
              <w:ind w:firstLine="361" w:firstLineChars="200"/>
              <w:jc w:val="center"/>
              <w:rPr>
                <w:color w:val="auto"/>
                <w:sz w:val="18"/>
                <w:szCs w:val="18"/>
              </w:rPr>
            </w:pPr>
            <w:r>
              <w:rPr>
                <w:b/>
                <w:bCs/>
                <w:color w:val="auto"/>
                <w:sz w:val="18"/>
                <w:szCs w:val="18"/>
              </w:rPr>
              <w:t>表</w:t>
            </w:r>
            <w:r>
              <w:rPr>
                <w:rFonts w:hint="eastAsia"/>
                <w:b/>
                <w:bCs/>
                <w:color w:val="auto"/>
                <w:sz w:val="18"/>
                <w:szCs w:val="18"/>
              </w:rPr>
              <w:t>3</w:t>
            </w:r>
            <w:r>
              <w:rPr>
                <w:b/>
                <w:bCs/>
                <w:color w:val="auto"/>
                <w:sz w:val="18"/>
                <w:szCs w:val="18"/>
              </w:rPr>
              <w:t>-</w:t>
            </w:r>
            <w:r>
              <w:rPr>
                <w:rFonts w:hint="eastAsia"/>
                <w:b/>
                <w:bCs/>
                <w:color w:val="auto"/>
                <w:sz w:val="18"/>
                <w:szCs w:val="18"/>
                <w:lang w:val="en-US" w:eastAsia="zh-CN"/>
              </w:rPr>
              <w:t>9</w:t>
            </w:r>
            <w:r>
              <w:rPr>
                <w:rFonts w:hint="eastAsia"/>
                <w:b/>
                <w:bCs/>
                <w:color w:val="auto"/>
                <w:sz w:val="18"/>
                <w:szCs w:val="18"/>
              </w:rPr>
              <w:t xml:space="preserve">    污水</w:t>
            </w:r>
            <w:r>
              <w:rPr>
                <w:b/>
                <w:bCs/>
                <w:color w:val="auto"/>
                <w:sz w:val="18"/>
                <w:szCs w:val="18"/>
              </w:rPr>
              <w:t>排入城镇下水道水质标准</w:t>
            </w:r>
          </w:p>
          <w:tbl>
            <w:tblPr>
              <w:tblStyle w:val="47"/>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28" w:type="dxa"/>
                <w:bottom w:w="0" w:type="dxa"/>
                <w:right w:w="28" w:type="dxa"/>
              </w:tblCellMar>
            </w:tblPr>
            <w:tblGrid>
              <w:gridCol w:w="3746"/>
              <w:gridCol w:w="2342"/>
              <w:gridCol w:w="1856"/>
            </w:tblGrid>
            <w:tr w14:paraId="659C9C3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cantSplit/>
                <w:trHeight w:val="113" w:hRule="atLeast"/>
              </w:trPr>
              <w:tc>
                <w:tcPr>
                  <w:tcW w:w="2357" w:type="pct"/>
                  <w:vMerge w:val="restart"/>
                  <w:vAlign w:val="center"/>
                </w:tcPr>
                <w:p w14:paraId="288AAF5F">
                  <w:pPr>
                    <w:snapToGrid w:val="0"/>
                    <w:spacing w:line="320" w:lineRule="exact"/>
                    <w:ind w:left="-101" w:leftChars="-49" w:hanging="2"/>
                    <w:jc w:val="center"/>
                    <w:rPr>
                      <w:color w:val="auto"/>
                      <w:sz w:val="18"/>
                      <w:szCs w:val="18"/>
                    </w:rPr>
                  </w:pPr>
                  <w:r>
                    <w:rPr>
                      <w:rFonts w:hint="eastAsia"/>
                      <w:color w:val="auto"/>
                      <w:sz w:val="18"/>
                      <w:szCs w:val="18"/>
                    </w:rPr>
                    <w:t>污水</w:t>
                  </w:r>
                  <w:r>
                    <w:rPr>
                      <w:color w:val="auto"/>
                      <w:sz w:val="18"/>
                      <w:szCs w:val="18"/>
                    </w:rPr>
                    <w:t>排入城镇下水道水质标准（GB/T</w:t>
                  </w:r>
                  <w:r>
                    <w:rPr>
                      <w:rFonts w:hint="eastAsia"/>
                      <w:color w:val="auto"/>
                      <w:sz w:val="18"/>
                      <w:szCs w:val="18"/>
                    </w:rPr>
                    <w:t xml:space="preserve"> 31962-2015</w:t>
                  </w:r>
                  <w:r>
                    <w:rPr>
                      <w:color w:val="auto"/>
                      <w:sz w:val="18"/>
                      <w:szCs w:val="18"/>
                    </w:rPr>
                    <w:t>）中</w:t>
                  </w:r>
                  <w:r>
                    <w:rPr>
                      <w:rFonts w:hint="eastAsia"/>
                      <w:color w:val="auto"/>
                      <w:sz w:val="18"/>
                      <w:szCs w:val="18"/>
                      <w:lang w:val="en-US" w:eastAsia="zh-CN"/>
                    </w:rPr>
                    <w:t>B</w:t>
                  </w:r>
                  <w:r>
                    <w:rPr>
                      <w:rFonts w:hint="eastAsia"/>
                      <w:color w:val="auto"/>
                      <w:sz w:val="18"/>
                      <w:szCs w:val="18"/>
                    </w:rPr>
                    <w:t>级</w:t>
                  </w:r>
                  <w:r>
                    <w:rPr>
                      <w:color w:val="auto"/>
                      <w:sz w:val="18"/>
                      <w:szCs w:val="18"/>
                    </w:rPr>
                    <w:t>标准要求</w:t>
                  </w:r>
                </w:p>
              </w:tc>
              <w:tc>
                <w:tcPr>
                  <w:tcW w:w="1474" w:type="pct"/>
                  <w:vAlign w:val="center"/>
                </w:tcPr>
                <w:p w14:paraId="203FE56D">
                  <w:pPr>
                    <w:snapToGrid w:val="0"/>
                    <w:spacing w:line="320" w:lineRule="exact"/>
                    <w:ind w:left="-101" w:leftChars="-49" w:hanging="2"/>
                    <w:jc w:val="center"/>
                    <w:rPr>
                      <w:rFonts w:hint="eastAsia" w:eastAsia="宋体"/>
                      <w:color w:val="auto"/>
                      <w:sz w:val="18"/>
                      <w:szCs w:val="18"/>
                      <w:lang w:val="en-US" w:eastAsia="zh-CN"/>
                    </w:rPr>
                  </w:pPr>
                  <w:r>
                    <w:rPr>
                      <w:rFonts w:hint="eastAsia"/>
                      <w:color w:val="auto"/>
                      <w:sz w:val="18"/>
                      <w:szCs w:val="18"/>
                      <w:lang w:val="en-US" w:eastAsia="zh-CN"/>
                    </w:rPr>
                    <w:t>pH</w:t>
                  </w:r>
                </w:p>
              </w:tc>
              <w:tc>
                <w:tcPr>
                  <w:tcW w:w="1168" w:type="pct"/>
                  <w:vAlign w:val="center"/>
                </w:tcPr>
                <w:p w14:paraId="52DF72F5">
                  <w:pPr>
                    <w:snapToGrid w:val="0"/>
                    <w:spacing w:line="320" w:lineRule="exact"/>
                    <w:ind w:left="-101" w:leftChars="-49" w:hanging="2"/>
                    <w:jc w:val="center"/>
                    <w:rPr>
                      <w:rFonts w:hint="default" w:eastAsia="宋体"/>
                      <w:color w:val="auto"/>
                      <w:sz w:val="18"/>
                      <w:szCs w:val="18"/>
                      <w:lang w:val="en-US" w:eastAsia="zh-CN"/>
                    </w:rPr>
                  </w:pPr>
                  <w:r>
                    <w:rPr>
                      <w:rFonts w:hint="eastAsia"/>
                      <w:color w:val="auto"/>
                      <w:sz w:val="18"/>
                      <w:szCs w:val="18"/>
                      <w:lang w:val="en-US" w:eastAsia="zh-CN"/>
                    </w:rPr>
                    <w:t>6.5-9.5</w:t>
                  </w:r>
                </w:p>
              </w:tc>
            </w:tr>
            <w:tr w14:paraId="6456CA4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cantSplit/>
                <w:trHeight w:val="113" w:hRule="atLeast"/>
              </w:trPr>
              <w:tc>
                <w:tcPr>
                  <w:tcW w:w="2357" w:type="pct"/>
                  <w:vMerge w:val="continue"/>
                  <w:vAlign w:val="center"/>
                </w:tcPr>
                <w:p w14:paraId="0C5CCD0F">
                  <w:pPr>
                    <w:snapToGrid w:val="0"/>
                    <w:spacing w:line="320" w:lineRule="exact"/>
                    <w:ind w:left="-101" w:leftChars="-49" w:hanging="2"/>
                    <w:jc w:val="center"/>
                    <w:rPr>
                      <w:rFonts w:hint="eastAsia"/>
                      <w:color w:val="auto"/>
                      <w:sz w:val="18"/>
                      <w:szCs w:val="18"/>
                    </w:rPr>
                  </w:pPr>
                </w:p>
              </w:tc>
              <w:tc>
                <w:tcPr>
                  <w:tcW w:w="1474" w:type="pct"/>
                  <w:vAlign w:val="center"/>
                </w:tcPr>
                <w:p w14:paraId="179A07E9">
                  <w:pPr>
                    <w:snapToGrid w:val="0"/>
                    <w:spacing w:line="320" w:lineRule="exact"/>
                    <w:ind w:left="-101" w:leftChars="-49" w:hanging="2" w:firstLineChars="0"/>
                    <w:jc w:val="center"/>
                    <w:rPr>
                      <w:rFonts w:ascii="Times New Roman" w:hAnsi="Times New Roman" w:eastAsia="宋体" w:cs="Times New Roman"/>
                      <w:color w:val="auto"/>
                      <w:kern w:val="2"/>
                      <w:sz w:val="18"/>
                      <w:szCs w:val="18"/>
                      <w:lang w:val="en-US" w:eastAsia="zh-CN" w:bidi="ar-SA"/>
                    </w:rPr>
                  </w:pPr>
                  <w:r>
                    <w:rPr>
                      <w:color w:val="auto"/>
                      <w:sz w:val="18"/>
                      <w:szCs w:val="18"/>
                    </w:rPr>
                    <w:t>BOD</w:t>
                  </w:r>
                  <w:r>
                    <w:rPr>
                      <w:color w:val="auto"/>
                      <w:sz w:val="18"/>
                      <w:szCs w:val="18"/>
                      <w:vertAlign w:val="subscript"/>
                    </w:rPr>
                    <w:t>5</w:t>
                  </w:r>
                </w:p>
              </w:tc>
              <w:tc>
                <w:tcPr>
                  <w:tcW w:w="1168" w:type="pct"/>
                  <w:vAlign w:val="center"/>
                </w:tcPr>
                <w:p w14:paraId="110A9C7B">
                  <w:pPr>
                    <w:snapToGrid w:val="0"/>
                    <w:spacing w:line="320" w:lineRule="exact"/>
                    <w:ind w:left="-101" w:leftChars="-49" w:hanging="2" w:firstLineChars="0"/>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35</w:t>
                  </w:r>
                  <w:r>
                    <w:rPr>
                      <w:color w:val="auto"/>
                      <w:sz w:val="18"/>
                      <w:szCs w:val="18"/>
                    </w:rPr>
                    <w:t>0mg/L</w:t>
                  </w:r>
                </w:p>
              </w:tc>
            </w:tr>
            <w:tr w14:paraId="41F07B6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cantSplit/>
                <w:trHeight w:val="113" w:hRule="atLeast"/>
              </w:trPr>
              <w:tc>
                <w:tcPr>
                  <w:tcW w:w="2357" w:type="pct"/>
                  <w:vMerge w:val="continue"/>
                  <w:vAlign w:val="center"/>
                </w:tcPr>
                <w:p w14:paraId="6D497DEC">
                  <w:pPr>
                    <w:snapToGrid w:val="0"/>
                    <w:spacing w:line="320" w:lineRule="exact"/>
                    <w:ind w:left="-101" w:leftChars="-49" w:hanging="2"/>
                    <w:jc w:val="center"/>
                    <w:rPr>
                      <w:color w:val="auto"/>
                      <w:sz w:val="18"/>
                      <w:szCs w:val="18"/>
                    </w:rPr>
                  </w:pPr>
                </w:p>
              </w:tc>
              <w:tc>
                <w:tcPr>
                  <w:tcW w:w="1474" w:type="pct"/>
                  <w:vAlign w:val="center"/>
                </w:tcPr>
                <w:p w14:paraId="4C6F5D9C">
                  <w:pPr>
                    <w:snapToGrid w:val="0"/>
                    <w:spacing w:line="320" w:lineRule="exact"/>
                    <w:ind w:left="-101" w:leftChars="-49" w:hanging="2"/>
                    <w:jc w:val="center"/>
                    <w:rPr>
                      <w:color w:val="auto"/>
                      <w:sz w:val="18"/>
                      <w:szCs w:val="18"/>
                    </w:rPr>
                  </w:pPr>
                  <w:r>
                    <w:rPr>
                      <w:rFonts w:hint="eastAsia"/>
                      <w:color w:val="auto"/>
                      <w:sz w:val="18"/>
                      <w:szCs w:val="18"/>
                    </w:rPr>
                    <w:t>SS</w:t>
                  </w:r>
                </w:p>
              </w:tc>
              <w:tc>
                <w:tcPr>
                  <w:tcW w:w="1168" w:type="pct"/>
                  <w:vAlign w:val="center"/>
                </w:tcPr>
                <w:p w14:paraId="29248148">
                  <w:pPr>
                    <w:snapToGrid w:val="0"/>
                    <w:spacing w:line="320" w:lineRule="exact"/>
                    <w:ind w:left="-101" w:leftChars="-49" w:hanging="2"/>
                    <w:jc w:val="center"/>
                    <w:rPr>
                      <w:color w:val="auto"/>
                      <w:sz w:val="18"/>
                      <w:szCs w:val="18"/>
                    </w:rPr>
                  </w:pPr>
                  <w:r>
                    <w:rPr>
                      <w:rFonts w:hint="eastAsia"/>
                      <w:color w:val="auto"/>
                      <w:sz w:val="18"/>
                      <w:szCs w:val="18"/>
                    </w:rPr>
                    <w:t>400</w:t>
                  </w:r>
                  <w:r>
                    <w:rPr>
                      <w:color w:val="auto"/>
                      <w:sz w:val="18"/>
                      <w:szCs w:val="18"/>
                    </w:rPr>
                    <w:t>mg/L</w:t>
                  </w:r>
                </w:p>
              </w:tc>
            </w:tr>
            <w:tr w14:paraId="16A19D6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cantSplit/>
                <w:trHeight w:val="113" w:hRule="atLeast"/>
              </w:trPr>
              <w:tc>
                <w:tcPr>
                  <w:tcW w:w="2357" w:type="pct"/>
                  <w:vMerge w:val="continue"/>
                  <w:vAlign w:val="center"/>
                </w:tcPr>
                <w:p w14:paraId="452430BD">
                  <w:pPr>
                    <w:snapToGrid w:val="0"/>
                    <w:spacing w:line="320" w:lineRule="exact"/>
                    <w:ind w:left="-101" w:leftChars="-49" w:hanging="2"/>
                    <w:jc w:val="center"/>
                    <w:rPr>
                      <w:color w:val="auto"/>
                      <w:sz w:val="18"/>
                      <w:szCs w:val="18"/>
                    </w:rPr>
                  </w:pPr>
                </w:p>
              </w:tc>
              <w:tc>
                <w:tcPr>
                  <w:tcW w:w="1474" w:type="pct"/>
                  <w:vAlign w:val="center"/>
                </w:tcPr>
                <w:p w14:paraId="053EFC8B">
                  <w:pPr>
                    <w:snapToGrid w:val="0"/>
                    <w:spacing w:line="320" w:lineRule="exact"/>
                    <w:ind w:left="-101" w:leftChars="-49" w:hanging="2"/>
                    <w:jc w:val="center"/>
                    <w:rPr>
                      <w:color w:val="auto"/>
                      <w:sz w:val="18"/>
                      <w:szCs w:val="18"/>
                    </w:rPr>
                  </w:pPr>
                  <w:r>
                    <w:rPr>
                      <w:color w:val="auto"/>
                      <w:sz w:val="18"/>
                      <w:szCs w:val="18"/>
                    </w:rPr>
                    <w:t>氨氮</w:t>
                  </w:r>
                </w:p>
              </w:tc>
              <w:tc>
                <w:tcPr>
                  <w:tcW w:w="1168" w:type="pct"/>
                  <w:vAlign w:val="center"/>
                </w:tcPr>
                <w:p w14:paraId="2F77617B">
                  <w:pPr>
                    <w:snapToGrid w:val="0"/>
                    <w:spacing w:line="320" w:lineRule="exact"/>
                    <w:ind w:left="-101" w:leftChars="-49" w:hanging="2"/>
                    <w:jc w:val="center"/>
                    <w:rPr>
                      <w:color w:val="auto"/>
                      <w:sz w:val="18"/>
                      <w:szCs w:val="18"/>
                    </w:rPr>
                  </w:pPr>
                  <w:r>
                    <w:rPr>
                      <w:rFonts w:hint="eastAsia"/>
                      <w:color w:val="auto"/>
                      <w:sz w:val="18"/>
                      <w:szCs w:val="18"/>
                    </w:rPr>
                    <w:t>45</w:t>
                  </w:r>
                  <w:r>
                    <w:rPr>
                      <w:color w:val="auto"/>
                      <w:sz w:val="18"/>
                      <w:szCs w:val="18"/>
                    </w:rPr>
                    <w:t>mg/L</w:t>
                  </w:r>
                </w:p>
              </w:tc>
            </w:tr>
            <w:tr w14:paraId="06B5A94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cantSplit/>
                <w:trHeight w:val="113" w:hRule="atLeast"/>
              </w:trPr>
              <w:tc>
                <w:tcPr>
                  <w:tcW w:w="2357" w:type="pct"/>
                  <w:vMerge w:val="continue"/>
                  <w:vAlign w:val="center"/>
                </w:tcPr>
                <w:p w14:paraId="0E8E66D4">
                  <w:pPr>
                    <w:snapToGrid w:val="0"/>
                    <w:spacing w:line="320" w:lineRule="exact"/>
                    <w:ind w:left="-101" w:leftChars="-49" w:hanging="2"/>
                    <w:jc w:val="center"/>
                    <w:rPr>
                      <w:color w:val="auto"/>
                      <w:sz w:val="18"/>
                      <w:szCs w:val="18"/>
                    </w:rPr>
                  </w:pPr>
                </w:p>
              </w:tc>
              <w:tc>
                <w:tcPr>
                  <w:tcW w:w="1474" w:type="pct"/>
                  <w:vAlign w:val="center"/>
                </w:tcPr>
                <w:p w14:paraId="2844FE14">
                  <w:pPr>
                    <w:snapToGrid w:val="0"/>
                    <w:spacing w:line="320" w:lineRule="exact"/>
                    <w:ind w:left="-101" w:leftChars="-49" w:hanging="2"/>
                    <w:jc w:val="center"/>
                    <w:rPr>
                      <w:color w:val="auto"/>
                      <w:sz w:val="18"/>
                      <w:szCs w:val="18"/>
                    </w:rPr>
                  </w:pPr>
                  <w:r>
                    <w:rPr>
                      <w:rFonts w:hint="eastAsia"/>
                      <w:color w:val="auto"/>
                      <w:sz w:val="18"/>
                      <w:szCs w:val="18"/>
                    </w:rPr>
                    <w:t>COD</w:t>
                  </w:r>
                </w:p>
              </w:tc>
              <w:tc>
                <w:tcPr>
                  <w:tcW w:w="1168" w:type="pct"/>
                  <w:vAlign w:val="center"/>
                </w:tcPr>
                <w:p w14:paraId="125DF571">
                  <w:pPr>
                    <w:snapToGrid w:val="0"/>
                    <w:spacing w:line="320" w:lineRule="exact"/>
                    <w:ind w:left="-101" w:leftChars="-49" w:hanging="2"/>
                    <w:jc w:val="center"/>
                    <w:rPr>
                      <w:color w:val="auto"/>
                      <w:sz w:val="18"/>
                      <w:szCs w:val="18"/>
                    </w:rPr>
                  </w:pPr>
                  <w:r>
                    <w:rPr>
                      <w:rFonts w:hint="eastAsia"/>
                      <w:color w:val="auto"/>
                      <w:sz w:val="18"/>
                      <w:szCs w:val="18"/>
                    </w:rPr>
                    <w:t>50</w:t>
                  </w:r>
                  <w:r>
                    <w:rPr>
                      <w:color w:val="auto"/>
                      <w:sz w:val="18"/>
                      <w:szCs w:val="18"/>
                    </w:rPr>
                    <w:t>0mg/L</w:t>
                  </w:r>
                </w:p>
              </w:tc>
            </w:tr>
          </w:tbl>
          <w:p w14:paraId="0D1A0529">
            <w:pPr>
              <w:spacing w:line="360" w:lineRule="auto"/>
              <w:ind w:firstLine="422" w:firstLineChars="200"/>
              <w:rPr>
                <w:b/>
                <w:color w:val="auto"/>
                <w:szCs w:val="21"/>
              </w:rPr>
            </w:pPr>
            <w:r>
              <w:rPr>
                <w:rFonts w:hint="eastAsia"/>
                <w:b/>
                <w:color w:val="auto"/>
                <w:szCs w:val="21"/>
                <w:lang w:val="en-US" w:eastAsia="zh-CN"/>
              </w:rPr>
              <w:t>3.8</w:t>
            </w:r>
            <w:r>
              <w:rPr>
                <w:b/>
                <w:color w:val="auto"/>
                <w:szCs w:val="21"/>
              </w:rPr>
              <w:t>噪声</w:t>
            </w:r>
          </w:p>
          <w:p w14:paraId="7434A93B">
            <w:pPr>
              <w:spacing w:line="360" w:lineRule="auto"/>
              <w:ind w:firstLine="420" w:firstLineChars="200"/>
              <w:rPr>
                <w:color w:val="auto"/>
                <w:szCs w:val="21"/>
              </w:rPr>
            </w:pPr>
            <w:r>
              <w:rPr>
                <w:color w:val="auto"/>
                <w:szCs w:val="21"/>
              </w:rPr>
              <w:t>施工噪声执行《建筑施工场界环境噪声排放标准》（GB12523-2011）相关要求。</w:t>
            </w:r>
          </w:p>
          <w:p w14:paraId="6CEC2CFF">
            <w:pPr>
              <w:spacing w:line="240" w:lineRule="exact"/>
              <w:jc w:val="center"/>
              <w:rPr>
                <w:b/>
                <w:bCs/>
                <w:color w:val="auto"/>
                <w:sz w:val="18"/>
                <w:szCs w:val="18"/>
              </w:rPr>
            </w:pPr>
            <w:r>
              <w:rPr>
                <w:b/>
                <w:bCs/>
                <w:color w:val="auto"/>
                <w:sz w:val="18"/>
                <w:szCs w:val="18"/>
              </w:rPr>
              <w:t>表3-</w:t>
            </w:r>
            <w:r>
              <w:rPr>
                <w:rFonts w:hint="eastAsia"/>
                <w:b/>
                <w:bCs/>
                <w:color w:val="auto"/>
                <w:sz w:val="18"/>
                <w:szCs w:val="18"/>
                <w:lang w:val="en-US" w:eastAsia="zh-CN"/>
              </w:rPr>
              <w:t>10</w:t>
            </w:r>
            <w:r>
              <w:rPr>
                <w:b/>
                <w:bCs/>
                <w:color w:val="auto"/>
                <w:sz w:val="18"/>
                <w:szCs w:val="18"/>
              </w:rPr>
              <w:t xml:space="preserve">    施工期噪声限值     单位：dB（A）</w:t>
            </w:r>
          </w:p>
          <w:tbl>
            <w:tblPr>
              <w:tblStyle w:val="47"/>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4131"/>
              <w:gridCol w:w="3813"/>
            </w:tblGrid>
            <w:tr w14:paraId="4BD10C6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08" w:hRule="atLeast"/>
                <w:jc w:val="center"/>
              </w:trPr>
              <w:tc>
                <w:tcPr>
                  <w:tcW w:w="2600" w:type="pct"/>
                  <w:vAlign w:val="center"/>
                </w:tcPr>
                <w:p w14:paraId="1D74DD17">
                  <w:pPr>
                    <w:snapToGrid w:val="0"/>
                    <w:spacing w:line="320" w:lineRule="exact"/>
                    <w:ind w:left="-101" w:leftChars="-49" w:hanging="2"/>
                    <w:jc w:val="center"/>
                    <w:rPr>
                      <w:color w:val="auto"/>
                      <w:sz w:val="18"/>
                      <w:szCs w:val="18"/>
                    </w:rPr>
                  </w:pPr>
                  <w:r>
                    <w:rPr>
                      <w:color w:val="auto"/>
                      <w:sz w:val="18"/>
                      <w:szCs w:val="18"/>
                    </w:rPr>
                    <w:t>昼间</w:t>
                  </w:r>
                </w:p>
              </w:tc>
              <w:tc>
                <w:tcPr>
                  <w:tcW w:w="2400" w:type="pct"/>
                  <w:vAlign w:val="center"/>
                </w:tcPr>
                <w:p w14:paraId="4B4B817D">
                  <w:pPr>
                    <w:snapToGrid w:val="0"/>
                    <w:spacing w:line="320" w:lineRule="exact"/>
                    <w:ind w:left="-101" w:leftChars="-49" w:hanging="2"/>
                    <w:jc w:val="center"/>
                    <w:rPr>
                      <w:color w:val="auto"/>
                      <w:sz w:val="18"/>
                      <w:szCs w:val="18"/>
                    </w:rPr>
                  </w:pPr>
                  <w:r>
                    <w:rPr>
                      <w:color w:val="auto"/>
                      <w:sz w:val="18"/>
                      <w:szCs w:val="18"/>
                    </w:rPr>
                    <w:t>夜间</w:t>
                  </w:r>
                </w:p>
              </w:tc>
            </w:tr>
            <w:tr w14:paraId="09AFAB0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5" w:hRule="atLeast"/>
                <w:jc w:val="center"/>
              </w:trPr>
              <w:tc>
                <w:tcPr>
                  <w:tcW w:w="2600" w:type="pct"/>
                  <w:vAlign w:val="center"/>
                </w:tcPr>
                <w:p w14:paraId="034CAD78">
                  <w:pPr>
                    <w:snapToGrid w:val="0"/>
                    <w:spacing w:line="320" w:lineRule="exact"/>
                    <w:ind w:left="-101" w:leftChars="-49" w:hanging="2"/>
                    <w:jc w:val="center"/>
                    <w:rPr>
                      <w:color w:val="auto"/>
                      <w:sz w:val="18"/>
                      <w:szCs w:val="18"/>
                    </w:rPr>
                  </w:pPr>
                  <w:r>
                    <w:rPr>
                      <w:color w:val="auto"/>
                      <w:sz w:val="18"/>
                      <w:szCs w:val="18"/>
                    </w:rPr>
                    <w:t>70</w:t>
                  </w:r>
                </w:p>
              </w:tc>
              <w:tc>
                <w:tcPr>
                  <w:tcW w:w="2400" w:type="pct"/>
                  <w:vAlign w:val="center"/>
                </w:tcPr>
                <w:p w14:paraId="7AC52A43">
                  <w:pPr>
                    <w:snapToGrid w:val="0"/>
                    <w:spacing w:line="320" w:lineRule="exact"/>
                    <w:ind w:left="-101" w:leftChars="-49" w:hanging="2"/>
                    <w:jc w:val="center"/>
                    <w:rPr>
                      <w:color w:val="auto"/>
                      <w:sz w:val="18"/>
                      <w:szCs w:val="18"/>
                    </w:rPr>
                  </w:pPr>
                  <w:r>
                    <w:rPr>
                      <w:color w:val="auto"/>
                      <w:sz w:val="18"/>
                      <w:szCs w:val="18"/>
                    </w:rPr>
                    <w:t>55</w:t>
                  </w:r>
                </w:p>
              </w:tc>
            </w:tr>
          </w:tbl>
          <w:p w14:paraId="5525E5A1">
            <w:pPr>
              <w:spacing w:line="360" w:lineRule="auto"/>
              <w:ind w:firstLine="420" w:firstLineChars="200"/>
              <w:rPr>
                <w:color w:val="auto"/>
                <w:szCs w:val="21"/>
              </w:rPr>
            </w:pPr>
            <w:r>
              <w:rPr>
                <w:color w:val="auto"/>
                <w:szCs w:val="21"/>
              </w:rPr>
              <w:t>运营期</w:t>
            </w:r>
            <w:r>
              <w:rPr>
                <w:rFonts w:hint="eastAsia"/>
                <w:color w:val="auto"/>
                <w:szCs w:val="21"/>
                <w:lang w:val="en-US" w:eastAsia="zh-CN"/>
              </w:rPr>
              <w:t>场</w:t>
            </w:r>
            <w:r>
              <w:rPr>
                <w:color w:val="auto"/>
                <w:szCs w:val="21"/>
              </w:rPr>
              <w:t>界噪声执行《工业企业厂界环境噪声排放标准》（GB12348-2008）中</w:t>
            </w:r>
            <w:r>
              <w:rPr>
                <w:rFonts w:hint="eastAsia"/>
                <w:color w:val="auto"/>
                <w:szCs w:val="21"/>
                <w:lang w:val="en-US" w:eastAsia="zh-CN"/>
              </w:rPr>
              <w:t>1</w:t>
            </w:r>
            <w:r>
              <w:rPr>
                <w:color w:val="auto"/>
                <w:szCs w:val="21"/>
              </w:rPr>
              <w:t>类标准要求</w:t>
            </w:r>
            <w:r>
              <w:rPr>
                <w:rFonts w:hint="eastAsia"/>
                <w:color w:val="auto"/>
                <w:szCs w:val="21"/>
                <w:lang w:eastAsia="zh-CN"/>
              </w:rPr>
              <w:t>；</w:t>
            </w:r>
            <w:r>
              <w:rPr>
                <w:rFonts w:hint="eastAsia"/>
                <w:color w:val="auto"/>
                <w:szCs w:val="21"/>
                <w:lang w:val="en-US" w:eastAsia="zh-CN"/>
              </w:rPr>
              <w:t>交通干线两侧30m范围内执行</w:t>
            </w:r>
            <w:r>
              <w:rPr>
                <w:color w:val="auto"/>
                <w:szCs w:val="21"/>
              </w:rPr>
              <w:t>《工业企业厂界环境噪声排放标准》（GB12348-2008）中</w:t>
            </w:r>
            <w:r>
              <w:rPr>
                <w:rFonts w:hint="eastAsia"/>
                <w:color w:val="auto"/>
                <w:szCs w:val="21"/>
                <w:lang w:val="en-US" w:eastAsia="zh-CN"/>
              </w:rPr>
              <w:t>4a</w:t>
            </w:r>
            <w:r>
              <w:rPr>
                <w:color w:val="auto"/>
                <w:szCs w:val="21"/>
              </w:rPr>
              <w:t>类标准要求。</w:t>
            </w:r>
          </w:p>
          <w:p w14:paraId="707A7721">
            <w:pPr>
              <w:spacing w:line="240" w:lineRule="exact"/>
              <w:jc w:val="center"/>
              <w:rPr>
                <w:b/>
                <w:bCs/>
                <w:color w:val="auto"/>
                <w:sz w:val="18"/>
                <w:szCs w:val="18"/>
              </w:rPr>
            </w:pPr>
            <w:r>
              <w:rPr>
                <w:b/>
                <w:bCs/>
                <w:color w:val="auto"/>
                <w:sz w:val="18"/>
                <w:szCs w:val="18"/>
              </w:rPr>
              <w:t>表3-</w:t>
            </w:r>
            <w:r>
              <w:rPr>
                <w:rFonts w:hint="eastAsia"/>
                <w:b/>
                <w:bCs/>
                <w:color w:val="auto"/>
                <w:sz w:val="18"/>
                <w:szCs w:val="18"/>
                <w:lang w:val="en-US" w:eastAsia="zh-CN"/>
              </w:rPr>
              <w:t>11</w:t>
            </w:r>
            <w:r>
              <w:rPr>
                <w:b/>
                <w:bCs/>
                <w:color w:val="auto"/>
                <w:sz w:val="18"/>
                <w:szCs w:val="18"/>
              </w:rPr>
              <w:t xml:space="preserve">    工业企业厂界环境噪声排放标准  单位：dB（A）</w:t>
            </w:r>
          </w:p>
          <w:tbl>
            <w:tblPr>
              <w:tblStyle w:val="47"/>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883"/>
              <w:gridCol w:w="1883"/>
              <w:gridCol w:w="1883"/>
              <w:gridCol w:w="2295"/>
            </w:tblGrid>
            <w:tr w14:paraId="1080CA4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9" w:hRule="atLeast"/>
                <w:jc w:val="center"/>
              </w:trPr>
              <w:tc>
                <w:tcPr>
                  <w:tcW w:w="1185" w:type="pct"/>
                  <w:vAlign w:val="center"/>
                </w:tcPr>
                <w:p w14:paraId="079F8CCB">
                  <w:pPr>
                    <w:snapToGrid w:val="0"/>
                    <w:spacing w:line="320" w:lineRule="exact"/>
                    <w:ind w:left="-101" w:leftChars="-49" w:hanging="2"/>
                    <w:jc w:val="center"/>
                    <w:rPr>
                      <w:color w:val="auto"/>
                      <w:sz w:val="18"/>
                      <w:szCs w:val="18"/>
                    </w:rPr>
                  </w:pPr>
                  <w:r>
                    <w:rPr>
                      <w:color w:val="auto"/>
                      <w:sz w:val="18"/>
                      <w:szCs w:val="18"/>
                    </w:rPr>
                    <w:t>类别</w:t>
                  </w:r>
                </w:p>
              </w:tc>
              <w:tc>
                <w:tcPr>
                  <w:tcW w:w="1185" w:type="pct"/>
                  <w:vAlign w:val="center"/>
                </w:tcPr>
                <w:p w14:paraId="1BF3C365">
                  <w:pPr>
                    <w:snapToGrid w:val="0"/>
                    <w:spacing w:line="320" w:lineRule="exact"/>
                    <w:ind w:left="-101" w:leftChars="-49" w:hanging="2"/>
                    <w:jc w:val="center"/>
                    <w:rPr>
                      <w:color w:val="auto"/>
                      <w:sz w:val="18"/>
                      <w:szCs w:val="18"/>
                    </w:rPr>
                  </w:pPr>
                  <w:r>
                    <w:rPr>
                      <w:color w:val="auto"/>
                      <w:sz w:val="18"/>
                      <w:szCs w:val="18"/>
                    </w:rPr>
                    <w:t>昼间</w:t>
                  </w:r>
                </w:p>
              </w:tc>
              <w:tc>
                <w:tcPr>
                  <w:tcW w:w="1185" w:type="pct"/>
                  <w:tcBorders>
                    <w:right w:val="single" w:color="auto" w:sz="4" w:space="0"/>
                  </w:tcBorders>
                  <w:vAlign w:val="center"/>
                </w:tcPr>
                <w:p w14:paraId="70E52450">
                  <w:pPr>
                    <w:snapToGrid w:val="0"/>
                    <w:spacing w:line="320" w:lineRule="exact"/>
                    <w:ind w:left="-101" w:leftChars="-49" w:hanging="2"/>
                    <w:jc w:val="center"/>
                    <w:rPr>
                      <w:color w:val="auto"/>
                      <w:sz w:val="18"/>
                      <w:szCs w:val="18"/>
                    </w:rPr>
                  </w:pPr>
                  <w:r>
                    <w:rPr>
                      <w:color w:val="auto"/>
                      <w:sz w:val="18"/>
                      <w:szCs w:val="18"/>
                    </w:rPr>
                    <w:t>夜间</w:t>
                  </w:r>
                </w:p>
              </w:tc>
              <w:tc>
                <w:tcPr>
                  <w:tcW w:w="1444" w:type="pct"/>
                  <w:tcBorders>
                    <w:left w:val="single" w:color="auto" w:sz="4" w:space="0"/>
                  </w:tcBorders>
                  <w:vAlign w:val="center"/>
                </w:tcPr>
                <w:p w14:paraId="1DC8B940">
                  <w:pPr>
                    <w:snapToGrid w:val="0"/>
                    <w:spacing w:line="320" w:lineRule="exact"/>
                    <w:jc w:val="center"/>
                    <w:rPr>
                      <w:color w:val="auto"/>
                      <w:sz w:val="18"/>
                      <w:szCs w:val="18"/>
                    </w:rPr>
                  </w:pPr>
                  <w:r>
                    <w:rPr>
                      <w:color w:val="auto"/>
                      <w:sz w:val="18"/>
                      <w:szCs w:val="18"/>
                    </w:rPr>
                    <w:t>备注</w:t>
                  </w:r>
                </w:p>
              </w:tc>
            </w:tr>
            <w:tr w14:paraId="0C02E41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9" w:hRule="atLeast"/>
                <w:jc w:val="center"/>
              </w:trPr>
              <w:tc>
                <w:tcPr>
                  <w:tcW w:w="1185" w:type="pct"/>
                  <w:vAlign w:val="center"/>
                </w:tcPr>
                <w:p w14:paraId="02F6D674">
                  <w:pPr>
                    <w:snapToGrid w:val="0"/>
                    <w:spacing w:line="320" w:lineRule="exact"/>
                    <w:ind w:left="-101" w:leftChars="-49" w:hanging="2"/>
                    <w:jc w:val="center"/>
                    <w:rPr>
                      <w:rFonts w:hint="eastAsia" w:eastAsia="宋体"/>
                      <w:color w:val="auto"/>
                      <w:sz w:val="18"/>
                      <w:szCs w:val="18"/>
                      <w:lang w:eastAsia="zh-CN"/>
                    </w:rPr>
                  </w:pPr>
                  <w:r>
                    <w:rPr>
                      <w:rFonts w:hint="eastAsia"/>
                      <w:color w:val="auto"/>
                      <w:sz w:val="18"/>
                      <w:szCs w:val="18"/>
                      <w:lang w:val="en-US" w:eastAsia="zh-CN"/>
                    </w:rPr>
                    <w:t>1</w:t>
                  </w:r>
                </w:p>
              </w:tc>
              <w:tc>
                <w:tcPr>
                  <w:tcW w:w="1185" w:type="pct"/>
                  <w:vAlign w:val="center"/>
                </w:tcPr>
                <w:p w14:paraId="68B29B95">
                  <w:pPr>
                    <w:snapToGrid w:val="0"/>
                    <w:spacing w:line="320" w:lineRule="exact"/>
                    <w:ind w:left="-101" w:leftChars="-49" w:hanging="2"/>
                    <w:jc w:val="center"/>
                    <w:rPr>
                      <w:color w:val="auto"/>
                      <w:sz w:val="18"/>
                      <w:szCs w:val="18"/>
                    </w:rPr>
                  </w:pPr>
                  <w:r>
                    <w:rPr>
                      <w:color w:val="auto"/>
                      <w:sz w:val="18"/>
                      <w:szCs w:val="18"/>
                    </w:rPr>
                    <w:t>60</w:t>
                  </w:r>
                </w:p>
              </w:tc>
              <w:tc>
                <w:tcPr>
                  <w:tcW w:w="1185" w:type="pct"/>
                  <w:tcBorders>
                    <w:right w:val="single" w:color="auto" w:sz="4" w:space="0"/>
                  </w:tcBorders>
                  <w:vAlign w:val="center"/>
                </w:tcPr>
                <w:p w14:paraId="33BC4E5E">
                  <w:pPr>
                    <w:snapToGrid w:val="0"/>
                    <w:spacing w:line="320" w:lineRule="exact"/>
                    <w:ind w:left="-101" w:leftChars="-49" w:hanging="2"/>
                    <w:jc w:val="center"/>
                    <w:rPr>
                      <w:color w:val="auto"/>
                      <w:sz w:val="18"/>
                      <w:szCs w:val="18"/>
                    </w:rPr>
                  </w:pPr>
                  <w:r>
                    <w:rPr>
                      <w:color w:val="auto"/>
                      <w:sz w:val="18"/>
                      <w:szCs w:val="18"/>
                    </w:rPr>
                    <w:t>50</w:t>
                  </w:r>
                </w:p>
              </w:tc>
              <w:tc>
                <w:tcPr>
                  <w:tcW w:w="1444" w:type="pct"/>
                  <w:tcBorders>
                    <w:left w:val="single" w:color="auto" w:sz="4" w:space="0"/>
                  </w:tcBorders>
                  <w:vAlign w:val="center"/>
                </w:tcPr>
                <w:p w14:paraId="6D9EC7B6">
                  <w:pPr>
                    <w:snapToGrid w:val="0"/>
                    <w:spacing w:line="320" w:lineRule="exact"/>
                    <w:jc w:val="center"/>
                    <w:rPr>
                      <w:rFonts w:hint="default" w:eastAsia="宋体"/>
                      <w:color w:val="auto"/>
                      <w:sz w:val="18"/>
                      <w:szCs w:val="18"/>
                      <w:lang w:val="en-US" w:eastAsia="zh-CN"/>
                    </w:rPr>
                  </w:pPr>
                  <w:r>
                    <w:rPr>
                      <w:rFonts w:hint="eastAsia"/>
                      <w:color w:val="auto"/>
                      <w:sz w:val="18"/>
                      <w:szCs w:val="18"/>
                      <w:lang w:val="en-US" w:eastAsia="zh-CN"/>
                    </w:rPr>
                    <w:t>场界四周</w:t>
                  </w:r>
                </w:p>
              </w:tc>
            </w:tr>
          </w:tbl>
          <w:p w14:paraId="333DDCAD">
            <w:pPr>
              <w:tabs>
                <w:tab w:val="left" w:pos="3780"/>
                <w:tab w:val="left" w:pos="6195"/>
                <w:tab w:val="left" w:pos="8613"/>
              </w:tabs>
              <w:spacing w:line="360" w:lineRule="auto"/>
              <w:ind w:firstLine="422" w:firstLineChars="200"/>
              <w:rPr>
                <w:b/>
                <w:color w:val="auto"/>
                <w:szCs w:val="21"/>
              </w:rPr>
            </w:pPr>
            <w:r>
              <w:rPr>
                <w:rFonts w:hint="eastAsia"/>
                <w:b/>
                <w:color w:val="auto"/>
                <w:szCs w:val="21"/>
                <w:lang w:val="en-US" w:eastAsia="zh-CN"/>
              </w:rPr>
              <w:t>3.9</w:t>
            </w:r>
            <w:r>
              <w:rPr>
                <w:b/>
                <w:color w:val="auto"/>
                <w:szCs w:val="21"/>
              </w:rPr>
              <w:t>固体废物</w:t>
            </w:r>
          </w:p>
          <w:p w14:paraId="39B3FCB0">
            <w:pPr>
              <w:spacing w:line="360" w:lineRule="auto"/>
              <w:ind w:firstLine="420" w:firstLineChars="200"/>
              <w:rPr>
                <w:rFonts w:hint="eastAsia"/>
                <w:color w:val="auto"/>
                <w:szCs w:val="21"/>
                <w:lang w:val="en-US" w:eastAsia="zh-CN"/>
              </w:rPr>
            </w:pPr>
            <w:r>
              <w:rPr>
                <w:color w:val="auto"/>
                <w:szCs w:val="21"/>
              </w:rPr>
              <w:t>固体废物执行《一般工业固体废物贮存和填埋污染控制标准》（GB 18599-2020）的有关规定</w:t>
            </w:r>
            <w:r>
              <w:rPr>
                <w:rFonts w:hint="eastAsia"/>
                <w:color w:val="auto"/>
                <w:szCs w:val="21"/>
                <w:lang w:eastAsia="zh-CN"/>
              </w:rPr>
              <w:t>；</w:t>
            </w:r>
            <w:r>
              <w:rPr>
                <w:rFonts w:hint="eastAsia"/>
                <w:color w:val="auto"/>
                <w:szCs w:val="21"/>
                <w:lang w:val="en-US" w:eastAsia="zh-CN"/>
              </w:rPr>
              <w:t>医疗垃圾、污水处理站污泥等</w:t>
            </w:r>
            <w:r>
              <w:rPr>
                <w:rFonts w:hint="eastAsia"/>
                <w:color w:val="auto"/>
                <w:szCs w:val="21"/>
                <w:lang w:eastAsia="zh-CN"/>
              </w:rPr>
              <w:t>危险废物执行《危险废物贮存污染控制标准》（GB18597</w:t>
            </w:r>
            <w:r>
              <w:rPr>
                <w:rFonts w:hint="eastAsia"/>
                <w:color w:val="auto"/>
                <w:szCs w:val="21"/>
                <w:lang w:val="en-US" w:eastAsia="zh-CN"/>
              </w:rPr>
              <w:t>-2023</w:t>
            </w:r>
            <w:r>
              <w:rPr>
                <w:rFonts w:hint="eastAsia"/>
                <w:color w:val="auto"/>
                <w:szCs w:val="21"/>
                <w:lang w:eastAsia="zh-CN"/>
              </w:rPr>
              <w:t>）</w:t>
            </w:r>
            <w:r>
              <w:rPr>
                <w:color w:val="auto"/>
                <w:szCs w:val="21"/>
              </w:rPr>
              <w:t>。</w:t>
            </w:r>
            <w:r>
              <w:rPr>
                <w:rFonts w:hint="eastAsia"/>
                <w:color w:val="auto"/>
                <w:szCs w:val="21"/>
                <w:lang w:val="en-US" w:eastAsia="zh-CN"/>
              </w:rPr>
              <w:t>污水处理站污泥清掏前需要满足《医疗机构水污染物排放标准》</w:t>
            </w:r>
            <w:r>
              <w:rPr>
                <w:rFonts w:hint="default"/>
                <w:color w:val="auto"/>
                <w:szCs w:val="21"/>
                <w:lang w:val="en-US" w:eastAsia="zh-CN"/>
              </w:rPr>
              <w:t>(GB 18466-2005)</w:t>
            </w:r>
            <w:r>
              <w:rPr>
                <w:rFonts w:hint="eastAsia"/>
                <w:color w:val="auto"/>
                <w:szCs w:val="21"/>
                <w:lang w:val="en-US" w:eastAsia="zh-CN"/>
              </w:rPr>
              <w:t>规定要求。</w:t>
            </w:r>
          </w:p>
          <w:p w14:paraId="1699B30F">
            <w:pPr>
              <w:spacing w:line="360" w:lineRule="auto"/>
              <w:ind w:firstLine="420" w:firstLineChars="200"/>
              <w:rPr>
                <w:rFonts w:hint="eastAsia"/>
                <w:color w:val="auto"/>
                <w:szCs w:val="21"/>
                <w:lang w:val="en-US" w:eastAsia="zh-CN"/>
              </w:rPr>
            </w:pPr>
            <w:r>
              <w:rPr>
                <w:rFonts w:hint="eastAsia"/>
                <w:color w:val="auto"/>
                <w:szCs w:val="21"/>
                <w:lang w:val="en-US" w:eastAsia="zh-CN"/>
              </w:rPr>
              <w:t>院内采用库房、包装工具（罐、桶、包装袋等）贮存一般固体废物的，其贮存过程应满足防渗漏、防雨淋、防扬尘等环境保护要求。</w:t>
            </w:r>
          </w:p>
          <w:p w14:paraId="34DE5458">
            <w:pPr>
              <w:keepNext w:val="0"/>
              <w:keepLines w:val="0"/>
              <w:widowControl/>
              <w:suppressLineNumbers w:val="0"/>
              <w:jc w:val="center"/>
              <w:rPr>
                <w:b/>
                <w:bCs/>
                <w:color w:val="auto"/>
                <w:sz w:val="18"/>
                <w:szCs w:val="18"/>
              </w:rPr>
            </w:pPr>
            <w:r>
              <w:rPr>
                <w:b/>
                <w:bCs/>
                <w:color w:val="auto"/>
                <w:sz w:val="18"/>
                <w:szCs w:val="18"/>
              </w:rPr>
              <w:t>表3-</w:t>
            </w:r>
            <w:r>
              <w:rPr>
                <w:rFonts w:hint="eastAsia"/>
                <w:b/>
                <w:bCs/>
                <w:color w:val="auto"/>
                <w:sz w:val="18"/>
                <w:szCs w:val="18"/>
                <w:lang w:val="en-US" w:eastAsia="zh-CN"/>
              </w:rPr>
              <w:t>12</w:t>
            </w:r>
            <w:r>
              <w:rPr>
                <w:b/>
                <w:bCs/>
                <w:color w:val="auto"/>
                <w:sz w:val="18"/>
                <w:szCs w:val="18"/>
              </w:rPr>
              <w:t xml:space="preserve">    </w:t>
            </w:r>
            <w:r>
              <w:rPr>
                <w:rFonts w:hint="eastAsia" w:ascii="宋体" w:hAnsi="宋体" w:eastAsia="宋体" w:cs="宋体"/>
                <w:b/>
                <w:bCs/>
                <w:color w:val="000000"/>
                <w:kern w:val="0"/>
                <w:sz w:val="18"/>
                <w:szCs w:val="18"/>
                <w:lang w:val="en-US" w:eastAsia="zh-CN" w:bidi="ar"/>
              </w:rPr>
              <w:t>医疗机构污泥控制标准</w:t>
            </w:r>
          </w:p>
          <w:tbl>
            <w:tblPr>
              <w:tblStyle w:val="47"/>
              <w:tblW w:w="4998"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3122"/>
              <w:gridCol w:w="2359"/>
              <w:gridCol w:w="2460"/>
            </w:tblGrid>
            <w:tr w14:paraId="058C150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9" w:hRule="atLeast"/>
                <w:jc w:val="center"/>
              </w:trPr>
              <w:tc>
                <w:tcPr>
                  <w:tcW w:w="1965" w:type="pct"/>
                  <w:vAlign w:val="center"/>
                </w:tcPr>
                <w:p w14:paraId="54E7487B">
                  <w:pPr>
                    <w:snapToGrid w:val="0"/>
                    <w:spacing w:line="320" w:lineRule="exact"/>
                    <w:ind w:left="-101" w:leftChars="-49" w:hanging="2"/>
                    <w:jc w:val="center"/>
                    <w:rPr>
                      <w:rFonts w:hint="eastAsia" w:eastAsia="宋体"/>
                      <w:color w:val="auto"/>
                      <w:sz w:val="18"/>
                      <w:szCs w:val="18"/>
                      <w:lang w:val="en-US" w:eastAsia="zh-CN"/>
                    </w:rPr>
                  </w:pPr>
                  <w:r>
                    <w:rPr>
                      <w:rFonts w:hint="eastAsia"/>
                      <w:color w:val="auto"/>
                      <w:sz w:val="18"/>
                      <w:szCs w:val="18"/>
                      <w:lang w:val="en-US" w:eastAsia="zh-CN"/>
                    </w:rPr>
                    <w:t>类别</w:t>
                  </w:r>
                </w:p>
              </w:tc>
              <w:tc>
                <w:tcPr>
                  <w:tcW w:w="1485" w:type="pct"/>
                  <w:vAlign w:val="center"/>
                </w:tcPr>
                <w:p w14:paraId="1486CCB9">
                  <w:pPr>
                    <w:keepNext w:val="0"/>
                    <w:keepLines w:val="0"/>
                    <w:widowControl/>
                    <w:suppressLineNumbers w:val="0"/>
                    <w:jc w:val="center"/>
                  </w:pPr>
                  <w:r>
                    <w:rPr>
                      <w:rFonts w:hint="eastAsia" w:ascii="宋体" w:hAnsi="宋体" w:eastAsia="宋体" w:cs="宋体"/>
                      <w:color w:val="000000"/>
                      <w:kern w:val="0"/>
                      <w:sz w:val="18"/>
                      <w:szCs w:val="18"/>
                      <w:lang w:val="en-US" w:eastAsia="zh-CN" w:bidi="ar"/>
                    </w:rPr>
                    <w:t>粪大肠菌群</w:t>
                  </w:r>
                </w:p>
                <w:p w14:paraId="79CEC196">
                  <w:pPr>
                    <w:keepNext w:val="0"/>
                    <w:keepLines w:val="0"/>
                    <w:widowControl/>
                    <w:suppressLineNumbers w:val="0"/>
                    <w:jc w:val="center"/>
                    <w:rPr>
                      <w:color w:val="auto"/>
                      <w:sz w:val="18"/>
                      <w:szCs w:val="18"/>
                    </w:rPr>
                  </w:pPr>
                  <w:r>
                    <w:rPr>
                      <w:rFonts w:hint="default" w:ascii="Times New Roman" w:hAnsi="Times New Roman" w:eastAsia="宋体" w:cs="Times New Roman"/>
                      <w:color w:val="000000"/>
                      <w:kern w:val="0"/>
                      <w:sz w:val="18"/>
                      <w:szCs w:val="18"/>
                      <w:lang w:val="en-US" w:eastAsia="zh-CN" w:bidi="ar"/>
                    </w:rPr>
                    <w:t>MPN/g</w:t>
                  </w:r>
                </w:p>
              </w:tc>
              <w:tc>
                <w:tcPr>
                  <w:tcW w:w="1548" w:type="pct"/>
                  <w:tcBorders>
                    <w:left w:val="single" w:color="auto" w:sz="4" w:space="0"/>
                  </w:tcBorders>
                  <w:vAlign w:val="center"/>
                </w:tcPr>
                <w:p w14:paraId="306A1F9F">
                  <w:pPr>
                    <w:snapToGrid w:val="0"/>
                    <w:spacing w:line="320" w:lineRule="exact"/>
                    <w:ind w:left="-101" w:leftChars="-49" w:hanging="2" w:firstLineChars="0"/>
                    <w:jc w:val="center"/>
                    <w:rPr>
                      <w:color w:val="auto"/>
                      <w:sz w:val="18"/>
                      <w:szCs w:val="18"/>
                    </w:rPr>
                  </w:pPr>
                  <w:r>
                    <w:rPr>
                      <w:rFonts w:hint="eastAsia"/>
                      <w:color w:val="auto"/>
                      <w:sz w:val="18"/>
                      <w:szCs w:val="18"/>
                      <w:lang w:val="en-US" w:eastAsia="zh-CN"/>
                    </w:rPr>
                    <w:t>蛔虫死亡率%</w:t>
                  </w:r>
                </w:p>
              </w:tc>
            </w:tr>
            <w:tr w14:paraId="02C8384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9" w:hRule="atLeast"/>
                <w:jc w:val="center"/>
              </w:trPr>
              <w:tc>
                <w:tcPr>
                  <w:tcW w:w="1965" w:type="pct"/>
                  <w:vAlign w:val="center"/>
                </w:tcPr>
                <w:p w14:paraId="32093F02">
                  <w:pPr>
                    <w:keepNext w:val="0"/>
                    <w:keepLines w:val="0"/>
                    <w:widowControl/>
                    <w:suppressLineNumbers w:val="0"/>
                    <w:jc w:val="center"/>
                  </w:pPr>
                  <w:r>
                    <w:rPr>
                      <w:rFonts w:hint="eastAsia" w:ascii="宋体" w:hAnsi="宋体" w:eastAsia="宋体" w:cs="宋体"/>
                      <w:color w:val="000000"/>
                      <w:kern w:val="0"/>
                      <w:sz w:val="18"/>
                      <w:szCs w:val="18"/>
                      <w:lang w:val="en-US" w:eastAsia="zh-CN" w:bidi="ar"/>
                    </w:rPr>
                    <w:t>综合医疗机构及</w:t>
                  </w:r>
                </w:p>
                <w:p w14:paraId="02CFE7B7">
                  <w:pPr>
                    <w:keepNext w:val="0"/>
                    <w:keepLines w:val="0"/>
                    <w:widowControl/>
                    <w:suppressLineNumbers w:val="0"/>
                    <w:jc w:val="center"/>
                    <w:rPr>
                      <w:rFonts w:hint="eastAsia" w:eastAsia="宋体"/>
                      <w:color w:val="auto"/>
                      <w:sz w:val="18"/>
                      <w:szCs w:val="18"/>
                      <w:lang w:eastAsia="zh-CN"/>
                    </w:rPr>
                  </w:pPr>
                  <w:r>
                    <w:rPr>
                      <w:rFonts w:hint="eastAsia" w:ascii="宋体" w:hAnsi="宋体" w:eastAsia="宋体" w:cs="宋体"/>
                      <w:color w:val="000000"/>
                      <w:kern w:val="0"/>
                      <w:sz w:val="18"/>
                      <w:szCs w:val="18"/>
                      <w:lang w:val="en-US" w:eastAsia="zh-CN" w:bidi="ar"/>
                    </w:rPr>
                    <w:t>其他医疗机构</w:t>
                  </w:r>
                </w:p>
              </w:tc>
              <w:tc>
                <w:tcPr>
                  <w:tcW w:w="1485" w:type="pct"/>
                  <w:vAlign w:val="center"/>
                </w:tcPr>
                <w:p w14:paraId="77DC02BE">
                  <w:pPr>
                    <w:snapToGrid w:val="0"/>
                    <w:spacing w:line="320" w:lineRule="exact"/>
                    <w:ind w:left="-101" w:leftChars="-49" w:hanging="2"/>
                    <w:jc w:val="center"/>
                    <w:rPr>
                      <w:rFonts w:hint="default" w:eastAsia="宋体"/>
                      <w:color w:val="auto"/>
                      <w:sz w:val="18"/>
                      <w:szCs w:val="18"/>
                      <w:lang w:val="en-US" w:eastAsia="zh-CN"/>
                    </w:rPr>
                  </w:pPr>
                  <w:r>
                    <w:rPr>
                      <w:rFonts w:hint="eastAsia"/>
                      <w:color w:val="auto"/>
                      <w:sz w:val="18"/>
                      <w:szCs w:val="18"/>
                      <w:lang w:val="en-US" w:eastAsia="zh-CN"/>
                    </w:rPr>
                    <w:t>≤100</w:t>
                  </w:r>
                </w:p>
              </w:tc>
              <w:tc>
                <w:tcPr>
                  <w:tcW w:w="1548" w:type="pct"/>
                  <w:tcBorders>
                    <w:left w:val="single" w:color="auto" w:sz="4" w:space="0"/>
                  </w:tcBorders>
                  <w:vAlign w:val="center"/>
                </w:tcPr>
                <w:p w14:paraId="212058B5">
                  <w:pPr>
                    <w:snapToGrid w:val="0"/>
                    <w:spacing w:line="320" w:lineRule="exact"/>
                    <w:ind w:left="-101" w:leftChars="-49" w:hanging="2" w:firstLineChars="0"/>
                    <w:jc w:val="center"/>
                    <w:rPr>
                      <w:rFonts w:hint="default" w:eastAsia="宋体"/>
                      <w:color w:val="auto"/>
                      <w:sz w:val="18"/>
                      <w:szCs w:val="18"/>
                      <w:lang w:val="en-US" w:eastAsia="zh-CN"/>
                    </w:rPr>
                  </w:pPr>
                  <w:r>
                    <w:rPr>
                      <w:rFonts w:hint="eastAsia"/>
                      <w:color w:val="auto"/>
                      <w:sz w:val="18"/>
                      <w:szCs w:val="18"/>
                      <w:lang w:val="en-US" w:eastAsia="zh-CN"/>
                    </w:rPr>
                    <w:t>＞95</w:t>
                  </w:r>
                </w:p>
              </w:tc>
            </w:tr>
          </w:tbl>
          <w:p w14:paraId="71CFC60F">
            <w:pPr>
              <w:spacing w:line="360" w:lineRule="auto"/>
              <w:ind w:firstLine="420" w:firstLineChars="200"/>
              <w:rPr>
                <w:color w:val="auto"/>
                <w:szCs w:val="21"/>
              </w:rPr>
            </w:pPr>
          </w:p>
        </w:tc>
      </w:tr>
      <w:tr w14:paraId="4FED432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30" w:hRule="atLeast"/>
          <w:jc w:val="center"/>
        </w:trPr>
        <w:tc>
          <w:tcPr>
            <w:tcW w:w="800" w:type="dxa"/>
            <w:vAlign w:val="center"/>
          </w:tcPr>
          <w:p w14:paraId="4355ACAE">
            <w:pPr>
              <w:adjustRightInd w:val="0"/>
              <w:snapToGrid w:val="0"/>
              <w:jc w:val="center"/>
              <w:rPr>
                <w:color w:val="auto"/>
                <w:kern w:val="0"/>
                <w:szCs w:val="21"/>
              </w:rPr>
            </w:pPr>
            <w:r>
              <w:rPr>
                <w:color w:val="auto"/>
                <w:kern w:val="0"/>
                <w:szCs w:val="21"/>
              </w:rPr>
              <w:t>总量</w:t>
            </w:r>
          </w:p>
          <w:p w14:paraId="36B56E0A">
            <w:pPr>
              <w:adjustRightInd w:val="0"/>
              <w:snapToGrid w:val="0"/>
              <w:jc w:val="center"/>
              <w:rPr>
                <w:color w:val="auto"/>
                <w:kern w:val="0"/>
                <w:szCs w:val="21"/>
              </w:rPr>
            </w:pPr>
            <w:r>
              <w:rPr>
                <w:color w:val="auto"/>
                <w:kern w:val="0"/>
                <w:szCs w:val="21"/>
              </w:rPr>
              <w:t>控制</w:t>
            </w:r>
          </w:p>
          <w:p w14:paraId="5AC0D00A">
            <w:pPr>
              <w:adjustRightInd w:val="0"/>
              <w:snapToGrid w:val="0"/>
              <w:jc w:val="center"/>
              <w:rPr>
                <w:color w:val="auto"/>
                <w:kern w:val="0"/>
                <w:szCs w:val="21"/>
              </w:rPr>
            </w:pPr>
            <w:r>
              <w:rPr>
                <w:color w:val="auto"/>
                <w:kern w:val="0"/>
                <w:szCs w:val="21"/>
              </w:rPr>
              <w:t>指标</w:t>
            </w:r>
          </w:p>
        </w:tc>
        <w:tc>
          <w:tcPr>
            <w:tcW w:w="8190" w:type="dxa"/>
            <w:vAlign w:val="center"/>
          </w:tcPr>
          <w:p w14:paraId="4C7446FB">
            <w:pPr>
              <w:tabs>
                <w:tab w:val="left" w:pos="3780"/>
                <w:tab w:val="left" w:pos="6195"/>
                <w:tab w:val="left" w:pos="8613"/>
              </w:tabs>
              <w:spacing w:line="360" w:lineRule="auto"/>
              <w:ind w:firstLine="420" w:firstLineChars="200"/>
              <w:rPr>
                <w:rFonts w:hint="eastAsia"/>
                <w:color w:val="auto"/>
                <w:szCs w:val="21"/>
              </w:rPr>
            </w:pPr>
          </w:p>
          <w:p w14:paraId="4FB6C7C7">
            <w:pPr>
              <w:tabs>
                <w:tab w:val="left" w:pos="3780"/>
                <w:tab w:val="left" w:pos="6195"/>
                <w:tab w:val="left" w:pos="8613"/>
              </w:tabs>
              <w:spacing w:line="360" w:lineRule="auto"/>
              <w:ind w:firstLine="420" w:firstLineChars="200"/>
              <w:rPr>
                <w:rFonts w:hint="eastAsia"/>
                <w:color w:val="auto"/>
                <w:szCs w:val="21"/>
              </w:rPr>
            </w:pPr>
          </w:p>
          <w:p w14:paraId="5762B7EB">
            <w:pPr>
              <w:tabs>
                <w:tab w:val="left" w:pos="3780"/>
                <w:tab w:val="left" w:pos="6195"/>
                <w:tab w:val="left" w:pos="8613"/>
              </w:tabs>
              <w:spacing w:line="360" w:lineRule="auto"/>
              <w:ind w:firstLine="420" w:firstLineChars="200"/>
              <w:rPr>
                <w:rFonts w:hint="eastAsia"/>
                <w:color w:val="auto"/>
                <w:szCs w:val="21"/>
              </w:rPr>
            </w:pPr>
          </w:p>
          <w:p w14:paraId="3437F34D">
            <w:pPr>
              <w:tabs>
                <w:tab w:val="left" w:pos="3780"/>
                <w:tab w:val="left" w:pos="6195"/>
                <w:tab w:val="left" w:pos="8613"/>
              </w:tabs>
              <w:spacing w:line="360" w:lineRule="auto"/>
              <w:ind w:firstLine="420" w:firstLineChars="200"/>
              <w:rPr>
                <w:rFonts w:hint="eastAsia"/>
                <w:color w:val="auto"/>
                <w:szCs w:val="21"/>
              </w:rPr>
            </w:pPr>
          </w:p>
          <w:p w14:paraId="157C2D85">
            <w:pPr>
              <w:tabs>
                <w:tab w:val="left" w:pos="3780"/>
                <w:tab w:val="left" w:pos="6195"/>
                <w:tab w:val="left" w:pos="8613"/>
              </w:tabs>
              <w:spacing w:line="360" w:lineRule="auto"/>
              <w:ind w:firstLine="420" w:firstLineChars="200"/>
              <w:rPr>
                <w:rFonts w:hint="eastAsia"/>
                <w:color w:val="auto"/>
                <w:szCs w:val="21"/>
              </w:rPr>
            </w:pPr>
          </w:p>
          <w:p w14:paraId="0E5613F9">
            <w:pPr>
              <w:tabs>
                <w:tab w:val="left" w:pos="3780"/>
                <w:tab w:val="left" w:pos="6195"/>
                <w:tab w:val="left" w:pos="8613"/>
              </w:tabs>
              <w:spacing w:line="360" w:lineRule="auto"/>
              <w:ind w:firstLine="420" w:firstLineChars="200"/>
              <w:rPr>
                <w:rFonts w:hint="eastAsia"/>
                <w:color w:val="auto"/>
                <w:szCs w:val="21"/>
              </w:rPr>
            </w:pPr>
          </w:p>
          <w:p w14:paraId="39C49FE5">
            <w:pPr>
              <w:tabs>
                <w:tab w:val="left" w:pos="3780"/>
                <w:tab w:val="left" w:pos="6195"/>
                <w:tab w:val="left" w:pos="8613"/>
              </w:tabs>
              <w:spacing w:line="360" w:lineRule="auto"/>
              <w:ind w:firstLine="420" w:firstLineChars="200"/>
              <w:rPr>
                <w:rFonts w:hint="eastAsia"/>
                <w:color w:val="auto"/>
                <w:szCs w:val="21"/>
              </w:rPr>
            </w:pPr>
          </w:p>
          <w:p w14:paraId="2CF2E7E9">
            <w:pPr>
              <w:tabs>
                <w:tab w:val="left" w:pos="3780"/>
                <w:tab w:val="left" w:pos="6195"/>
                <w:tab w:val="left" w:pos="8613"/>
              </w:tabs>
              <w:spacing w:line="360" w:lineRule="auto"/>
              <w:ind w:firstLine="420" w:firstLineChars="200"/>
              <w:rPr>
                <w:color w:val="auto"/>
                <w:szCs w:val="21"/>
              </w:rPr>
            </w:pPr>
            <w:r>
              <w:rPr>
                <w:rFonts w:hint="eastAsia"/>
                <w:color w:val="auto"/>
                <w:szCs w:val="21"/>
              </w:rPr>
              <w:t>根据《</w:t>
            </w:r>
            <w:r>
              <w:rPr>
                <w:rFonts w:hint="eastAsia"/>
                <w:color w:val="auto"/>
                <w:szCs w:val="21"/>
                <w:lang w:val="en-US" w:eastAsia="zh-CN"/>
              </w:rPr>
              <w:t>山西省生态环境厅关于印发&lt;建设项目主要污染物总量指标核定办法&gt;的通知</w:t>
            </w:r>
            <w:r>
              <w:rPr>
                <w:rFonts w:hint="eastAsia"/>
                <w:color w:val="auto"/>
                <w:szCs w:val="21"/>
              </w:rPr>
              <w:t>》（晋环规[2023]1号）要求，进行总量控制的主要污染物包括颗粒物、SO</w:t>
            </w:r>
            <w:r>
              <w:rPr>
                <w:rFonts w:hint="eastAsia"/>
                <w:color w:val="auto"/>
                <w:szCs w:val="21"/>
                <w:vertAlign w:val="subscript"/>
              </w:rPr>
              <w:t>2</w:t>
            </w:r>
            <w:r>
              <w:rPr>
                <w:rFonts w:hint="eastAsia"/>
                <w:color w:val="auto"/>
                <w:szCs w:val="21"/>
              </w:rPr>
              <w:t>、NOx、挥发性有机物、化学需氧量、氨氮。废气二氧化硫、氮氧化物、颗粒物排放量分别不大于3 吨/年，挥发性有机物排放量不大于0.3 吨/年；废水化学需氧量排放量不大于1 吨/年和氨氮排放量不大于0.5 吨/年的建设项目，主要污染物排放总量指标可直接予以核定，不需进行主要污染物总量置换。</w:t>
            </w:r>
          </w:p>
          <w:p w14:paraId="73453732">
            <w:pPr>
              <w:tabs>
                <w:tab w:val="left" w:pos="3780"/>
                <w:tab w:val="left" w:pos="6195"/>
                <w:tab w:val="left" w:pos="8613"/>
              </w:tabs>
              <w:spacing w:line="360" w:lineRule="auto"/>
              <w:ind w:firstLine="420" w:firstLineChars="200"/>
              <w:rPr>
                <w:rFonts w:hint="eastAsia"/>
                <w:color w:val="auto"/>
                <w:szCs w:val="21"/>
              </w:rPr>
            </w:pPr>
            <w:r>
              <w:rPr>
                <w:rFonts w:hint="eastAsia"/>
                <w:color w:val="auto"/>
                <w:szCs w:val="21"/>
                <w:lang w:val="en-US" w:eastAsia="zh-CN"/>
              </w:rPr>
              <w:t xml:space="preserve">本项目不设置锅炉，主要废气污染物为无组织排放的氨、硫化氢、臭气浓度等，无 涉及总量控制污染因子排放；项目废水经自建污水处理站处理达标后，排入市政污水管网，最终进入大同市开发区污水处理厂，不直接外排废水。 </w:t>
            </w:r>
          </w:p>
          <w:p w14:paraId="7E8F1655">
            <w:pPr>
              <w:tabs>
                <w:tab w:val="left" w:pos="3780"/>
                <w:tab w:val="left" w:pos="6195"/>
                <w:tab w:val="left" w:pos="8613"/>
              </w:tabs>
              <w:spacing w:line="360" w:lineRule="auto"/>
              <w:ind w:firstLine="420" w:firstLineChars="200"/>
              <w:rPr>
                <w:rFonts w:hint="eastAsia"/>
                <w:color w:val="auto"/>
                <w:szCs w:val="21"/>
                <w:lang w:val="en-US" w:eastAsia="zh-CN"/>
              </w:rPr>
            </w:pPr>
            <w:r>
              <w:rPr>
                <w:rFonts w:hint="eastAsia"/>
                <w:color w:val="auto"/>
                <w:szCs w:val="21"/>
                <w:lang w:val="en-US" w:eastAsia="zh-CN"/>
              </w:rPr>
              <w:t>因此，本项目不需进行总量申请。</w:t>
            </w:r>
          </w:p>
          <w:p w14:paraId="7F9AA12B">
            <w:pPr>
              <w:tabs>
                <w:tab w:val="left" w:pos="3780"/>
                <w:tab w:val="left" w:pos="6195"/>
                <w:tab w:val="left" w:pos="8613"/>
              </w:tabs>
              <w:spacing w:line="360" w:lineRule="auto"/>
              <w:ind w:firstLine="420" w:firstLineChars="200"/>
              <w:rPr>
                <w:rFonts w:hint="eastAsia"/>
                <w:color w:val="auto"/>
                <w:szCs w:val="21"/>
                <w:lang w:val="en-US" w:eastAsia="zh-CN"/>
              </w:rPr>
            </w:pPr>
          </w:p>
          <w:p w14:paraId="63C41A5C">
            <w:pPr>
              <w:tabs>
                <w:tab w:val="left" w:pos="3780"/>
                <w:tab w:val="left" w:pos="6195"/>
                <w:tab w:val="left" w:pos="8613"/>
              </w:tabs>
              <w:spacing w:line="360" w:lineRule="auto"/>
              <w:ind w:firstLine="420" w:firstLineChars="200"/>
              <w:rPr>
                <w:rFonts w:hint="eastAsia"/>
                <w:color w:val="auto"/>
                <w:szCs w:val="21"/>
                <w:lang w:val="en-US" w:eastAsia="zh-CN"/>
              </w:rPr>
            </w:pPr>
          </w:p>
          <w:p w14:paraId="542AAB65">
            <w:pPr>
              <w:tabs>
                <w:tab w:val="left" w:pos="3780"/>
                <w:tab w:val="left" w:pos="6195"/>
                <w:tab w:val="left" w:pos="8613"/>
              </w:tabs>
              <w:spacing w:line="360" w:lineRule="auto"/>
              <w:ind w:firstLine="420" w:firstLineChars="200"/>
              <w:rPr>
                <w:rFonts w:hint="eastAsia"/>
                <w:color w:val="auto"/>
                <w:szCs w:val="21"/>
                <w:lang w:val="en-US" w:eastAsia="zh-CN"/>
              </w:rPr>
            </w:pPr>
          </w:p>
          <w:p w14:paraId="50CBA0BE">
            <w:pPr>
              <w:tabs>
                <w:tab w:val="left" w:pos="3780"/>
                <w:tab w:val="left" w:pos="6195"/>
                <w:tab w:val="left" w:pos="8613"/>
              </w:tabs>
              <w:spacing w:line="360" w:lineRule="auto"/>
              <w:ind w:firstLine="420" w:firstLineChars="200"/>
              <w:rPr>
                <w:rFonts w:hint="eastAsia"/>
                <w:color w:val="auto"/>
                <w:szCs w:val="21"/>
                <w:lang w:val="en-US" w:eastAsia="zh-CN"/>
              </w:rPr>
            </w:pPr>
          </w:p>
          <w:p w14:paraId="3BBC435B">
            <w:pPr>
              <w:tabs>
                <w:tab w:val="left" w:pos="3780"/>
                <w:tab w:val="left" w:pos="6195"/>
                <w:tab w:val="left" w:pos="8613"/>
              </w:tabs>
              <w:spacing w:line="360" w:lineRule="auto"/>
              <w:ind w:firstLine="420" w:firstLineChars="200"/>
              <w:rPr>
                <w:rFonts w:hint="eastAsia"/>
                <w:color w:val="auto"/>
                <w:szCs w:val="21"/>
                <w:lang w:val="en-US" w:eastAsia="zh-CN"/>
              </w:rPr>
            </w:pPr>
          </w:p>
          <w:p w14:paraId="359F6221">
            <w:pPr>
              <w:tabs>
                <w:tab w:val="left" w:pos="3780"/>
                <w:tab w:val="left" w:pos="6195"/>
                <w:tab w:val="left" w:pos="8613"/>
              </w:tabs>
              <w:spacing w:line="360" w:lineRule="auto"/>
              <w:ind w:firstLine="420" w:firstLineChars="200"/>
              <w:rPr>
                <w:rFonts w:hint="eastAsia"/>
                <w:color w:val="auto"/>
                <w:szCs w:val="21"/>
                <w:lang w:val="en-US" w:eastAsia="zh-CN"/>
              </w:rPr>
            </w:pPr>
          </w:p>
          <w:p w14:paraId="3887D8CC">
            <w:pPr>
              <w:tabs>
                <w:tab w:val="left" w:pos="3780"/>
                <w:tab w:val="left" w:pos="6195"/>
                <w:tab w:val="left" w:pos="8613"/>
              </w:tabs>
              <w:spacing w:line="360" w:lineRule="auto"/>
              <w:ind w:firstLine="420" w:firstLineChars="200"/>
              <w:rPr>
                <w:rFonts w:hint="default"/>
                <w:color w:val="auto"/>
                <w:szCs w:val="21"/>
                <w:lang w:val="en-US" w:eastAsia="zh-CN"/>
              </w:rPr>
            </w:pPr>
          </w:p>
        </w:tc>
      </w:tr>
    </w:tbl>
    <w:p w14:paraId="7BA8E05E">
      <w:pPr>
        <w:pStyle w:val="41"/>
        <w:jc w:val="center"/>
        <w:outlineLvl w:val="0"/>
        <w:rPr>
          <w:rFonts w:ascii="Times New Roman" w:hAnsi="Times New Roman" w:eastAsia="黑体"/>
          <w:snapToGrid w:val="0"/>
          <w:color w:val="auto"/>
          <w:sz w:val="30"/>
          <w:szCs w:val="30"/>
        </w:rPr>
      </w:pPr>
      <w:r>
        <w:rPr>
          <w:rFonts w:ascii="Times New Roman" w:hAnsi="Times New Roman" w:eastAsia="黑体"/>
          <w:snapToGrid w:val="0"/>
          <w:color w:val="auto"/>
          <w:sz w:val="36"/>
          <w:szCs w:val="36"/>
        </w:rPr>
        <w:br w:type="page"/>
      </w:r>
      <w:bookmarkStart w:id="6" w:name="_Toc16543"/>
      <w:r>
        <w:rPr>
          <w:rFonts w:ascii="Times New Roman" w:hAnsi="Times New Roman" w:eastAsia="黑体"/>
          <w:snapToGrid w:val="0"/>
          <w:color w:val="auto"/>
          <w:sz w:val="30"/>
          <w:szCs w:val="30"/>
        </w:rPr>
        <w:t>四、主要环境影响和保护措施</w:t>
      </w:r>
      <w:bookmarkEnd w:id="6"/>
    </w:p>
    <w:tbl>
      <w:tblPr>
        <w:tblStyle w:val="47"/>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712"/>
        <w:gridCol w:w="8269"/>
      </w:tblGrid>
      <w:tr w14:paraId="2FFD0AF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49" w:hRule="atLeast"/>
          <w:jc w:val="center"/>
        </w:trPr>
        <w:tc>
          <w:tcPr>
            <w:tcW w:w="746" w:type="dxa"/>
            <w:tcMar>
              <w:left w:w="28" w:type="dxa"/>
              <w:right w:w="28" w:type="dxa"/>
            </w:tcMar>
            <w:vAlign w:val="center"/>
          </w:tcPr>
          <w:p w14:paraId="2618733F">
            <w:pPr>
              <w:pStyle w:val="41"/>
              <w:adjustRightInd w:val="0"/>
              <w:snapToGrid w:val="0"/>
              <w:spacing w:before="0" w:beforeAutospacing="0" w:after="0" w:afterAutospacing="0"/>
              <w:jc w:val="center"/>
              <w:rPr>
                <w:rFonts w:ascii="Times New Roman" w:hAnsi="Times New Roman"/>
                <w:color w:val="auto"/>
                <w:kern w:val="2"/>
                <w:sz w:val="21"/>
                <w:szCs w:val="21"/>
              </w:rPr>
            </w:pPr>
            <w:r>
              <w:rPr>
                <w:rFonts w:ascii="Times New Roman" w:hAnsi="Times New Roman"/>
                <w:color w:val="auto"/>
                <w:kern w:val="2"/>
                <w:sz w:val="21"/>
                <w:szCs w:val="21"/>
              </w:rPr>
              <w:t>施工</w:t>
            </w:r>
          </w:p>
          <w:p w14:paraId="09ED3145">
            <w:pPr>
              <w:pStyle w:val="41"/>
              <w:adjustRightInd w:val="0"/>
              <w:snapToGrid w:val="0"/>
              <w:spacing w:before="0" w:beforeAutospacing="0" w:after="0" w:afterAutospacing="0"/>
              <w:jc w:val="center"/>
              <w:rPr>
                <w:rFonts w:ascii="Times New Roman" w:hAnsi="Times New Roman"/>
                <w:color w:val="auto"/>
                <w:kern w:val="2"/>
                <w:sz w:val="21"/>
                <w:szCs w:val="21"/>
              </w:rPr>
            </w:pPr>
            <w:r>
              <w:rPr>
                <w:rFonts w:ascii="Times New Roman" w:hAnsi="Times New Roman"/>
                <w:color w:val="auto"/>
                <w:kern w:val="2"/>
                <w:sz w:val="21"/>
                <w:szCs w:val="21"/>
              </w:rPr>
              <w:t>期环</w:t>
            </w:r>
          </w:p>
          <w:p w14:paraId="39500A15">
            <w:pPr>
              <w:pStyle w:val="41"/>
              <w:adjustRightInd w:val="0"/>
              <w:snapToGrid w:val="0"/>
              <w:spacing w:before="0" w:beforeAutospacing="0" w:after="0" w:afterAutospacing="0"/>
              <w:jc w:val="center"/>
              <w:rPr>
                <w:rFonts w:ascii="Times New Roman" w:hAnsi="Times New Roman"/>
                <w:color w:val="auto"/>
                <w:kern w:val="2"/>
                <w:sz w:val="21"/>
                <w:szCs w:val="21"/>
              </w:rPr>
            </w:pPr>
            <w:r>
              <w:rPr>
                <w:rFonts w:ascii="Times New Roman" w:hAnsi="Times New Roman"/>
                <w:color w:val="auto"/>
                <w:kern w:val="2"/>
                <w:sz w:val="21"/>
                <w:szCs w:val="21"/>
              </w:rPr>
              <w:t>境保</w:t>
            </w:r>
          </w:p>
          <w:p w14:paraId="12C09A6E">
            <w:pPr>
              <w:pStyle w:val="41"/>
              <w:adjustRightInd w:val="0"/>
              <w:snapToGrid w:val="0"/>
              <w:spacing w:before="0" w:beforeAutospacing="0" w:after="0" w:afterAutospacing="0"/>
              <w:jc w:val="center"/>
              <w:rPr>
                <w:rFonts w:ascii="Times New Roman" w:hAnsi="Times New Roman"/>
                <w:color w:val="auto"/>
                <w:kern w:val="2"/>
                <w:sz w:val="21"/>
                <w:szCs w:val="21"/>
              </w:rPr>
            </w:pPr>
            <w:r>
              <w:rPr>
                <w:rFonts w:ascii="Times New Roman" w:hAnsi="Times New Roman"/>
                <w:color w:val="auto"/>
                <w:kern w:val="2"/>
                <w:sz w:val="21"/>
                <w:szCs w:val="21"/>
              </w:rPr>
              <w:t>护措</w:t>
            </w:r>
          </w:p>
          <w:p w14:paraId="005D353D">
            <w:pPr>
              <w:pStyle w:val="41"/>
              <w:adjustRightInd w:val="0"/>
              <w:snapToGrid w:val="0"/>
              <w:spacing w:before="0" w:beforeAutospacing="0" w:after="0" w:afterAutospacing="0"/>
              <w:jc w:val="center"/>
              <w:rPr>
                <w:rFonts w:ascii="Times New Roman" w:hAnsi="Times New Roman"/>
                <w:bCs/>
                <w:color w:val="auto"/>
                <w:kern w:val="2"/>
                <w:sz w:val="21"/>
                <w:szCs w:val="21"/>
              </w:rPr>
            </w:pPr>
            <w:r>
              <w:rPr>
                <w:rFonts w:ascii="Times New Roman" w:hAnsi="Times New Roman"/>
                <w:color w:val="auto"/>
                <w:kern w:val="2"/>
                <w:sz w:val="21"/>
                <w:szCs w:val="21"/>
              </w:rPr>
              <w:t>施</w:t>
            </w:r>
          </w:p>
        </w:tc>
        <w:tc>
          <w:tcPr>
            <w:tcW w:w="8162" w:type="dxa"/>
            <w:vAlign w:val="center"/>
          </w:tcPr>
          <w:p w14:paraId="79D86A94">
            <w:pPr>
              <w:spacing w:line="360" w:lineRule="auto"/>
              <w:ind w:firstLine="420" w:firstLineChars="200"/>
              <w:rPr>
                <w:color w:val="auto"/>
                <w:szCs w:val="21"/>
              </w:rPr>
            </w:pPr>
            <w:r>
              <w:rPr>
                <w:rFonts w:hint="default"/>
                <w:color w:val="auto"/>
                <w:szCs w:val="21"/>
                <w:lang w:val="en-US" w:eastAsia="zh-CN"/>
              </w:rPr>
              <w:t>1</w:t>
            </w:r>
            <w:r>
              <w:rPr>
                <w:rFonts w:hint="eastAsia"/>
                <w:color w:val="auto"/>
                <w:szCs w:val="21"/>
                <w:lang w:val="en-US" w:eastAsia="zh-CN"/>
              </w:rPr>
              <w:t xml:space="preserve">、施工扬尘防治措施 </w:t>
            </w:r>
          </w:p>
          <w:p w14:paraId="4AF5278B">
            <w:pPr>
              <w:spacing w:line="360" w:lineRule="auto"/>
              <w:ind w:firstLine="420" w:firstLineChars="200"/>
              <w:rPr>
                <w:color w:val="auto"/>
                <w:szCs w:val="21"/>
              </w:rPr>
            </w:pPr>
            <w:r>
              <w:rPr>
                <w:rFonts w:hint="eastAsia"/>
                <w:color w:val="auto"/>
                <w:szCs w:val="21"/>
                <w:lang w:val="en-US" w:eastAsia="zh-CN"/>
              </w:rPr>
              <w:t xml:space="preserve">为减少施工过程产生的扬尘对周边大气环境的影响，尤其是对周边住宅小区等大气环境敏感目标环境空气的影响，本次评价提出以下措施： </w:t>
            </w:r>
          </w:p>
          <w:p w14:paraId="337CD6C8">
            <w:pPr>
              <w:spacing w:line="360" w:lineRule="auto"/>
              <w:ind w:firstLine="420" w:firstLineChars="200"/>
              <w:rPr>
                <w:color w:val="auto"/>
                <w:szCs w:val="21"/>
              </w:rPr>
            </w:pPr>
            <w:r>
              <w:rPr>
                <w:rFonts w:hint="eastAsia"/>
                <w:color w:val="auto"/>
                <w:szCs w:val="21"/>
                <w:lang w:val="en-US" w:eastAsia="zh-CN"/>
              </w:rPr>
              <w:t xml:space="preserve">①施工场地设置围挡；施工过程中使用水泥、石灰、砂石、涂料、辅装材料等容易产生扬尘的建筑材料，应采取设置专门的堆棚，并使用防尘布对原料进行遮盖，保证材料妥善堆存，抑制起尘；经调查，目前场地已设置有2.5m高围挡。 </w:t>
            </w:r>
          </w:p>
          <w:p w14:paraId="0AA8A97C">
            <w:pPr>
              <w:spacing w:line="360" w:lineRule="auto"/>
              <w:ind w:firstLine="420" w:firstLineChars="200"/>
              <w:rPr>
                <w:color w:val="auto"/>
                <w:szCs w:val="21"/>
              </w:rPr>
            </w:pPr>
            <w:r>
              <w:rPr>
                <w:rFonts w:hint="eastAsia"/>
                <w:color w:val="auto"/>
                <w:szCs w:val="21"/>
                <w:lang w:val="en-US" w:eastAsia="zh-CN"/>
              </w:rPr>
              <w:t xml:space="preserve">②施工过程产生的弃料及其他建筑垃圾，应及时清运。有砂石、灰土、灰浆所有易扬尘物料都必须以不透水的隔尘布完全覆盖或放置在顶部和四周均有遮蔽的范围内；防尘布和遮蔽设施的完好率必须大于 </w:t>
            </w:r>
            <w:r>
              <w:rPr>
                <w:rFonts w:hint="default"/>
                <w:color w:val="auto"/>
                <w:szCs w:val="21"/>
                <w:lang w:val="en-US" w:eastAsia="zh-CN"/>
              </w:rPr>
              <w:t>95%</w:t>
            </w:r>
            <w:r>
              <w:rPr>
                <w:rFonts w:hint="eastAsia"/>
                <w:color w:val="auto"/>
                <w:szCs w:val="21"/>
                <w:lang w:val="en-US" w:eastAsia="zh-CN"/>
              </w:rPr>
              <w:t xml:space="preserve">； </w:t>
            </w:r>
          </w:p>
          <w:p w14:paraId="239A37D6">
            <w:pPr>
              <w:spacing w:line="360" w:lineRule="auto"/>
              <w:ind w:firstLine="420" w:firstLineChars="200"/>
              <w:rPr>
                <w:color w:val="auto"/>
                <w:szCs w:val="21"/>
              </w:rPr>
            </w:pPr>
            <w:r>
              <w:rPr>
                <w:rFonts w:hint="eastAsia"/>
                <w:color w:val="auto"/>
                <w:szCs w:val="21"/>
                <w:lang w:val="en-US" w:eastAsia="zh-CN"/>
              </w:rPr>
              <w:t xml:space="preserve">③施工期间，工地内从建筑上层将具有粉尘逸散性的物料、渣土或废弃物输送至地面或地下楼层时，可从建筑内部管道或密闭输送管道输送，或者打包装框搬运，不得凌空抛散； </w:t>
            </w:r>
          </w:p>
          <w:p w14:paraId="0883EB18">
            <w:pPr>
              <w:spacing w:line="360" w:lineRule="auto"/>
              <w:ind w:firstLine="420" w:firstLineChars="200"/>
              <w:rPr>
                <w:color w:val="auto"/>
                <w:szCs w:val="21"/>
              </w:rPr>
            </w:pPr>
            <w:r>
              <w:rPr>
                <w:rFonts w:hint="eastAsia"/>
                <w:color w:val="auto"/>
                <w:szCs w:val="21"/>
                <w:lang w:val="en-US" w:eastAsia="zh-CN"/>
              </w:rPr>
              <w:t xml:space="preserve">④运输路线应尽量选择距离居民区、学校较远的道路，减少运输扬尘对其影响。 </w:t>
            </w:r>
          </w:p>
          <w:p w14:paraId="4ADF6D89">
            <w:pPr>
              <w:spacing w:line="360" w:lineRule="auto"/>
              <w:ind w:firstLine="420" w:firstLineChars="200"/>
              <w:rPr>
                <w:color w:val="auto"/>
                <w:szCs w:val="21"/>
              </w:rPr>
            </w:pPr>
            <w:r>
              <w:rPr>
                <w:rFonts w:hint="eastAsia"/>
                <w:color w:val="auto"/>
                <w:szCs w:val="21"/>
                <w:lang w:val="en-US" w:eastAsia="zh-CN"/>
              </w:rPr>
              <w:t xml:space="preserve">⑤大风天气禁止施工，严格落实“六个百分百” ，即施工工地 </w:t>
            </w:r>
            <w:r>
              <w:rPr>
                <w:rFonts w:hint="default"/>
                <w:color w:val="auto"/>
                <w:szCs w:val="21"/>
                <w:lang w:val="en-US" w:eastAsia="zh-CN"/>
              </w:rPr>
              <w:t>100%</w:t>
            </w:r>
            <w:r>
              <w:rPr>
                <w:rFonts w:hint="eastAsia"/>
                <w:color w:val="auto"/>
                <w:szCs w:val="21"/>
                <w:lang w:val="en-US" w:eastAsia="zh-CN"/>
              </w:rPr>
              <w:t xml:space="preserve">围挡、施工工地道路 </w:t>
            </w:r>
            <w:r>
              <w:rPr>
                <w:rFonts w:hint="default"/>
                <w:color w:val="auto"/>
                <w:szCs w:val="21"/>
                <w:lang w:val="en-US" w:eastAsia="zh-CN"/>
              </w:rPr>
              <w:t>100%</w:t>
            </w:r>
            <w:r>
              <w:rPr>
                <w:rFonts w:hint="eastAsia"/>
                <w:color w:val="auto"/>
                <w:szCs w:val="21"/>
                <w:lang w:val="en-US" w:eastAsia="zh-CN"/>
              </w:rPr>
              <w:t xml:space="preserve">硬化、土方和拆迁施工 </w:t>
            </w:r>
            <w:r>
              <w:rPr>
                <w:rFonts w:hint="default"/>
                <w:color w:val="auto"/>
                <w:szCs w:val="21"/>
                <w:lang w:val="en-US" w:eastAsia="zh-CN"/>
              </w:rPr>
              <w:t>100%</w:t>
            </w:r>
            <w:r>
              <w:rPr>
                <w:rFonts w:hint="eastAsia"/>
                <w:color w:val="auto"/>
                <w:szCs w:val="21"/>
                <w:lang w:val="en-US" w:eastAsia="zh-CN"/>
              </w:rPr>
              <w:t xml:space="preserve">湿法作业、渣土车辆 </w:t>
            </w:r>
            <w:r>
              <w:rPr>
                <w:rFonts w:hint="default"/>
                <w:color w:val="auto"/>
                <w:szCs w:val="21"/>
                <w:lang w:val="en-US" w:eastAsia="zh-CN"/>
              </w:rPr>
              <w:t>100%</w:t>
            </w:r>
            <w:r>
              <w:rPr>
                <w:rFonts w:hint="eastAsia"/>
                <w:color w:val="auto"/>
                <w:szCs w:val="21"/>
                <w:lang w:val="en-US" w:eastAsia="zh-CN"/>
              </w:rPr>
              <w:t xml:space="preserve">密闭运输、工地出入车辆 </w:t>
            </w:r>
            <w:r>
              <w:rPr>
                <w:rFonts w:hint="default"/>
                <w:color w:val="auto"/>
                <w:szCs w:val="21"/>
                <w:lang w:val="en-US" w:eastAsia="zh-CN"/>
              </w:rPr>
              <w:t>100%</w:t>
            </w:r>
            <w:r>
              <w:rPr>
                <w:rFonts w:hint="eastAsia"/>
                <w:color w:val="auto"/>
                <w:szCs w:val="21"/>
                <w:lang w:val="en-US" w:eastAsia="zh-CN"/>
              </w:rPr>
              <w:t xml:space="preserve">冲洗、工地物料堆放 </w:t>
            </w:r>
            <w:r>
              <w:rPr>
                <w:rFonts w:hint="default"/>
                <w:color w:val="auto"/>
                <w:szCs w:val="21"/>
                <w:lang w:val="en-US" w:eastAsia="zh-CN"/>
              </w:rPr>
              <w:t>100%</w:t>
            </w:r>
            <w:r>
              <w:rPr>
                <w:rFonts w:hint="eastAsia"/>
                <w:color w:val="auto"/>
                <w:szCs w:val="21"/>
                <w:lang w:val="en-US" w:eastAsia="zh-CN"/>
              </w:rPr>
              <w:t xml:space="preserve">覆盖。通过以上措施，减少施工期扬尘产生。 </w:t>
            </w:r>
          </w:p>
          <w:p w14:paraId="341A9841">
            <w:pPr>
              <w:spacing w:line="360" w:lineRule="auto"/>
              <w:ind w:firstLine="420" w:firstLineChars="200"/>
              <w:rPr>
                <w:color w:val="auto"/>
                <w:szCs w:val="21"/>
              </w:rPr>
            </w:pPr>
            <w:r>
              <w:rPr>
                <w:rFonts w:hint="eastAsia"/>
                <w:color w:val="auto"/>
                <w:szCs w:val="21"/>
                <w:lang w:val="en-US" w:eastAsia="zh-CN"/>
              </w:rPr>
              <w:t xml:space="preserve">⑥使用商品混凝土；施工道路要硬化防渗、粉状物料运输车辆应密闭或采用帆布覆盖；施工场地尤其是临时弃土堆应采取苫布覆盖；土方工程等作业要采取湿式作业，减少扬尘产生； </w:t>
            </w:r>
          </w:p>
          <w:p w14:paraId="39677993">
            <w:pPr>
              <w:spacing w:line="360" w:lineRule="auto"/>
              <w:ind w:firstLine="420" w:firstLineChars="200"/>
              <w:rPr>
                <w:color w:val="auto"/>
                <w:szCs w:val="21"/>
              </w:rPr>
            </w:pPr>
            <w:r>
              <w:rPr>
                <w:rFonts w:hint="eastAsia"/>
                <w:color w:val="auto"/>
                <w:szCs w:val="21"/>
                <w:lang w:val="en-US" w:eastAsia="zh-CN"/>
              </w:rPr>
              <w:t xml:space="preserve">⑦建设工程业主应根据《建设工程施工现场管理规定》的规定设置施工标志牌、现场平面布置图、工程概况牌、安全生产牌、消防保卫牌、文明施工牌、环境保护牌。施工标志牌上应当标明工程项目名称，设计单位、施工单位、监理单位名称，项目经理姓名、联系方式、开工和计划竣工日期，施工许可证批准文号以及当地环境主管部门的污染举报电话。 </w:t>
            </w:r>
          </w:p>
          <w:p w14:paraId="043D0FDD">
            <w:pPr>
              <w:spacing w:line="360" w:lineRule="auto"/>
              <w:ind w:firstLine="420" w:firstLineChars="200"/>
              <w:rPr>
                <w:color w:val="auto"/>
                <w:szCs w:val="21"/>
              </w:rPr>
            </w:pPr>
            <w:r>
              <w:rPr>
                <w:rFonts w:hint="eastAsia"/>
                <w:color w:val="auto"/>
                <w:szCs w:val="21"/>
                <w:lang w:val="en-US" w:eastAsia="zh-CN"/>
              </w:rPr>
              <w:t>⑧场地进出口处设置洗车平台，运输车辆进出场地应对车身、轮胎等进行清洗，减少道路扬尘；</w:t>
            </w:r>
          </w:p>
          <w:p w14:paraId="56E0082E">
            <w:pPr>
              <w:spacing w:line="360" w:lineRule="auto"/>
              <w:ind w:firstLine="420" w:firstLineChars="200"/>
              <w:rPr>
                <w:color w:val="auto"/>
                <w:szCs w:val="21"/>
              </w:rPr>
            </w:pPr>
            <w:r>
              <w:rPr>
                <w:rFonts w:hint="default"/>
                <w:color w:val="auto"/>
                <w:szCs w:val="21"/>
                <w:lang w:val="en-US" w:eastAsia="zh-CN"/>
              </w:rPr>
              <w:t>2</w:t>
            </w:r>
            <w:r>
              <w:rPr>
                <w:rFonts w:hint="eastAsia"/>
                <w:color w:val="auto"/>
                <w:szCs w:val="21"/>
                <w:lang w:val="en-US" w:eastAsia="zh-CN"/>
              </w:rPr>
              <w:t xml:space="preserve">、施工废水防治措施 </w:t>
            </w:r>
          </w:p>
          <w:p w14:paraId="5FE4A09B">
            <w:pPr>
              <w:spacing w:line="360" w:lineRule="auto"/>
              <w:ind w:firstLine="420" w:firstLineChars="200"/>
              <w:rPr>
                <w:color w:val="auto"/>
                <w:szCs w:val="21"/>
              </w:rPr>
            </w:pPr>
            <w:r>
              <w:rPr>
                <w:rFonts w:hint="eastAsia"/>
                <w:color w:val="auto"/>
                <w:szCs w:val="21"/>
                <w:lang w:val="en-US" w:eastAsia="zh-CN"/>
              </w:rPr>
              <w:t>（</w:t>
            </w:r>
            <w:r>
              <w:rPr>
                <w:rFonts w:hint="default"/>
                <w:color w:val="auto"/>
                <w:szCs w:val="21"/>
                <w:lang w:val="en-US" w:eastAsia="zh-CN"/>
              </w:rPr>
              <w:t>1</w:t>
            </w:r>
            <w:r>
              <w:rPr>
                <w:rFonts w:hint="eastAsia"/>
                <w:color w:val="auto"/>
                <w:szCs w:val="21"/>
                <w:lang w:val="en-US" w:eastAsia="zh-CN"/>
              </w:rPr>
              <w:t xml:space="preserve">）施工废水：施工期设备、车辆等冲洗水只含有少量泥沙和石油类，排放量较小，沉淀后用于施工现场洒水抑尘，不外排。 </w:t>
            </w:r>
          </w:p>
          <w:p w14:paraId="1F43232F">
            <w:pPr>
              <w:spacing w:line="360" w:lineRule="auto"/>
              <w:ind w:firstLine="420" w:firstLineChars="200"/>
              <w:rPr>
                <w:color w:val="auto"/>
                <w:szCs w:val="21"/>
              </w:rPr>
            </w:pPr>
            <w:r>
              <w:rPr>
                <w:rFonts w:hint="eastAsia"/>
                <w:color w:val="auto"/>
                <w:szCs w:val="21"/>
                <w:lang w:val="en-US" w:eastAsia="zh-CN"/>
              </w:rPr>
              <w:t>（</w:t>
            </w:r>
            <w:r>
              <w:rPr>
                <w:rFonts w:hint="default"/>
                <w:color w:val="auto"/>
                <w:szCs w:val="21"/>
                <w:lang w:val="en-US" w:eastAsia="zh-CN"/>
              </w:rPr>
              <w:t>2</w:t>
            </w:r>
            <w:r>
              <w:rPr>
                <w:rFonts w:hint="eastAsia"/>
                <w:color w:val="auto"/>
                <w:szCs w:val="21"/>
                <w:lang w:val="en-US" w:eastAsia="zh-CN"/>
              </w:rPr>
              <w:t xml:space="preserve">）施工人员的生活污水：项目施工期场地内使用旱厕，经化粪池处理后排入市政污水管网。 </w:t>
            </w:r>
          </w:p>
          <w:p w14:paraId="53AB5B70">
            <w:pPr>
              <w:spacing w:line="360" w:lineRule="auto"/>
              <w:ind w:firstLine="420" w:firstLineChars="200"/>
              <w:rPr>
                <w:color w:val="auto"/>
                <w:szCs w:val="21"/>
              </w:rPr>
            </w:pPr>
            <w:r>
              <w:rPr>
                <w:rFonts w:hint="default"/>
                <w:color w:val="auto"/>
                <w:szCs w:val="21"/>
                <w:lang w:val="en-US" w:eastAsia="zh-CN"/>
              </w:rPr>
              <w:t>3</w:t>
            </w:r>
            <w:r>
              <w:rPr>
                <w:rFonts w:hint="eastAsia"/>
                <w:color w:val="auto"/>
                <w:szCs w:val="21"/>
                <w:lang w:val="en-US" w:eastAsia="zh-CN"/>
              </w:rPr>
              <w:t xml:space="preserve">、固体废物防治措施 </w:t>
            </w:r>
          </w:p>
          <w:p w14:paraId="0FB877CA">
            <w:pPr>
              <w:spacing w:line="360" w:lineRule="auto"/>
              <w:ind w:firstLine="420" w:firstLineChars="200"/>
              <w:rPr>
                <w:color w:val="auto"/>
                <w:szCs w:val="21"/>
              </w:rPr>
            </w:pPr>
            <w:r>
              <w:rPr>
                <w:rFonts w:hint="eastAsia"/>
                <w:color w:val="auto"/>
                <w:szCs w:val="21"/>
                <w:lang w:val="en-US" w:eastAsia="zh-CN"/>
              </w:rPr>
              <w:t xml:space="preserve">环评要求项目施工期产生的建筑垃圾及时清运至城建部门指定的建筑垃圾填埋场； </w:t>
            </w:r>
          </w:p>
          <w:p w14:paraId="66DACADB">
            <w:pPr>
              <w:spacing w:line="360" w:lineRule="auto"/>
              <w:ind w:firstLine="420" w:firstLineChars="200"/>
              <w:rPr>
                <w:color w:val="auto"/>
                <w:szCs w:val="21"/>
              </w:rPr>
            </w:pPr>
            <w:r>
              <w:rPr>
                <w:rFonts w:hint="eastAsia"/>
                <w:color w:val="auto"/>
                <w:szCs w:val="21"/>
                <w:lang w:val="en-US" w:eastAsia="zh-CN"/>
              </w:rPr>
              <w:t xml:space="preserve">场地内设置封闭式垃圾桶，施工人员产生的生活垃圾收集后运至附近生活垃圾转运点，由环卫部门处置。 </w:t>
            </w:r>
          </w:p>
          <w:p w14:paraId="37090409">
            <w:pPr>
              <w:spacing w:line="360" w:lineRule="auto"/>
              <w:ind w:firstLine="420" w:firstLineChars="200"/>
              <w:rPr>
                <w:color w:val="auto"/>
                <w:szCs w:val="21"/>
              </w:rPr>
            </w:pPr>
            <w:r>
              <w:rPr>
                <w:rFonts w:hint="default"/>
                <w:color w:val="auto"/>
                <w:szCs w:val="21"/>
                <w:lang w:val="en-US" w:eastAsia="zh-CN"/>
              </w:rPr>
              <w:t>4</w:t>
            </w:r>
            <w:r>
              <w:rPr>
                <w:rFonts w:hint="eastAsia"/>
                <w:color w:val="auto"/>
                <w:szCs w:val="21"/>
                <w:lang w:val="en-US" w:eastAsia="zh-CN"/>
              </w:rPr>
              <w:t xml:space="preserve">、施工噪声防治措施 </w:t>
            </w:r>
          </w:p>
          <w:p w14:paraId="0A6C7B1C">
            <w:pPr>
              <w:spacing w:line="360" w:lineRule="auto"/>
              <w:ind w:firstLine="420" w:firstLineChars="200"/>
              <w:rPr>
                <w:color w:val="auto"/>
                <w:szCs w:val="21"/>
              </w:rPr>
            </w:pPr>
            <w:r>
              <w:rPr>
                <w:rFonts w:hint="eastAsia"/>
                <w:color w:val="auto"/>
                <w:szCs w:val="21"/>
                <w:lang w:val="en-US" w:eastAsia="zh-CN"/>
              </w:rPr>
              <w:t xml:space="preserve">为避免噪声对周边敏感目标的影响，环评要求施工期选用低噪设备，加强设备维护，高噪声作业尽量远离附近敏感目标等居民区，并且在施工场地周围设置简易隔声屏障，防止噪声对周围环境的影响；严禁在夜间 </w:t>
            </w:r>
            <w:r>
              <w:rPr>
                <w:rFonts w:hint="default"/>
                <w:color w:val="auto"/>
                <w:szCs w:val="21"/>
                <w:lang w:val="en-US" w:eastAsia="zh-CN"/>
              </w:rPr>
              <w:t xml:space="preserve">22:00 </w:t>
            </w:r>
            <w:r>
              <w:rPr>
                <w:rFonts w:hint="eastAsia"/>
                <w:color w:val="auto"/>
                <w:szCs w:val="21"/>
                <w:lang w:val="en-US" w:eastAsia="zh-CN"/>
              </w:rPr>
              <w:t xml:space="preserve">至次日 </w:t>
            </w:r>
            <w:r>
              <w:rPr>
                <w:rFonts w:hint="default"/>
                <w:color w:val="auto"/>
                <w:szCs w:val="21"/>
                <w:lang w:val="en-US" w:eastAsia="zh-CN"/>
              </w:rPr>
              <w:t xml:space="preserve">6:00 </w:t>
            </w:r>
            <w:r>
              <w:rPr>
                <w:rFonts w:hint="eastAsia"/>
                <w:color w:val="auto"/>
                <w:szCs w:val="21"/>
                <w:lang w:val="en-US" w:eastAsia="zh-CN"/>
              </w:rPr>
              <w:t xml:space="preserve">期间进行高噪声机械作业的有关规定，对于必须在夜间连续施工并产生噪声的工序，必须在当地环保部门登记备案，要求施工单位必须预先申请获批准后方可按申请要求施工，不得擅自更改，使施工噪声对项目周围的影响降到最低限度。同时建设单位在工程建设时，应和周围单位及居民通过友好协商，取得谅解，或采取一定的补偿措施，以免因噪声问题引发污染纠纷。 </w:t>
            </w:r>
          </w:p>
          <w:p w14:paraId="0DEF40E9">
            <w:pPr>
              <w:spacing w:line="360" w:lineRule="auto"/>
              <w:ind w:firstLine="420" w:firstLineChars="200"/>
              <w:rPr>
                <w:color w:val="auto"/>
                <w:szCs w:val="21"/>
              </w:rPr>
            </w:pPr>
            <w:r>
              <w:rPr>
                <w:rFonts w:hint="eastAsia"/>
                <w:color w:val="auto"/>
                <w:szCs w:val="21"/>
                <w:lang w:val="en-US" w:eastAsia="zh-CN"/>
              </w:rPr>
              <w:t>为减少项目建设对项目南侧居民楼的影响，评价要求项目建设过程中，选择合理的施工时间和施工工艺，夜间停止施工，运输车辆不得鸣笛，加强一线操作人员的环境意识，对一些零星的手工作业，如拆装模板、装卸材料设备，做到轻拿轻放，并辅以一定的减缓措施，如铺设草包等；加强与居民的沟通，尽量减少对其生活的影响。</w:t>
            </w:r>
          </w:p>
          <w:p w14:paraId="0558256F">
            <w:pPr>
              <w:spacing w:line="360" w:lineRule="auto"/>
              <w:ind w:firstLine="420" w:firstLineChars="200"/>
              <w:rPr>
                <w:color w:val="auto"/>
                <w:szCs w:val="21"/>
              </w:rPr>
            </w:pPr>
          </w:p>
          <w:p w14:paraId="208640FB">
            <w:pPr>
              <w:spacing w:line="360" w:lineRule="auto"/>
              <w:ind w:firstLine="420" w:firstLineChars="200"/>
              <w:rPr>
                <w:color w:val="auto"/>
                <w:szCs w:val="21"/>
              </w:rPr>
            </w:pPr>
          </w:p>
          <w:p w14:paraId="77E2E225">
            <w:pPr>
              <w:spacing w:line="360" w:lineRule="auto"/>
              <w:ind w:firstLine="420" w:firstLineChars="200"/>
              <w:rPr>
                <w:color w:val="auto"/>
                <w:szCs w:val="21"/>
              </w:rPr>
            </w:pPr>
          </w:p>
          <w:p w14:paraId="33F631CC">
            <w:pPr>
              <w:spacing w:line="360" w:lineRule="auto"/>
              <w:ind w:firstLine="420" w:firstLineChars="200"/>
              <w:rPr>
                <w:color w:val="auto"/>
                <w:szCs w:val="21"/>
              </w:rPr>
            </w:pPr>
          </w:p>
          <w:p w14:paraId="6FA2E531">
            <w:pPr>
              <w:spacing w:line="360" w:lineRule="auto"/>
              <w:ind w:firstLine="420" w:firstLineChars="200"/>
              <w:rPr>
                <w:color w:val="auto"/>
                <w:szCs w:val="21"/>
              </w:rPr>
            </w:pPr>
          </w:p>
          <w:p w14:paraId="2A147745">
            <w:pPr>
              <w:spacing w:line="360" w:lineRule="auto"/>
              <w:ind w:firstLine="420" w:firstLineChars="200"/>
              <w:rPr>
                <w:color w:val="auto"/>
                <w:szCs w:val="21"/>
              </w:rPr>
            </w:pPr>
          </w:p>
          <w:p w14:paraId="5B17C043">
            <w:pPr>
              <w:spacing w:line="360" w:lineRule="auto"/>
              <w:ind w:firstLine="420" w:firstLineChars="200"/>
              <w:rPr>
                <w:color w:val="auto"/>
                <w:szCs w:val="21"/>
              </w:rPr>
            </w:pPr>
          </w:p>
          <w:p w14:paraId="23A2AF21">
            <w:pPr>
              <w:spacing w:line="360" w:lineRule="auto"/>
              <w:ind w:firstLine="420" w:firstLineChars="200"/>
              <w:rPr>
                <w:color w:val="auto"/>
                <w:szCs w:val="21"/>
              </w:rPr>
            </w:pPr>
          </w:p>
          <w:p w14:paraId="239E85F5">
            <w:pPr>
              <w:spacing w:line="360" w:lineRule="auto"/>
              <w:ind w:firstLine="420" w:firstLineChars="200"/>
              <w:rPr>
                <w:color w:val="auto"/>
                <w:szCs w:val="21"/>
              </w:rPr>
            </w:pPr>
          </w:p>
          <w:p w14:paraId="7F509F56">
            <w:pPr>
              <w:spacing w:line="360" w:lineRule="auto"/>
              <w:ind w:firstLine="420" w:firstLineChars="200"/>
              <w:rPr>
                <w:color w:val="auto"/>
                <w:szCs w:val="21"/>
              </w:rPr>
            </w:pPr>
          </w:p>
          <w:p w14:paraId="64BA79C1">
            <w:pPr>
              <w:spacing w:line="360" w:lineRule="auto"/>
              <w:ind w:firstLine="420" w:firstLineChars="200"/>
              <w:rPr>
                <w:color w:val="auto"/>
                <w:szCs w:val="21"/>
              </w:rPr>
            </w:pPr>
          </w:p>
          <w:p w14:paraId="6E9649B7">
            <w:pPr>
              <w:spacing w:line="360" w:lineRule="auto"/>
              <w:ind w:firstLine="420" w:firstLineChars="200"/>
              <w:rPr>
                <w:color w:val="auto"/>
                <w:szCs w:val="21"/>
              </w:rPr>
            </w:pPr>
          </w:p>
          <w:p w14:paraId="5D754E94">
            <w:pPr>
              <w:spacing w:line="360" w:lineRule="auto"/>
              <w:ind w:firstLine="420" w:firstLineChars="200"/>
              <w:rPr>
                <w:color w:val="auto"/>
                <w:szCs w:val="21"/>
              </w:rPr>
            </w:pPr>
          </w:p>
          <w:p w14:paraId="4552E729">
            <w:pPr>
              <w:spacing w:line="360" w:lineRule="auto"/>
              <w:ind w:firstLine="420" w:firstLineChars="200"/>
              <w:rPr>
                <w:color w:val="auto"/>
                <w:szCs w:val="21"/>
              </w:rPr>
            </w:pPr>
          </w:p>
        </w:tc>
      </w:tr>
      <w:tr w14:paraId="47237E4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10" w:hRule="atLeast"/>
          <w:jc w:val="center"/>
        </w:trPr>
        <w:tc>
          <w:tcPr>
            <w:tcW w:w="746" w:type="dxa"/>
            <w:tcMar>
              <w:left w:w="28" w:type="dxa"/>
              <w:right w:w="28" w:type="dxa"/>
            </w:tcMar>
            <w:vAlign w:val="center"/>
          </w:tcPr>
          <w:p w14:paraId="10780F99">
            <w:pPr>
              <w:adjustRightInd w:val="0"/>
              <w:snapToGrid w:val="0"/>
              <w:jc w:val="center"/>
              <w:rPr>
                <w:bCs/>
                <w:szCs w:val="21"/>
              </w:rPr>
            </w:pPr>
            <w:r>
              <w:rPr>
                <w:bCs/>
                <w:szCs w:val="21"/>
              </w:rPr>
              <w:t>运营</w:t>
            </w:r>
          </w:p>
          <w:p w14:paraId="127A0E74">
            <w:pPr>
              <w:adjustRightInd w:val="0"/>
              <w:snapToGrid w:val="0"/>
              <w:jc w:val="center"/>
              <w:rPr>
                <w:bCs/>
                <w:szCs w:val="21"/>
              </w:rPr>
            </w:pPr>
            <w:r>
              <w:rPr>
                <w:bCs/>
                <w:szCs w:val="21"/>
              </w:rPr>
              <w:t>期环</w:t>
            </w:r>
          </w:p>
          <w:p w14:paraId="648A607A">
            <w:pPr>
              <w:adjustRightInd w:val="0"/>
              <w:snapToGrid w:val="0"/>
              <w:jc w:val="center"/>
              <w:rPr>
                <w:bCs/>
                <w:szCs w:val="21"/>
              </w:rPr>
            </w:pPr>
            <w:r>
              <w:rPr>
                <w:bCs/>
                <w:szCs w:val="21"/>
              </w:rPr>
              <w:t>境影</w:t>
            </w:r>
          </w:p>
          <w:p w14:paraId="423BA231">
            <w:pPr>
              <w:adjustRightInd w:val="0"/>
              <w:snapToGrid w:val="0"/>
              <w:jc w:val="center"/>
              <w:rPr>
                <w:bCs/>
                <w:szCs w:val="21"/>
              </w:rPr>
            </w:pPr>
            <w:r>
              <w:rPr>
                <w:bCs/>
                <w:szCs w:val="21"/>
              </w:rPr>
              <w:t>响和</w:t>
            </w:r>
          </w:p>
          <w:p w14:paraId="02417904">
            <w:pPr>
              <w:adjustRightInd w:val="0"/>
              <w:snapToGrid w:val="0"/>
              <w:jc w:val="center"/>
              <w:rPr>
                <w:bCs/>
                <w:szCs w:val="21"/>
              </w:rPr>
            </w:pPr>
            <w:r>
              <w:rPr>
                <w:bCs/>
                <w:szCs w:val="21"/>
              </w:rPr>
              <w:t>保护</w:t>
            </w:r>
          </w:p>
          <w:p w14:paraId="1BB919F6">
            <w:pPr>
              <w:adjustRightInd w:val="0"/>
              <w:snapToGrid w:val="0"/>
              <w:jc w:val="center"/>
              <w:rPr>
                <w:bCs/>
                <w:szCs w:val="21"/>
              </w:rPr>
            </w:pPr>
            <w:r>
              <w:rPr>
                <w:bCs/>
                <w:szCs w:val="21"/>
              </w:rPr>
              <w:t>措施</w:t>
            </w:r>
          </w:p>
        </w:tc>
        <w:tc>
          <w:tcPr>
            <w:tcW w:w="8162" w:type="dxa"/>
            <w:vAlign w:val="center"/>
          </w:tcPr>
          <w:p w14:paraId="7FA60E71">
            <w:pPr>
              <w:snapToGrid w:val="0"/>
              <w:spacing w:line="360" w:lineRule="auto"/>
              <w:ind w:firstLine="413" w:firstLineChars="196"/>
              <w:rPr>
                <w:rFonts w:hint="eastAsia" w:eastAsia="宋体"/>
                <w:b/>
                <w:color w:val="auto"/>
                <w:szCs w:val="21"/>
                <w:lang w:eastAsia="zh-CN"/>
              </w:rPr>
            </w:pPr>
            <w:r>
              <w:rPr>
                <w:rFonts w:hint="eastAsia"/>
                <w:b/>
                <w:color w:val="auto"/>
                <w:szCs w:val="21"/>
                <w:lang w:val="en-US" w:eastAsia="zh-CN"/>
              </w:rPr>
              <w:t>4.</w:t>
            </w:r>
            <w:r>
              <w:rPr>
                <w:b/>
                <w:color w:val="auto"/>
                <w:szCs w:val="21"/>
              </w:rPr>
              <w:t>1、</w:t>
            </w:r>
            <w:r>
              <w:rPr>
                <w:rFonts w:hint="eastAsia"/>
                <w:b/>
                <w:color w:val="auto"/>
                <w:szCs w:val="21"/>
                <w:lang w:val="en-US" w:eastAsia="zh-CN"/>
              </w:rPr>
              <w:t>废气</w:t>
            </w:r>
          </w:p>
          <w:p w14:paraId="51FB2118">
            <w:pPr>
              <w:spacing w:line="360" w:lineRule="auto"/>
              <w:ind w:firstLine="420" w:firstLineChars="200"/>
              <w:rPr>
                <w:color w:val="auto"/>
                <w:szCs w:val="21"/>
              </w:rPr>
            </w:pPr>
            <w:r>
              <w:rPr>
                <w:rFonts w:hint="eastAsia"/>
                <w:color w:val="auto"/>
                <w:szCs w:val="21"/>
                <w:lang w:val="en-US" w:eastAsia="zh-CN"/>
              </w:rPr>
              <w:t>1、</w:t>
            </w:r>
            <w:r>
              <w:rPr>
                <w:color w:val="auto"/>
                <w:szCs w:val="21"/>
              </w:rPr>
              <w:t>污染源强计算及防治措施</w:t>
            </w:r>
          </w:p>
          <w:p w14:paraId="47B368AB">
            <w:pPr>
              <w:spacing w:line="360" w:lineRule="auto"/>
              <w:ind w:firstLine="420" w:firstLineChars="200"/>
              <w:rPr>
                <w:color w:val="auto"/>
                <w:szCs w:val="21"/>
              </w:rPr>
            </w:pPr>
            <w:r>
              <w:rPr>
                <w:color w:val="auto"/>
                <w:szCs w:val="21"/>
              </w:rPr>
              <w:t>根据工艺流程及产排污环节图可知，项目营运期废气主要包括</w:t>
            </w:r>
            <w:r>
              <w:rPr>
                <w:rFonts w:hint="eastAsia"/>
                <w:bCs/>
                <w:color w:val="auto"/>
                <w:szCs w:val="21"/>
                <w:lang w:val="en-US" w:eastAsia="zh-CN"/>
              </w:rPr>
              <w:t>污水处理站恶臭、食堂油烟</w:t>
            </w:r>
            <w:r>
              <w:rPr>
                <w:color w:val="auto"/>
                <w:szCs w:val="21"/>
              </w:rPr>
              <w:t>等。</w:t>
            </w:r>
          </w:p>
          <w:p w14:paraId="552A3A4C">
            <w:pPr>
              <w:pStyle w:val="153"/>
              <w:spacing w:before="0" w:after="0" w:line="240" w:lineRule="exact"/>
              <w:rPr>
                <w:rFonts w:hint="default" w:eastAsia="宋体"/>
                <w:color w:val="auto"/>
                <w:sz w:val="18"/>
                <w:szCs w:val="18"/>
                <w:vertAlign w:val="baseline"/>
                <w:lang w:val="en-US" w:eastAsia="zh-CN"/>
              </w:rPr>
            </w:pPr>
            <w:r>
              <w:rPr>
                <w:color w:val="auto"/>
                <w:sz w:val="18"/>
                <w:szCs w:val="18"/>
              </w:rPr>
              <w:t>表4-</w:t>
            </w:r>
            <w:r>
              <w:rPr>
                <w:rFonts w:hint="eastAsia"/>
                <w:color w:val="auto"/>
                <w:sz w:val="18"/>
                <w:szCs w:val="18"/>
                <w:lang w:val="en-US" w:eastAsia="zh-CN"/>
              </w:rPr>
              <w:t>1</w:t>
            </w:r>
            <w:r>
              <w:rPr>
                <w:color w:val="auto"/>
                <w:sz w:val="18"/>
                <w:szCs w:val="18"/>
              </w:rPr>
              <w:t xml:space="preserve"> </w:t>
            </w:r>
            <w:r>
              <w:rPr>
                <w:rFonts w:hint="eastAsia"/>
                <w:color w:val="auto"/>
                <w:sz w:val="18"/>
                <w:szCs w:val="18"/>
              </w:rPr>
              <w:t xml:space="preserve">  </w:t>
            </w:r>
            <w:r>
              <w:rPr>
                <w:color w:val="auto"/>
                <w:sz w:val="18"/>
                <w:szCs w:val="18"/>
              </w:rPr>
              <w:t xml:space="preserve"> 项目运营期</w:t>
            </w:r>
            <w:r>
              <w:rPr>
                <w:rFonts w:hint="eastAsia"/>
                <w:color w:val="auto"/>
                <w:sz w:val="18"/>
                <w:szCs w:val="18"/>
                <w:lang w:val="en-US" w:eastAsia="zh-CN"/>
              </w:rPr>
              <w:t>废气污染源产生排放情况表</w:t>
            </w:r>
          </w:p>
          <w:tbl>
            <w:tblPr>
              <w:tblStyle w:val="48"/>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150"/>
              <w:gridCol w:w="2169"/>
              <w:gridCol w:w="892"/>
              <w:gridCol w:w="27"/>
              <w:gridCol w:w="892"/>
              <w:gridCol w:w="1890"/>
            </w:tblGrid>
            <w:tr w14:paraId="31267C3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692" w:type="pct"/>
                  <w:gridSpan w:val="2"/>
                  <w:tcBorders>
                    <w:tl2br w:val="nil"/>
                    <w:tr2bl w:val="nil"/>
                  </w:tcBorders>
                  <w:vAlign w:val="center"/>
                </w:tcPr>
                <w:p w14:paraId="6B6B7E45">
                  <w:pPr>
                    <w:pStyle w:val="153"/>
                    <w:spacing w:before="0" w:after="0" w:line="240" w:lineRule="exact"/>
                    <w:jc w:val="center"/>
                    <w:rPr>
                      <w:rFonts w:hint="default" w:eastAsia="宋体"/>
                      <w:b w:val="0"/>
                      <w:bCs/>
                      <w:color w:val="auto"/>
                      <w:sz w:val="18"/>
                      <w:szCs w:val="18"/>
                      <w:vertAlign w:val="baseline"/>
                      <w:lang w:val="en-US" w:eastAsia="zh-CN"/>
                    </w:rPr>
                  </w:pPr>
                  <w:r>
                    <w:rPr>
                      <w:rFonts w:hint="eastAsia"/>
                      <w:b w:val="0"/>
                      <w:bCs/>
                      <w:color w:val="auto"/>
                      <w:sz w:val="18"/>
                      <w:szCs w:val="18"/>
                      <w:vertAlign w:val="baseline"/>
                      <w:lang w:val="en-US" w:eastAsia="zh-CN"/>
                    </w:rPr>
                    <w:t>污染源名称</w:t>
                  </w:r>
                </w:p>
              </w:tc>
              <w:tc>
                <w:tcPr>
                  <w:tcW w:w="1129" w:type="pct"/>
                  <w:gridSpan w:val="3"/>
                  <w:tcBorders>
                    <w:tl2br w:val="nil"/>
                    <w:tr2bl w:val="nil"/>
                  </w:tcBorders>
                  <w:vAlign w:val="center"/>
                </w:tcPr>
                <w:p w14:paraId="160AB4E2">
                  <w:pPr>
                    <w:pStyle w:val="153"/>
                    <w:spacing w:before="0" w:after="0" w:line="240" w:lineRule="exact"/>
                    <w:jc w:val="center"/>
                    <w:rPr>
                      <w:rFonts w:hint="default" w:eastAsia="宋体"/>
                      <w:b w:val="0"/>
                      <w:bCs/>
                      <w:color w:val="auto"/>
                      <w:sz w:val="18"/>
                      <w:szCs w:val="18"/>
                      <w:vertAlign w:val="baseline"/>
                      <w:lang w:val="en-US" w:eastAsia="zh-CN"/>
                    </w:rPr>
                  </w:pPr>
                  <w:r>
                    <w:rPr>
                      <w:rFonts w:hint="eastAsia"/>
                      <w:b w:val="0"/>
                      <w:bCs/>
                      <w:color w:val="auto"/>
                      <w:sz w:val="18"/>
                      <w:szCs w:val="18"/>
                      <w:vertAlign w:val="baseline"/>
                      <w:lang w:val="en-US" w:eastAsia="zh-CN"/>
                    </w:rPr>
                    <w:t>污水处理站</w:t>
                  </w:r>
                </w:p>
              </w:tc>
              <w:tc>
                <w:tcPr>
                  <w:tcW w:w="1178" w:type="pct"/>
                  <w:tcBorders>
                    <w:tl2br w:val="nil"/>
                    <w:tr2bl w:val="nil"/>
                  </w:tcBorders>
                  <w:vAlign w:val="center"/>
                </w:tcPr>
                <w:p w14:paraId="171CAC23">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食堂油烟</w:t>
                  </w:r>
                </w:p>
              </w:tc>
            </w:tr>
            <w:tr w14:paraId="0A727F4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692" w:type="pct"/>
                  <w:gridSpan w:val="2"/>
                  <w:tcBorders>
                    <w:tl2br w:val="nil"/>
                    <w:tr2bl w:val="nil"/>
                  </w:tcBorders>
                  <w:vAlign w:val="center"/>
                </w:tcPr>
                <w:p w14:paraId="48F252F1">
                  <w:pPr>
                    <w:pStyle w:val="153"/>
                    <w:spacing w:before="0" w:after="0" w:line="240" w:lineRule="exact"/>
                    <w:jc w:val="center"/>
                    <w:rPr>
                      <w:rFonts w:hint="default" w:eastAsia="宋体"/>
                      <w:b w:val="0"/>
                      <w:bCs/>
                      <w:color w:val="auto"/>
                      <w:sz w:val="18"/>
                      <w:szCs w:val="18"/>
                      <w:vertAlign w:val="baseline"/>
                      <w:lang w:val="en-US" w:eastAsia="zh-CN"/>
                    </w:rPr>
                  </w:pPr>
                  <w:r>
                    <w:rPr>
                      <w:rFonts w:hint="eastAsia"/>
                      <w:b w:val="0"/>
                      <w:bCs/>
                      <w:color w:val="auto"/>
                      <w:sz w:val="18"/>
                      <w:szCs w:val="18"/>
                      <w:vertAlign w:val="baseline"/>
                      <w:lang w:val="en-US" w:eastAsia="zh-CN"/>
                    </w:rPr>
                    <w:t>污染物种类</w:t>
                  </w:r>
                </w:p>
              </w:tc>
              <w:tc>
                <w:tcPr>
                  <w:tcW w:w="556" w:type="pct"/>
                  <w:tcBorders>
                    <w:tl2br w:val="nil"/>
                    <w:tr2bl w:val="nil"/>
                  </w:tcBorders>
                  <w:vAlign w:val="center"/>
                </w:tcPr>
                <w:p w14:paraId="25B8D0BB">
                  <w:pPr>
                    <w:pStyle w:val="153"/>
                    <w:spacing w:before="0" w:after="0" w:line="240" w:lineRule="exact"/>
                    <w:jc w:val="center"/>
                    <w:rPr>
                      <w:rFonts w:hint="default" w:eastAsia="宋体"/>
                      <w:b w:val="0"/>
                      <w:bCs/>
                      <w:color w:val="auto"/>
                      <w:sz w:val="18"/>
                      <w:szCs w:val="18"/>
                      <w:vertAlign w:val="baseline"/>
                      <w:lang w:val="en-US" w:eastAsia="zh-CN"/>
                    </w:rPr>
                  </w:pPr>
                  <w:r>
                    <w:rPr>
                      <w:rFonts w:hint="eastAsia"/>
                      <w:b w:val="0"/>
                      <w:bCs/>
                      <w:color w:val="auto"/>
                      <w:sz w:val="18"/>
                      <w:szCs w:val="18"/>
                      <w:vertAlign w:val="baseline"/>
                      <w:lang w:val="en-US" w:eastAsia="zh-CN"/>
                    </w:rPr>
                    <w:t>氨</w:t>
                  </w:r>
                </w:p>
              </w:tc>
              <w:tc>
                <w:tcPr>
                  <w:tcW w:w="572" w:type="pct"/>
                  <w:gridSpan w:val="2"/>
                  <w:tcBorders>
                    <w:tl2br w:val="nil"/>
                    <w:tr2bl w:val="nil"/>
                  </w:tcBorders>
                  <w:vAlign w:val="center"/>
                </w:tcPr>
                <w:p w14:paraId="2E2C44F4">
                  <w:pPr>
                    <w:pStyle w:val="153"/>
                    <w:spacing w:before="0" w:after="0" w:line="240" w:lineRule="exact"/>
                    <w:jc w:val="center"/>
                    <w:rPr>
                      <w:rFonts w:hint="eastAsia"/>
                      <w:b w:val="0"/>
                      <w:bCs/>
                      <w:color w:val="auto"/>
                      <w:sz w:val="18"/>
                      <w:szCs w:val="18"/>
                      <w:vertAlign w:val="baseline"/>
                      <w:lang w:val="en-US" w:eastAsia="zh-CN"/>
                    </w:rPr>
                  </w:pPr>
                  <w:r>
                    <w:rPr>
                      <w:rFonts w:hint="eastAsia"/>
                      <w:b w:val="0"/>
                      <w:bCs/>
                      <w:color w:val="auto"/>
                      <w:sz w:val="18"/>
                      <w:szCs w:val="18"/>
                      <w:vertAlign w:val="baseline"/>
                      <w:lang w:val="en-US" w:eastAsia="zh-CN"/>
                    </w:rPr>
                    <w:t>硫化氢</w:t>
                  </w:r>
                </w:p>
              </w:tc>
              <w:tc>
                <w:tcPr>
                  <w:tcW w:w="1178" w:type="pct"/>
                  <w:tcBorders>
                    <w:tl2br w:val="nil"/>
                    <w:tr2bl w:val="nil"/>
                  </w:tcBorders>
                  <w:vAlign w:val="center"/>
                </w:tcPr>
                <w:p w14:paraId="76A213BE">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油烟</w:t>
                  </w:r>
                </w:p>
              </w:tc>
            </w:tr>
            <w:tr w14:paraId="385D7A5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692" w:type="pct"/>
                  <w:gridSpan w:val="2"/>
                  <w:tcBorders>
                    <w:tl2br w:val="nil"/>
                    <w:tr2bl w:val="nil"/>
                  </w:tcBorders>
                  <w:vAlign w:val="center"/>
                </w:tcPr>
                <w:p w14:paraId="77B229E0">
                  <w:pPr>
                    <w:pStyle w:val="153"/>
                    <w:spacing w:before="0" w:after="0" w:line="240" w:lineRule="exact"/>
                    <w:jc w:val="center"/>
                    <w:rPr>
                      <w:rFonts w:hint="default" w:eastAsia="宋体"/>
                      <w:b w:val="0"/>
                      <w:bCs/>
                      <w:color w:val="auto"/>
                      <w:sz w:val="18"/>
                      <w:szCs w:val="18"/>
                      <w:vertAlign w:val="baseline"/>
                      <w:lang w:val="en-US" w:eastAsia="zh-CN"/>
                    </w:rPr>
                  </w:pPr>
                  <w:r>
                    <w:rPr>
                      <w:rFonts w:hint="eastAsia"/>
                      <w:b w:val="0"/>
                      <w:bCs/>
                      <w:color w:val="auto"/>
                      <w:sz w:val="18"/>
                      <w:szCs w:val="18"/>
                      <w:vertAlign w:val="baseline"/>
                      <w:lang w:val="en-US" w:eastAsia="zh-CN"/>
                    </w:rPr>
                    <w:t>排放方式</w:t>
                  </w:r>
                </w:p>
              </w:tc>
              <w:tc>
                <w:tcPr>
                  <w:tcW w:w="1129" w:type="pct"/>
                  <w:gridSpan w:val="3"/>
                  <w:tcBorders>
                    <w:tl2br w:val="nil"/>
                    <w:tr2bl w:val="nil"/>
                  </w:tcBorders>
                  <w:vAlign w:val="center"/>
                </w:tcPr>
                <w:p w14:paraId="263D6D44">
                  <w:pPr>
                    <w:pStyle w:val="153"/>
                    <w:spacing w:before="0" w:after="0" w:line="240" w:lineRule="exact"/>
                    <w:jc w:val="center"/>
                    <w:rPr>
                      <w:rFonts w:hint="default" w:eastAsia="宋体"/>
                      <w:b w:val="0"/>
                      <w:bCs/>
                      <w:color w:val="auto"/>
                      <w:sz w:val="18"/>
                      <w:szCs w:val="18"/>
                      <w:vertAlign w:val="baseline"/>
                      <w:lang w:val="en-US" w:eastAsia="zh-CN"/>
                    </w:rPr>
                  </w:pPr>
                  <w:r>
                    <w:rPr>
                      <w:rFonts w:hint="eastAsia"/>
                      <w:b w:val="0"/>
                      <w:bCs/>
                      <w:color w:val="auto"/>
                      <w:sz w:val="18"/>
                      <w:szCs w:val="18"/>
                      <w:vertAlign w:val="baseline"/>
                      <w:lang w:val="en-US" w:eastAsia="zh-CN"/>
                    </w:rPr>
                    <w:t>无组织</w:t>
                  </w:r>
                </w:p>
              </w:tc>
              <w:tc>
                <w:tcPr>
                  <w:tcW w:w="1178" w:type="pct"/>
                  <w:tcBorders>
                    <w:tl2br w:val="nil"/>
                    <w:tr2bl w:val="nil"/>
                  </w:tcBorders>
                  <w:vAlign w:val="center"/>
                </w:tcPr>
                <w:p w14:paraId="2FE4310B">
                  <w:pPr>
                    <w:pStyle w:val="153"/>
                    <w:spacing w:before="0" w:after="0" w:line="240" w:lineRule="exact"/>
                    <w:jc w:val="center"/>
                    <w:rPr>
                      <w:rFonts w:hint="eastAsia"/>
                      <w:b w:val="0"/>
                      <w:bCs/>
                      <w:color w:val="auto"/>
                      <w:sz w:val="18"/>
                      <w:szCs w:val="18"/>
                      <w:vertAlign w:val="baseline"/>
                      <w:lang w:val="en-US" w:eastAsia="zh-CN"/>
                    </w:rPr>
                  </w:pPr>
                  <w:r>
                    <w:rPr>
                      <w:rFonts w:hint="eastAsia"/>
                      <w:b w:val="0"/>
                      <w:bCs/>
                      <w:color w:val="auto"/>
                      <w:sz w:val="18"/>
                      <w:szCs w:val="18"/>
                      <w:vertAlign w:val="baseline"/>
                      <w:lang w:val="en-US" w:eastAsia="zh-CN"/>
                    </w:rPr>
                    <w:t>无组织</w:t>
                  </w:r>
                </w:p>
              </w:tc>
            </w:tr>
            <w:tr w14:paraId="2A8D364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692" w:type="pct"/>
                  <w:gridSpan w:val="2"/>
                  <w:tcBorders>
                    <w:tl2br w:val="nil"/>
                    <w:tr2bl w:val="nil"/>
                  </w:tcBorders>
                  <w:vAlign w:val="center"/>
                </w:tcPr>
                <w:p w14:paraId="63FFFDC3">
                  <w:pPr>
                    <w:pStyle w:val="153"/>
                    <w:spacing w:before="0" w:after="0" w:line="240" w:lineRule="exact"/>
                    <w:jc w:val="center"/>
                    <w:rPr>
                      <w:rFonts w:hint="default" w:eastAsia="宋体"/>
                      <w:b w:val="0"/>
                      <w:bCs/>
                      <w:color w:val="auto"/>
                      <w:sz w:val="18"/>
                      <w:szCs w:val="18"/>
                      <w:vertAlign w:val="baseline"/>
                      <w:lang w:val="en-US" w:eastAsia="zh-CN"/>
                    </w:rPr>
                  </w:pPr>
                  <w:r>
                    <w:rPr>
                      <w:rFonts w:hint="eastAsia"/>
                      <w:b w:val="0"/>
                      <w:bCs/>
                      <w:color w:val="auto"/>
                      <w:sz w:val="18"/>
                      <w:szCs w:val="18"/>
                      <w:vertAlign w:val="baseline"/>
                      <w:lang w:val="en-US" w:eastAsia="zh-CN"/>
                    </w:rPr>
                    <w:t>废气量</w:t>
                  </w:r>
                </w:p>
              </w:tc>
              <w:tc>
                <w:tcPr>
                  <w:tcW w:w="1129" w:type="pct"/>
                  <w:gridSpan w:val="3"/>
                  <w:tcBorders>
                    <w:tl2br w:val="nil"/>
                    <w:tr2bl w:val="nil"/>
                  </w:tcBorders>
                  <w:vAlign w:val="center"/>
                </w:tcPr>
                <w:p w14:paraId="2A3C41A2">
                  <w:pPr>
                    <w:pStyle w:val="153"/>
                    <w:spacing w:before="0" w:after="0" w:line="240" w:lineRule="exact"/>
                    <w:jc w:val="center"/>
                    <w:rPr>
                      <w:rFonts w:hint="default" w:eastAsia="宋体"/>
                      <w:b w:val="0"/>
                      <w:bCs/>
                      <w:color w:val="auto"/>
                      <w:sz w:val="18"/>
                      <w:szCs w:val="18"/>
                      <w:vertAlign w:val="baseline"/>
                      <w:lang w:val="en-US" w:eastAsia="zh-CN"/>
                    </w:rPr>
                  </w:pPr>
                  <w:r>
                    <w:rPr>
                      <w:rFonts w:hint="eastAsia"/>
                      <w:b w:val="0"/>
                      <w:bCs/>
                      <w:color w:val="auto"/>
                      <w:sz w:val="18"/>
                      <w:szCs w:val="18"/>
                      <w:vertAlign w:val="baseline"/>
                      <w:lang w:val="en-US" w:eastAsia="zh-CN"/>
                    </w:rPr>
                    <w:t>-</w:t>
                  </w:r>
                </w:p>
              </w:tc>
              <w:tc>
                <w:tcPr>
                  <w:tcW w:w="1178" w:type="pct"/>
                  <w:tcBorders>
                    <w:tl2br w:val="nil"/>
                    <w:tr2bl w:val="nil"/>
                  </w:tcBorders>
                  <w:vAlign w:val="center"/>
                </w:tcPr>
                <w:p w14:paraId="73F77D5D">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12000m</w:t>
                  </w:r>
                  <w:r>
                    <w:rPr>
                      <w:rFonts w:hint="eastAsia"/>
                      <w:b w:val="0"/>
                      <w:bCs/>
                      <w:color w:val="auto"/>
                      <w:sz w:val="18"/>
                      <w:szCs w:val="18"/>
                      <w:vertAlign w:val="superscript"/>
                      <w:lang w:val="en-US" w:eastAsia="zh-CN"/>
                    </w:rPr>
                    <w:t>3</w:t>
                  </w:r>
                  <w:r>
                    <w:rPr>
                      <w:rFonts w:hint="eastAsia"/>
                      <w:b w:val="0"/>
                      <w:bCs/>
                      <w:color w:val="auto"/>
                      <w:sz w:val="18"/>
                      <w:szCs w:val="18"/>
                      <w:vertAlign w:val="baseline"/>
                      <w:lang w:val="en-US" w:eastAsia="zh-CN"/>
                    </w:rPr>
                    <w:t>/d</w:t>
                  </w:r>
                </w:p>
              </w:tc>
            </w:tr>
            <w:tr w14:paraId="0057DC8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340" w:type="pct"/>
                  <w:vMerge w:val="restart"/>
                  <w:tcBorders>
                    <w:tl2br w:val="nil"/>
                    <w:tr2bl w:val="nil"/>
                  </w:tcBorders>
                  <w:vAlign w:val="center"/>
                </w:tcPr>
                <w:p w14:paraId="4453199A">
                  <w:pPr>
                    <w:pStyle w:val="153"/>
                    <w:spacing w:before="0" w:after="0" w:line="240" w:lineRule="exact"/>
                    <w:jc w:val="center"/>
                    <w:rPr>
                      <w:rFonts w:hint="default" w:eastAsia="宋体"/>
                      <w:b w:val="0"/>
                      <w:bCs/>
                      <w:color w:val="auto"/>
                      <w:sz w:val="18"/>
                      <w:szCs w:val="18"/>
                      <w:vertAlign w:val="baseline"/>
                      <w:lang w:val="en-US" w:eastAsia="zh-CN"/>
                    </w:rPr>
                  </w:pPr>
                  <w:r>
                    <w:rPr>
                      <w:rFonts w:hint="eastAsia"/>
                      <w:b w:val="0"/>
                      <w:bCs/>
                      <w:color w:val="auto"/>
                      <w:sz w:val="18"/>
                      <w:szCs w:val="18"/>
                      <w:vertAlign w:val="baseline"/>
                      <w:lang w:val="en-US" w:eastAsia="zh-CN"/>
                    </w:rPr>
                    <w:t>污染物产生情况</w:t>
                  </w:r>
                </w:p>
              </w:tc>
              <w:tc>
                <w:tcPr>
                  <w:tcW w:w="1352" w:type="pct"/>
                  <w:tcBorders>
                    <w:tl2br w:val="nil"/>
                    <w:tr2bl w:val="nil"/>
                  </w:tcBorders>
                  <w:vAlign w:val="center"/>
                </w:tcPr>
                <w:p w14:paraId="0F7F208B">
                  <w:pPr>
                    <w:pStyle w:val="153"/>
                    <w:spacing w:before="0" w:after="0" w:line="240" w:lineRule="exact"/>
                    <w:jc w:val="center"/>
                    <w:rPr>
                      <w:rFonts w:hint="default" w:eastAsia="宋体"/>
                      <w:b w:val="0"/>
                      <w:bCs/>
                      <w:color w:val="auto"/>
                      <w:sz w:val="18"/>
                      <w:szCs w:val="18"/>
                      <w:vertAlign w:val="baseline"/>
                      <w:lang w:val="en-US" w:eastAsia="zh-CN"/>
                    </w:rPr>
                  </w:pPr>
                  <w:r>
                    <w:rPr>
                      <w:rFonts w:hint="eastAsia"/>
                      <w:b w:val="0"/>
                      <w:bCs/>
                      <w:color w:val="auto"/>
                      <w:sz w:val="18"/>
                      <w:szCs w:val="18"/>
                      <w:vertAlign w:val="baseline"/>
                      <w:lang w:val="en-US" w:eastAsia="zh-CN"/>
                    </w:rPr>
                    <w:t>浓度（mg/m</w:t>
                  </w:r>
                  <w:r>
                    <w:rPr>
                      <w:rFonts w:hint="eastAsia"/>
                      <w:b w:val="0"/>
                      <w:bCs/>
                      <w:color w:val="auto"/>
                      <w:sz w:val="18"/>
                      <w:szCs w:val="18"/>
                      <w:vertAlign w:val="superscript"/>
                      <w:lang w:val="en-US" w:eastAsia="zh-CN"/>
                    </w:rPr>
                    <w:t>3</w:t>
                  </w:r>
                  <w:r>
                    <w:rPr>
                      <w:rFonts w:hint="eastAsia"/>
                      <w:b w:val="0"/>
                      <w:bCs/>
                      <w:color w:val="auto"/>
                      <w:sz w:val="18"/>
                      <w:szCs w:val="18"/>
                      <w:vertAlign w:val="baseline"/>
                      <w:lang w:val="en-US" w:eastAsia="zh-CN"/>
                    </w:rPr>
                    <w:t>）</w:t>
                  </w:r>
                </w:p>
              </w:tc>
              <w:tc>
                <w:tcPr>
                  <w:tcW w:w="573" w:type="pct"/>
                  <w:gridSpan w:val="2"/>
                  <w:tcBorders>
                    <w:tl2br w:val="nil"/>
                    <w:tr2bl w:val="nil"/>
                  </w:tcBorders>
                  <w:vAlign w:val="center"/>
                </w:tcPr>
                <w:p w14:paraId="54FC8926">
                  <w:pPr>
                    <w:pStyle w:val="153"/>
                    <w:spacing w:before="0" w:after="0" w:line="240" w:lineRule="exact"/>
                    <w:jc w:val="center"/>
                    <w:rPr>
                      <w:rFonts w:hint="default" w:eastAsia="宋体"/>
                      <w:b w:val="0"/>
                      <w:bCs/>
                      <w:color w:val="auto"/>
                      <w:sz w:val="18"/>
                      <w:szCs w:val="18"/>
                      <w:vertAlign w:val="baseline"/>
                      <w:lang w:val="en-US" w:eastAsia="zh-CN"/>
                    </w:rPr>
                  </w:pPr>
                  <w:r>
                    <w:rPr>
                      <w:rFonts w:hint="eastAsia"/>
                      <w:b w:val="0"/>
                      <w:bCs/>
                      <w:color w:val="auto"/>
                      <w:sz w:val="18"/>
                      <w:szCs w:val="18"/>
                      <w:vertAlign w:val="baseline"/>
                      <w:lang w:val="en-US" w:eastAsia="zh-CN"/>
                    </w:rPr>
                    <w:t>-</w:t>
                  </w:r>
                </w:p>
              </w:tc>
              <w:tc>
                <w:tcPr>
                  <w:tcW w:w="555" w:type="pct"/>
                  <w:tcBorders>
                    <w:tl2br w:val="nil"/>
                    <w:tr2bl w:val="nil"/>
                  </w:tcBorders>
                  <w:vAlign w:val="center"/>
                </w:tcPr>
                <w:p w14:paraId="321D49D1">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w:t>
                  </w:r>
                </w:p>
              </w:tc>
              <w:tc>
                <w:tcPr>
                  <w:tcW w:w="1178" w:type="pct"/>
                  <w:tcBorders>
                    <w:tl2br w:val="nil"/>
                    <w:tr2bl w:val="nil"/>
                  </w:tcBorders>
                  <w:vAlign w:val="center"/>
                </w:tcPr>
                <w:p w14:paraId="598C8D10">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14.17</w:t>
                  </w:r>
                </w:p>
              </w:tc>
            </w:tr>
            <w:tr w14:paraId="52716ED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340" w:type="pct"/>
                  <w:vMerge w:val="continue"/>
                  <w:tcBorders>
                    <w:tl2br w:val="nil"/>
                    <w:tr2bl w:val="nil"/>
                  </w:tcBorders>
                  <w:vAlign w:val="center"/>
                </w:tcPr>
                <w:p w14:paraId="3BDC6238">
                  <w:pPr>
                    <w:pStyle w:val="153"/>
                    <w:spacing w:before="0" w:after="0" w:line="240" w:lineRule="exact"/>
                    <w:jc w:val="center"/>
                    <w:rPr>
                      <w:rFonts w:hint="default" w:eastAsia="宋体"/>
                      <w:b w:val="0"/>
                      <w:bCs/>
                      <w:color w:val="auto"/>
                      <w:sz w:val="18"/>
                      <w:szCs w:val="18"/>
                      <w:vertAlign w:val="baseline"/>
                      <w:lang w:val="en-US" w:eastAsia="zh-CN"/>
                    </w:rPr>
                  </w:pPr>
                </w:p>
              </w:tc>
              <w:tc>
                <w:tcPr>
                  <w:tcW w:w="1352" w:type="pct"/>
                  <w:tcBorders>
                    <w:tl2br w:val="nil"/>
                    <w:tr2bl w:val="nil"/>
                  </w:tcBorders>
                  <w:vAlign w:val="center"/>
                </w:tcPr>
                <w:p w14:paraId="684787E2">
                  <w:pPr>
                    <w:pStyle w:val="153"/>
                    <w:spacing w:before="0" w:after="0" w:line="240" w:lineRule="exact"/>
                    <w:jc w:val="center"/>
                    <w:rPr>
                      <w:rFonts w:hint="default" w:eastAsia="宋体"/>
                      <w:b w:val="0"/>
                      <w:bCs/>
                      <w:color w:val="auto"/>
                      <w:sz w:val="18"/>
                      <w:szCs w:val="18"/>
                      <w:vertAlign w:val="baseline"/>
                      <w:lang w:val="en-US" w:eastAsia="zh-CN"/>
                    </w:rPr>
                  </w:pPr>
                  <w:r>
                    <w:rPr>
                      <w:rFonts w:hint="eastAsia"/>
                      <w:b w:val="0"/>
                      <w:bCs/>
                      <w:color w:val="auto"/>
                      <w:sz w:val="18"/>
                      <w:szCs w:val="18"/>
                      <w:vertAlign w:val="baseline"/>
                      <w:lang w:val="en-US" w:eastAsia="zh-CN"/>
                    </w:rPr>
                    <w:t>产生量（kg/h）</w:t>
                  </w:r>
                </w:p>
              </w:tc>
              <w:tc>
                <w:tcPr>
                  <w:tcW w:w="573" w:type="pct"/>
                  <w:gridSpan w:val="2"/>
                  <w:tcBorders>
                    <w:tl2br w:val="nil"/>
                    <w:tr2bl w:val="nil"/>
                  </w:tcBorders>
                  <w:vAlign w:val="center"/>
                </w:tcPr>
                <w:p w14:paraId="1EF56A68">
                  <w:pPr>
                    <w:pStyle w:val="153"/>
                    <w:spacing w:before="0" w:after="0" w:line="240" w:lineRule="exact"/>
                    <w:jc w:val="center"/>
                    <w:rPr>
                      <w:rFonts w:hint="default" w:eastAsia="宋体"/>
                      <w:b w:val="0"/>
                      <w:bCs/>
                      <w:color w:val="auto"/>
                      <w:sz w:val="18"/>
                      <w:szCs w:val="18"/>
                      <w:vertAlign w:val="baseline"/>
                      <w:lang w:val="en-US" w:eastAsia="zh-CN"/>
                    </w:rPr>
                  </w:pPr>
                  <w:r>
                    <w:rPr>
                      <w:rFonts w:hint="eastAsia"/>
                      <w:b w:val="0"/>
                      <w:bCs/>
                      <w:color w:val="auto"/>
                      <w:sz w:val="18"/>
                      <w:szCs w:val="18"/>
                      <w:vertAlign w:val="baseline"/>
                      <w:lang w:val="en-US" w:eastAsia="zh-CN"/>
                    </w:rPr>
                    <w:t>0.0031</w:t>
                  </w:r>
                </w:p>
              </w:tc>
              <w:tc>
                <w:tcPr>
                  <w:tcW w:w="555" w:type="pct"/>
                  <w:tcBorders>
                    <w:tl2br w:val="nil"/>
                    <w:tr2bl w:val="nil"/>
                  </w:tcBorders>
                  <w:vAlign w:val="center"/>
                </w:tcPr>
                <w:p w14:paraId="1223D364">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0.000119</w:t>
                  </w:r>
                </w:p>
              </w:tc>
              <w:tc>
                <w:tcPr>
                  <w:tcW w:w="1178" w:type="pct"/>
                  <w:tcBorders>
                    <w:tl2br w:val="nil"/>
                    <w:tr2bl w:val="nil"/>
                  </w:tcBorders>
                  <w:vAlign w:val="center"/>
                </w:tcPr>
                <w:p w14:paraId="34A62B9C">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0.0425</w:t>
                  </w:r>
                </w:p>
              </w:tc>
            </w:tr>
            <w:tr w14:paraId="5C601CC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340" w:type="pct"/>
                  <w:vMerge w:val="continue"/>
                  <w:tcBorders>
                    <w:tl2br w:val="nil"/>
                    <w:tr2bl w:val="nil"/>
                  </w:tcBorders>
                  <w:vAlign w:val="center"/>
                </w:tcPr>
                <w:p w14:paraId="6EE116D0">
                  <w:pPr>
                    <w:pStyle w:val="153"/>
                    <w:spacing w:before="0" w:after="0" w:line="240" w:lineRule="exact"/>
                    <w:jc w:val="center"/>
                    <w:rPr>
                      <w:rFonts w:hint="default" w:eastAsia="宋体"/>
                      <w:b w:val="0"/>
                      <w:bCs/>
                      <w:color w:val="auto"/>
                      <w:sz w:val="18"/>
                      <w:szCs w:val="18"/>
                      <w:vertAlign w:val="baseline"/>
                      <w:lang w:val="en-US" w:eastAsia="zh-CN"/>
                    </w:rPr>
                  </w:pPr>
                </w:p>
              </w:tc>
              <w:tc>
                <w:tcPr>
                  <w:tcW w:w="1352" w:type="pct"/>
                  <w:tcBorders>
                    <w:tl2br w:val="nil"/>
                    <w:tr2bl w:val="nil"/>
                  </w:tcBorders>
                  <w:vAlign w:val="center"/>
                </w:tcPr>
                <w:p w14:paraId="3DBBFC3E">
                  <w:pPr>
                    <w:pStyle w:val="153"/>
                    <w:spacing w:before="0" w:after="0" w:line="240" w:lineRule="exact"/>
                    <w:jc w:val="center"/>
                    <w:rPr>
                      <w:rFonts w:hint="default" w:eastAsia="宋体"/>
                      <w:b w:val="0"/>
                      <w:bCs/>
                      <w:color w:val="auto"/>
                      <w:sz w:val="18"/>
                      <w:szCs w:val="18"/>
                      <w:vertAlign w:val="baseline"/>
                      <w:lang w:val="en-US" w:eastAsia="zh-CN"/>
                    </w:rPr>
                  </w:pPr>
                  <w:r>
                    <w:rPr>
                      <w:rFonts w:hint="eastAsia"/>
                      <w:b w:val="0"/>
                      <w:bCs/>
                      <w:color w:val="auto"/>
                      <w:sz w:val="18"/>
                      <w:szCs w:val="18"/>
                      <w:vertAlign w:val="baseline"/>
                      <w:lang w:val="en-US" w:eastAsia="zh-CN"/>
                    </w:rPr>
                    <w:t>核算方法</w:t>
                  </w:r>
                </w:p>
              </w:tc>
              <w:tc>
                <w:tcPr>
                  <w:tcW w:w="2307" w:type="pct"/>
                  <w:gridSpan w:val="4"/>
                  <w:tcBorders>
                    <w:tl2br w:val="nil"/>
                    <w:tr2bl w:val="nil"/>
                  </w:tcBorders>
                  <w:vAlign w:val="center"/>
                </w:tcPr>
                <w:p w14:paraId="63331D55">
                  <w:pPr>
                    <w:pStyle w:val="153"/>
                    <w:spacing w:before="0" w:after="0" w:line="240" w:lineRule="exact"/>
                    <w:jc w:val="center"/>
                    <w:rPr>
                      <w:rFonts w:hint="eastAsia"/>
                      <w:b w:val="0"/>
                      <w:bCs/>
                      <w:color w:val="auto"/>
                      <w:sz w:val="18"/>
                      <w:szCs w:val="18"/>
                      <w:vertAlign w:val="baseline"/>
                      <w:lang w:val="en-US" w:eastAsia="zh-CN"/>
                    </w:rPr>
                  </w:pPr>
                  <w:r>
                    <w:rPr>
                      <w:rFonts w:hint="eastAsia"/>
                      <w:b w:val="0"/>
                      <w:bCs/>
                      <w:color w:val="auto"/>
                      <w:sz w:val="18"/>
                      <w:szCs w:val="18"/>
                      <w:vertAlign w:val="baseline"/>
                      <w:lang w:val="en-US" w:eastAsia="zh-CN"/>
                    </w:rPr>
                    <w:t>产污系数法</w:t>
                  </w:r>
                </w:p>
              </w:tc>
            </w:tr>
            <w:tr w14:paraId="2C2004B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340" w:type="pct"/>
                  <w:vMerge w:val="restart"/>
                  <w:tcBorders>
                    <w:tl2br w:val="nil"/>
                    <w:tr2bl w:val="nil"/>
                  </w:tcBorders>
                  <w:vAlign w:val="center"/>
                </w:tcPr>
                <w:p w14:paraId="3E6793A3">
                  <w:pPr>
                    <w:pStyle w:val="153"/>
                    <w:spacing w:before="0" w:after="0" w:line="240" w:lineRule="exact"/>
                    <w:jc w:val="center"/>
                    <w:rPr>
                      <w:rFonts w:hint="default" w:eastAsia="宋体"/>
                      <w:b w:val="0"/>
                      <w:bCs/>
                      <w:color w:val="auto"/>
                      <w:sz w:val="18"/>
                      <w:szCs w:val="18"/>
                      <w:vertAlign w:val="baseline"/>
                      <w:lang w:val="en-US" w:eastAsia="zh-CN"/>
                    </w:rPr>
                  </w:pPr>
                  <w:r>
                    <w:rPr>
                      <w:rFonts w:hint="eastAsia"/>
                      <w:b w:val="0"/>
                      <w:bCs/>
                      <w:color w:val="auto"/>
                      <w:sz w:val="18"/>
                      <w:szCs w:val="18"/>
                      <w:vertAlign w:val="baseline"/>
                      <w:lang w:val="en-US" w:eastAsia="zh-CN"/>
                    </w:rPr>
                    <w:t>污染防治措施</w:t>
                  </w:r>
                </w:p>
              </w:tc>
              <w:tc>
                <w:tcPr>
                  <w:tcW w:w="1352" w:type="pct"/>
                  <w:tcBorders>
                    <w:tl2br w:val="nil"/>
                    <w:tr2bl w:val="nil"/>
                  </w:tcBorders>
                  <w:vAlign w:val="center"/>
                </w:tcPr>
                <w:p w14:paraId="74BE8AFF">
                  <w:pPr>
                    <w:pStyle w:val="153"/>
                    <w:spacing w:before="0" w:after="0" w:line="240" w:lineRule="exact"/>
                    <w:jc w:val="center"/>
                    <w:rPr>
                      <w:rFonts w:hint="default" w:eastAsia="宋体"/>
                      <w:b w:val="0"/>
                      <w:bCs/>
                      <w:color w:val="auto"/>
                      <w:sz w:val="18"/>
                      <w:szCs w:val="18"/>
                      <w:vertAlign w:val="baseline"/>
                      <w:lang w:val="en-US" w:eastAsia="zh-CN"/>
                    </w:rPr>
                  </w:pPr>
                  <w:r>
                    <w:rPr>
                      <w:rFonts w:hint="eastAsia"/>
                      <w:b w:val="0"/>
                      <w:bCs/>
                      <w:color w:val="auto"/>
                      <w:sz w:val="18"/>
                      <w:szCs w:val="18"/>
                      <w:vertAlign w:val="baseline"/>
                      <w:lang w:val="en-US" w:eastAsia="zh-CN"/>
                    </w:rPr>
                    <w:t>治理设施</w:t>
                  </w:r>
                </w:p>
              </w:tc>
              <w:tc>
                <w:tcPr>
                  <w:tcW w:w="1129" w:type="pct"/>
                  <w:gridSpan w:val="3"/>
                  <w:tcBorders>
                    <w:tl2br w:val="nil"/>
                    <w:tr2bl w:val="nil"/>
                  </w:tcBorders>
                  <w:vAlign w:val="center"/>
                </w:tcPr>
                <w:p w14:paraId="05A8861D">
                  <w:pPr>
                    <w:pStyle w:val="153"/>
                    <w:spacing w:before="0" w:after="0" w:line="240" w:lineRule="exact"/>
                    <w:jc w:val="center"/>
                    <w:rPr>
                      <w:rFonts w:hint="default" w:eastAsia="宋体"/>
                      <w:b w:val="0"/>
                      <w:bCs/>
                      <w:color w:val="auto"/>
                      <w:sz w:val="18"/>
                      <w:szCs w:val="18"/>
                      <w:vertAlign w:val="baseline"/>
                      <w:lang w:val="en-US" w:eastAsia="zh-CN"/>
                    </w:rPr>
                  </w:pPr>
                  <w:r>
                    <w:rPr>
                      <w:rFonts w:hint="eastAsia"/>
                      <w:b w:val="0"/>
                      <w:bCs/>
                      <w:color w:val="auto"/>
                      <w:sz w:val="18"/>
                      <w:szCs w:val="18"/>
                      <w:vertAlign w:val="baseline"/>
                      <w:lang w:val="en-US" w:eastAsia="zh-CN"/>
                    </w:rPr>
                    <w:t>密闭池体、定期投加除臭剂、加强绿化等</w:t>
                  </w:r>
                </w:p>
              </w:tc>
              <w:tc>
                <w:tcPr>
                  <w:tcW w:w="1178" w:type="pct"/>
                  <w:tcBorders>
                    <w:tl2br w:val="nil"/>
                    <w:tr2bl w:val="nil"/>
                  </w:tcBorders>
                  <w:vAlign w:val="center"/>
                </w:tcPr>
                <w:p w14:paraId="003FA0D1">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安设油烟净化器</w:t>
                  </w:r>
                </w:p>
              </w:tc>
            </w:tr>
            <w:tr w14:paraId="65E3739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340" w:type="pct"/>
                  <w:vMerge w:val="continue"/>
                  <w:tcBorders>
                    <w:tl2br w:val="nil"/>
                    <w:tr2bl w:val="nil"/>
                  </w:tcBorders>
                  <w:vAlign w:val="center"/>
                </w:tcPr>
                <w:p w14:paraId="1049B7F0">
                  <w:pPr>
                    <w:pStyle w:val="153"/>
                    <w:spacing w:before="0" w:after="0" w:line="240" w:lineRule="exact"/>
                    <w:jc w:val="center"/>
                    <w:rPr>
                      <w:rFonts w:hint="default" w:eastAsia="宋体"/>
                      <w:b w:val="0"/>
                      <w:bCs/>
                      <w:color w:val="auto"/>
                      <w:sz w:val="18"/>
                      <w:szCs w:val="18"/>
                      <w:vertAlign w:val="baseline"/>
                      <w:lang w:val="en-US" w:eastAsia="zh-CN"/>
                    </w:rPr>
                  </w:pPr>
                </w:p>
              </w:tc>
              <w:tc>
                <w:tcPr>
                  <w:tcW w:w="1352" w:type="pct"/>
                  <w:tcBorders>
                    <w:tl2br w:val="nil"/>
                    <w:tr2bl w:val="nil"/>
                  </w:tcBorders>
                  <w:vAlign w:val="center"/>
                </w:tcPr>
                <w:p w14:paraId="33B784CE">
                  <w:pPr>
                    <w:pStyle w:val="153"/>
                    <w:spacing w:before="0" w:after="0" w:line="240" w:lineRule="exact"/>
                    <w:jc w:val="center"/>
                    <w:rPr>
                      <w:rFonts w:hint="default" w:eastAsia="宋体"/>
                      <w:b w:val="0"/>
                      <w:bCs/>
                      <w:color w:val="auto"/>
                      <w:sz w:val="18"/>
                      <w:szCs w:val="18"/>
                      <w:vertAlign w:val="baseline"/>
                      <w:lang w:val="en-US" w:eastAsia="zh-CN"/>
                    </w:rPr>
                  </w:pPr>
                  <w:r>
                    <w:rPr>
                      <w:rFonts w:hint="eastAsia"/>
                      <w:b w:val="0"/>
                      <w:bCs/>
                      <w:color w:val="auto"/>
                      <w:sz w:val="18"/>
                      <w:szCs w:val="18"/>
                      <w:vertAlign w:val="baseline"/>
                      <w:lang w:val="en-US" w:eastAsia="zh-CN"/>
                    </w:rPr>
                    <w:t>收集效率（%）</w:t>
                  </w:r>
                </w:p>
              </w:tc>
              <w:tc>
                <w:tcPr>
                  <w:tcW w:w="1129" w:type="pct"/>
                  <w:gridSpan w:val="3"/>
                  <w:tcBorders>
                    <w:tl2br w:val="nil"/>
                    <w:tr2bl w:val="nil"/>
                  </w:tcBorders>
                  <w:vAlign w:val="center"/>
                </w:tcPr>
                <w:p w14:paraId="0C15ED71">
                  <w:pPr>
                    <w:pStyle w:val="153"/>
                    <w:spacing w:before="0" w:after="0" w:line="240" w:lineRule="exact"/>
                    <w:jc w:val="center"/>
                    <w:rPr>
                      <w:rFonts w:hint="default" w:eastAsia="宋体"/>
                      <w:b w:val="0"/>
                      <w:bCs/>
                      <w:color w:val="auto"/>
                      <w:sz w:val="18"/>
                      <w:szCs w:val="18"/>
                      <w:vertAlign w:val="baseline"/>
                      <w:lang w:val="en-US" w:eastAsia="zh-CN"/>
                    </w:rPr>
                  </w:pPr>
                  <w:r>
                    <w:rPr>
                      <w:rFonts w:hint="eastAsia"/>
                      <w:b w:val="0"/>
                      <w:bCs/>
                      <w:color w:val="auto"/>
                      <w:sz w:val="18"/>
                      <w:szCs w:val="18"/>
                      <w:vertAlign w:val="baseline"/>
                      <w:lang w:val="en-US" w:eastAsia="zh-CN"/>
                    </w:rPr>
                    <w:t>-</w:t>
                  </w:r>
                </w:p>
              </w:tc>
              <w:tc>
                <w:tcPr>
                  <w:tcW w:w="1178" w:type="pct"/>
                  <w:tcBorders>
                    <w:tl2br w:val="nil"/>
                    <w:tr2bl w:val="nil"/>
                  </w:tcBorders>
                  <w:vAlign w:val="center"/>
                </w:tcPr>
                <w:p w14:paraId="12CBA1A1">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w:t>
                  </w:r>
                </w:p>
              </w:tc>
            </w:tr>
            <w:tr w14:paraId="1273F77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340" w:type="pct"/>
                  <w:vMerge w:val="continue"/>
                  <w:tcBorders>
                    <w:tl2br w:val="nil"/>
                    <w:tr2bl w:val="nil"/>
                  </w:tcBorders>
                  <w:vAlign w:val="center"/>
                </w:tcPr>
                <w:p w14:paraId="7BA216FF">
                  <w:pPr>
                    <w:pStyle w:val="153"/>
                    <w:spacing w:before="0" w:after="0" w:line="240" w:lineRule="exact"/>
                    <w:jc w:val="center"/>
                    <w:rPr>
                      <w:rFonts w:hint="default" w:eastAsia="宋体"/>
                      <w:b w:val="0"/>
                      <w:bCs/>
                      <w:color w:val="auto"/>
                      <w:sz w:val="18"/>
                      <w:szCs w:val="18"/>
                      <w:vertAlign w:val="baseline"/>
                      <w:lang w:val="en-US" w:eastAsia="zh-CN"/>
                    </w:rPr>
                  </w:pPr>
                </w:p>
              </w:tc>
              <w:tc>
                <w:tcPr>
                  <w:tcW w:w="1352" w:type="pct"/>
                  <w:tcBorders>
                    <w:tl2br w:val="nil"/>
                    <w:tr2bl w:val="nil"/>
                  </w:tcBorders>
                  <w:vAlign w:val="center"/>
                </w:tcPr>
                <w:p w14:paraId="47AF400E">
                  <w:pPr>
                    <w:pStyle w:val="153"/>
                    <w:spacing w:before="0" w:after="0" w:line="240" w:lineRule="exact"/>
                    <w:jc w:val="center"/>
                    <w:rPr>
                      <w:rFonts w:hint="default" w:eastAsia="宋体"/>
                      <w:b w:val="0"/>
                      <w:bCs/>
                      <w:color w:val="auto"/>
                      <w:sz w:val="18"/>
                      <w:szCs w:val="18"/>
                      <w:vertAlign w:val="baseline"/>
                      <w:lang w:val="en-US" w:eastAsia="zh-CN"/>
                    </w:rPr>
                  </w:pPr>
                  <w:r>
                    <w:rPr>
                      <w:rFonts w:hint="eastAsia"/>
                      <w:b w:val="0"/>
                      <w:bCs/>
                      <w:color w:val="auto"/>
                      <w:sz w:val="18"/>
                      <w:szCs w:val="18"/>
                      <w:vertAlign w:val="baseline"/>
                      <w:lang w:val="en-US" w:eastAsia="zh-CN"/>
                    </w:rPr>
                    <w:t>处理效率（%）</w:t>
                  </w:r>
                </w:p>
              </w:tc>
              <w:tc>
                <w:tcPr>
                  <w:tcW w:w="1129" w:type="pct"/>
                  <w:gridSpan w:val="3"/>
                  <w:tcBorders>
                    <w:tl2br w:val="nil"/>
                    <w:tr2bl w:val="nil"/>
                  </w:tcBorders>
                  <w:vAlign w:val="center"/>
                </w:tcPr>
                <w:p w14:paraId="71432D6F">
                  <w:pPr>
                    <w:pStyle w:val="153"/>
                    <w:spacing w:before="0" w:after="0" w:line="240" w:lineRule="exact"/>
                    <w:jc w:val="center"/>
                    <w:rPr>
                      <w:rFonts w:hint="default" w:eastAsia="宋体"/>
                      <w:b w:val="0"/>
                      <w:bCs/>
                      <w:color w:val="auto"/>
                      <w:sz w:val="18"/>
                      <w:szCs w:val="18"/>
                      <w:vertAlign w:val="baseline"/>
                      <w:lang w:val="en-US" w:eastAsia="zh-CN"/>
                    </w:rPr>
                  </w:pPr>
                  <w:r>
                    <w:rPr>
                      <w:rFonts w:hint="eastAsia"/>
                      <w:b w:val="0"/>
                      <w:bCs/>
                      <w:color w:val="auto"/>
                      <w:sz w:val="18"/>
                      <w:szCs w:val="18"/>
                      <w:vertAlign w:val="baseline"/>
                      <w:lang w:val="en-US" w:eastAsia="zh-CN"/>
                    </w:rPr>
                    <w:t>50</w:t>
                  </w:r>
                </w:p>
              </w:tc>
              <w:tc>
                <w:tcPr>
                  <w:tcW w:w="1178" w:type="pct"/>
                  <w:tcBorders>
                    <w:tl2br w:val="nil"/>
                    <w:tr2bl w:val="nil"/>
                  </w:tcBorders>
                  <w:vAlign w:val="center"/>
                </w:tcPr>
                <w:p w14:paraId="0DB4FDA4">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60-75</w:t>
                  </w:r>
                </w:p>
              </w:tc>
            </w:tr>
            <w:tr w14:paraId="16F65AE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340" w:type="pct"/>
                  <w:vMerge w:val="restart"/>
                  <w:tcBorders>
                    <w:tl2br w:val="nil"/>
                    <w:tr2bl w:val="nil"/>
                  </w:tcBorders>
                  <w:vAlign w:val="center"/>
                </w:tcPr>
                <w:p w14:paraId="50BBB43E">
                  <w:pPr>
                    <w:pStyle w:val="153"/>
                    <w:spacing w:before="0" w:after="0" w:line="240" w:lineRule="exact"/>
                    <w:jc w:val="center"/>
                    <w:rPr>
                      <w:rFonts w:hint="default" w:eastAsia="宋体"/>
                      <w:b w:val="0"/>
                      <w:bCs/>
                      <w:color w:val="auto"/>
                      <w:sz w:val="18"/>
                      <w:szCs w:val="18"/>
                      <w:vertAlign w:val="baseline"/>
                      <w:lang w:val="en-US" w:eastAsia="zh-CN"/>
                    </w:rPr>
                  </w:pPr>
                  <w:r>
                    <w:rPr>
                      <w:rFonts w:hint="eastAsia"/>
                      <w:b w:val="0"/>
                      <w:bCs/>
                      <w:color w:val="auto"/>
                      <w:sz w:val="18"/>
                      <w:szCs w:val="18"/>
                      <w:vertAlign w:val="baseline"/>
                      <w:lang w:val="en-US" w:eastAsia="zh-CN"/>
                    </w:rPr>
                    <w:t>污染物排放情况</w:t>
                  </w:r>
                </w:p>
              </w:tc>
              <w:tc>
                <w:tcPr>
                  <w:tcW w:w="1352" w:type="pct"/>
                  <w:tcBorders>
                    <w:tl2br w:val="nil"/>
                    <w:tr2bl w:val="nil"/>
                  </w:tcBorders>
                  <w:vAlign w:val="center"/>
                </w:tcPr>
                <w:p w14:paraId="04A33481">
                  <w:pPr>
                    <w:pStyle w:val="153"/>
                    <w:spacing w:before="0" w:after="0" w:line="240" w:lineRule="exact"/>
                    <w:jc w:val="center"/>
                    <w:rPr>
                      <w:rFonts w:hint="default" w:eastAsia="宋体"/>
                      <w:b w:val="0"/>
                      <w:bCs/>
                      <w:color w:val="auto"/>
                      <w:sz w:val="18"/>
                      <w:szCs w:val="18"/>
                      <w:vertAlign w:val="baseline"/>
                      <w:lang w:val="en-US" w:eastAsia="zh-CN"/>
                    </w:rPr>
                  </w:pPr>
                  <w:r>
                    <w:rPr>
                      <w:rFonts w:hint="eastAsia"/>
                      <w:b w:val="0"/>
                      <w:bCs/>
                      <w:color w:val="auto"/>
                      <w:sz w:val="18"/>
                      <w:szCs w:val="18"/>
                      <w:vertAlign w:val="baseline"/>
                      <w:lang w:val="en-US" w:eastAsia="zh-CN"/>
                    </w:rPr>
                    <w:t>浓度（mg/m</w:t>
                  </w:r>
                  <w:r>
                    <w:rPr>
                      <w:rFonts w:hint="eastAsia"/>
                      <w:b w:val="0"/>
                      <w:bCs/>
                      <w:color w:val="auto"/>
                      <w:sz w:val="18"/>
                      <w:szCs w:val="18"/>
                      <w:vertAlign w:val="superscript"/>
                      <w:lang w:val="en-US" w:eastAsia="zh-CN"/>
                    </w:rPr>
                    <w:t>3</w:t>
                  </w:r>
                  <w:r>
                    <w:rPr>
                      <w:rFonts w:hint="eastAsia"/>
                      <w:b w:val="0"/>
                      <w:bCs/>
                      <w:color w:val="auto"/>
                      <w:sz w:val="18"/>
                      <w:szCs w:val="18"/>
                      <w:vertAlign w:val="baseline"/>
                      <w:lang w:val="en-US" w:eastAsia="zh-CN"/>
                    </w:rPr>
                    <w:t>）</w:t>
                  </w:r>
                </w:p>
              </w:tc>
              <w:tc>
                <w:tcPr>
                  <w:tcW w:w="573" w:type="pct"/>
                  <w:gridSpan w:val="2"/>
                  <w:tcBorders>
                    <w:tl2br w:val="nil"/>
                    <w:tr2bl w:val="nil"/>
                  </w:tcBorders>
                  <w:vAlign w:val="center"/>
                </w:tcPr>
                <w:p w14:paraId="0C4DC500">
                  <w:pPr>
                    <w:pStyle w:val="153"/>
                    <w:spacing w:before="0" w:after="0" w:line="240" w:lineRule="exact"/>
                    <w:jc w:val="center"/>
                    <w:rPr>
                      <w:rFonts w:hint="default" w:eastAsia="宋体"/>
                      <w:b w:val="0"/>
                      <w:bCs/>
                      <w:color w:val="auto"/>
                      <w:sz w:val="18"/>
                      <w:szCs w:val="18"/>
                      <w:vertAlign w:val="baseline"/>
                      <w:lang w:val="en-US" w:eastAsia="zh-CN"/>
                    </w:rPr>
                  </w:pPr>
                  <w:r>
                    <w:rPr>
                      <w:rFonts w:hint="eastAsia"/>
                      <w:b w:val="0"/>
                      <w:bCs/>
                      <w:color w:val="auto"/>
                      <w:sz w:val="18"/>
                      <w:szCs w:val="18"/>
                      <w:vertAlign w:val="baseline"/>
                      <w:lang w:val="en-US" w:eastAsia="zh-CN"/>
                    </w:rPr>
                    <w:t>-</w:t>
                  </w:r>
                </w:p>
              </w:tc>
              <w:tc>
                <w:tcPr>
                  <w:tcW w:w="555" w:type="pct"/>
                  <w:tcBorders>
                    <w:tl2br w:val="nil"/>
                    <w:tr2bl w:val="nil"/>
                  </w:tcBorders>
                  <w:vAlign w:val="center"/>
                </w:tcPr>
                <w:p w14:paraId="41712D8D">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w:t>
                  </w:r>
                </w:p>
              </w:tc>
              <w:tc>
                <w:tcPr>
                  <w:tcW w:w="1178" w:type="pct"/>
                  <w:tcBorders>
                    <w:tl2br w:val="nil"/>
                    <w:tr2bl w:val="nil"/>
                  </w:tcBorders>
                  <w:vAlign w:val="center"/>
                </w:tcPr>
                <w:p w14:paraId="23917CFB">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0.885</w:t>
                  </w:r>
                </w:p>
              </w:tc>
            </w:tr>
            <w:tr w14:paraId="7E8CB6D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340" w:type="pct"/>
                  <w:vMerge w:val="continue"/>
                  <w:tcBorders>
                    <w:tl2br w:val="nil"/>
                    <w:tr2bl w:val="nil"/>
                  </w:tcBorders>
                  <w:vAlign w:val="center"/>
                </w:tcPr>
                <w:p w14:paraId="1B5016A7">
                  <w:pPr>
                    <w:pStyle w:val="153"/>
                    <w:spacing w:before="0" w:after="0" w:line="240" w:lineRule="exact"/>
                    <w:jc w:val="center"/>
                    <w:rPr>
                      <w:rFonts w:hint="default" w:eastAsia="宋体"/>
                      <w:b w:val="0"/>
                      <w:bCs/>
                      <w:color w:val="auto"/>
                      <w:sz w:val="18"/>
                      <w:szCs w:val="18"/>
                      <w:vertAlign w:val="baseline"/>
                      <w:lang w:val="en-US" w:eastAsia="zh-CN"/>
                    </w:rPr>
                  </w:pPr>
                </w:p>
              </w:tc>
              <w:tc>
                <w:tcPr>
                  <w:tcW w:w="1352" w:type="pct"/>
                  <w:tcBorders>
                    <w:tl2br w:val="nil"/>
                    <w:tr2bl w:val="nil"/>
                  </w:tcBorders>
                  <w:vAlign w:val="center"/>
                </w:tcPr>
                <w:p w14:paraId="3C988832">
                  <w:pPr>
                    <w:pStyle w:val="153"/>
                    <w:spacing w:before="0" w:after="0" w:line="240" w:lineRule="exact"/>
                    <w:jc w:val="center"/>
                    <w:rPr>
                      <w:rFonts w:hint="default" w:eastAsia="宋体"/>
                      <w:b w:val="0"/>
                      <w:bCs/>
                      <w:color w:val="auto"/>
                      <w:sz w:val="18"/>
                      <w:szCs w:val="18"/>
                      <w:vertAlign w:val="baseline"/>
                      <w:lang w:val="en-US" w:eastAsia="zh-CN"/>
                    </w:rPr>
                  </w:pPr>
                  <w:r>
                    <w:rPr>
                      <w:rFonts w:hint="eastAsia"/>
                      <w:b w:val="0"/>
                      <w:bCs/>
                      <w:color w:val="auto"/>
                      <w:sz w:val="18"/>
                      <w:szCs w:val="18"/>
                      <w:vertAlign w:val="baseline"/>
                      <w:lang w:val="en-US" w:eastAsia="zh-CN"/>
                    </w:rPr>
                    <w:t>排放量（kg/h）</w:t>
                  </w:r>
                </w:p>
              </w:tc>
              <w:tc>
                <w:tcPr>
                  <w:tcW w:w="573" w:type="pct"/>
                  <w:gridSpan w:val="2"/>
                  <w:tcBorders>
                    <w:tl2br w:val="nil"/>
                    <w:tr2bl w:val="nil"/>
                  </w:tcBorders>
                  <w:vAlign w:val="center"/>
                </w:tcPr>
                <w:p w14:paraId="14507C72">
                  <w:pPr>
                    <w:pStyle w:val="153"/>
                    <w:spacing w:before="0" w:after="0" w:line="240" w:lineRule="exact"/>
                    <w:jc w:val="center"/>
                    <w:rPr>
                      <w:rFonts w:hint="default" w:eastAsia="宋体"/>
                      <w:b w:val="0"/>
                      <w:bCs/>
                      <w:color w:val="auto"/>
                      <w:sz w:val="18"/>
                      <w:szCs w:val="18"/>
                      <w:vertAlign w:val="baseline"/>
                      <w:lang w:val="en-US" w:eastAsia="zh-CN"/>
                    </w:rPr>
                  </w:pPr>
                  <w:r>
                    <w:rPr>
                      <w:rFonts w:hint="eastAsia"/>
                      <w:b w:val="0"/>
                      <w:bCs/>
                      <w:color w:val="auto"/>
                      <w:sz w:val="18"/>
                      <w:szCs w:val="18"/>
                      <w:vertAlign w:val="baseline"/>
                      <w:lang w:val="en-US" w:eastAsia="zh-CN"/>
                    </w:rPr>
                    <w:t>0.00153</w:t>
                  </w:r>
                </w:p>
              </w:tc>
              <w:tc>
                <w:tcPr>
                  <w:tcW w:w="555" w:type="pct"/>
                  <w:tcBorders>
                    <w:tl2br w:val="nil"/>
                    <w:tr2bl w:val="nil"/>
                  </w:tcBorders>
                  <w:vAlign w:val="center"/>
                </w:tcPr>
                <w:p w14:paraId="0EC377FA">
                  <w:pPr>
                    <w:pStyle w:val="153"/>
                    <w:spacing w:before="0" w:after="0" w:line="240" w:lineRule="exact"/>
                    <w:jc w:val="center"/>
                    <w:rPr>
                      <w:rFonts w:hint="eastAsia"/>
                      <w:b w:val="0"/>
                      <w:bCs/>
                      <w:color w:val="auto"/>
                      <w:sz w:val="18"/>
                      <w:szCs w:val="18"/>
                      <w:vertAlign w:val="baseline"/>
                      <w:lang w:val="en-US" w:eastAsia="zh-CN"/>
                    </w:rPr>
                  </w:pPr>
                  <w:r>
                    <w:rPr>
                      <w:rFonts w:hint="eastAsia"/>
                      <w:b w:val="0"/>
                      <w:bCs/>
                      <w:color w:val="auto"/>
                      <w:sz w:val="18"/>
                      <w:szCs w:val="18"/>
                      <w:vertAlign w:val="baseline"/>
                      <w:lang w:val="en-US" w:eastAsia="zh-CN"/>
                    </w:rPr>
                    <w:t>0.000057</w:t>
                  </w:r>
                </w:p>
              </w:tc>
              <w:tc>
                <w:tcPr>
                  <w:tcW w:w="1178" w:type="pct"/>
                  <w:tcBorders>
                    <w:tl2br w:val="nil"/>
                    <w:tr2bl w:val="nil"/>
                  </w:tcBorders>
                  <w:vAlign w:val="center"/>
                </w:tcPr>
                <w:p w14:paraId="2087F9BF">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0.0106</w:t>
                  </w:r>
                </w:p>
              </w:tc>
            </w:tr>
            <w:tr w14:paraId="19B3759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692" w:type="pct"/>
                  <w:gridSpan w:val="2"/>
                  <w:tcBorders>
                    <w:tl2br w:val="nil"/>
                    <w:tr2bl w:val="nil"/>
                  </w:tcBorders>
                  <w:vAlign w:val="center"/>
                </w:tcPr>
                <w:p w14:paraId="65365A0B">
                  <w:pPr>
                    <w:pStyle w:val="153"/>
                    <w:spacing w:before="0" w:after="0" w:line="240" w:lineRule="exact"/>
                    <w:jc w:val="center"/>
                    <w:rPr>
                      <w:rFonts w:hint="default" w:eastAsia="宋体"/>
                      <w:b w:val="0"/>
                      <w:bCs/>
                      <w:color w:val="auto"/>
                      <w:sz w:val="18"/>
                      <w:szCs w:val="18"/>
                      <w:vertAlign w:val="baseline"/>
                      <w:lang w:val="en-US" w:eastAsia="zh-CN"/>
                    </w:rPr>
                  </w:pPr>
                  <w:r>
                    <w:rPr>
                      <w:rFonts w:hint="eastAsia"/>
                      <w:b w:val="0"/>
                      <w:bCs/>
                      <w:color w:val="auto"/>
                      <w:sz w:val="18"/>
                      <w:szCs w:val="18"/>
                      <w:vertAlign w:val="baseline"/>
                      <w:lang w:val="en-US" w:eastAsia="zh-CN"/>
                    </w:rPr>
                    <w:t>年运行时间（h）</w:t>
                  </w:r>
                </w:p>
              </w:tc>
              <w:tc>
                <w:tcPr>
                  <w:tcW w:w="1129" w:type="pct"/>
                  <w:gridSpan w:val="3"/>
                  <w:tcBorders>
                    <w:tl2br w:val="nil"/>
                    <w:tr2bl w:val="nil"/>
                  </w:tcBorders>
                  <w:vAlign w:val="center"/>
                </w:tcPr>
                <w:p w14:paraId="6EA95889">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8760</w:t>
                  </w:r>
                </w:p>
              </w:tc>
              <w:tc>
                <w:tcPr>
                  <w:tcW w:w="1178" w:type="pct"/>
                  <w:tcBorders>
                    <w:tl2br w:val="nil"/>
                    <w:tr2bl w:val="nil"/>
                  </w:tcBorders>
                  <w:vAlign w:val="center"/>
                </w:tcPr>
                <w:p w14:paraId="6804DF73">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1460</w:t>
                  </w:r>
                </w:p>
              </w:tc>
            </w:tr>
            <w:tr w14:paraId="580F15B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692" w:type="pct"/>
                  <w:gridSpan w:val="2"/>
                  <w:tcBorders>
                    <w:tl2br w:val="nil"/>
                    <w:tr2bl w:val="nil"/>
                  </w:tcBorders>
                  <w:vAlign w:val="center"/>
                </w:tcPr>
                <w:p w14:paraId="502CAEE4">
                  <w:pPr>
                    <w:pStyle w:val="153"/>
                    <w:spacing w:before="0" w:after="0" w:line="240" w:lineRule="exact"/>
                    <w:jc w:val="center"/>
                    <w:rPr>
                      <w:rFonts w:hint="default" w:eastAsia="宋体"/>
                      <w:b w:val="0"/>
                      <w:bCs/>
                      <w:color w:val="auto"/>
                      <w:sz w:val="18"/>
                      <w:szCs w:val="18"/>
                      <w:vertAlign w:val="baseline"/>
                      <w:lang w:val="en-US" w:eastAsia="zh-CN"/>
                    </w:rPr>
                  </w:pPr>
                  <w:r>
                    <w:rPr>
                      <w:rFonts w:hint="eastAsia"/>
                      <w:b w:val="0"/>
                      <w:bCs/>
                      <w:color w:val="auto"/>
                      <w:sz w:val="18"/>
                      <w:szCs w:val="18"/>
                      <w:vertAlign w:val="baseline"/>
                      <w:lang w:val="en-US" w:eastAsia="zh-CN"/>
                    </w:rPr>
                    <w:t>年排放量（t/a）</w:t>
                  </w:r>
                </w:p>
              </w:tc>
              <w:tc>
                <w:tcPr>
                  <w:tcW w:w="573" w:type="pct"/>
                  <w:gridSpan w:val="2"/>
                  <w:tcBorders>
                    <w:tl2br w:val="nil"/>
                    <w:tr2bl w:val="nil"/>
                  </w:tcBorders>
                  <w:vAlign w:val="center"/>
                </w:tcPr>
                <w:p w14:paraId="20A0741F">
                  <w:pPr>
                    <w:pStyle w:val="153"/>
                    <w:spacing w:before="0" w:after="0" w:line="240" w:lineRule="exact"/>
                    <w:jc w:val="center"/>
                    <w:rPr>
                      <w:rFonts w:hint="default" w:eastAsia="宋体"/>
                      <w:b w:val="0"/>
                      <w:bCs/>
                      <w:color w:val="auto"/>
                      <w:sz w:val="18"/>
                      <w:szCs w:val="18"/>
                      <w:vertAlign w:val="baseline"/>
                      <w:lang w:val="en-US" w:eastAsia="zh-CN"/>
                    </w:rPr>
                  </w:pPr>
                  <w:r>
                    <w:rPr>
                      <w:rFonts w:hint="eastAsia"/>
                      <w:b w:val="0"/>
                      <w:bCs/>
                      <w:color w:val="auto"/>
                      <w:sz w:val="18"/>
                      <w:szCs w:val="18"/>
                      <w:vertAlign w:val="baseline"/>
                      <w:lang w:val="en-US" w:eastAsia="zh-CN"/>
                    </w:rPr>
                    <w:t>0.0134</w:t>
                  </w:r>
                </w:p>
              </w:tc>
              <w:tc>
                <w:tcPr>
                  <w:tcW w:w="555" w:type="pct"/>
                  <w:tcBorders>
                    <w:tl2br w:val="nil"/>
                    <w:tr2bl w:val="nil"/>
                  </w:tcBorders>
                  <w:vAlign w:val="center"/>
                </w:tcPr>
                <w:p w14:paraId="3E34BEE4">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0.0005</w:t>
                  </w:r>
                </w:p>
              </w:tc>
              <w:tc>
                <w:tcPr>
                  <w:tcW w:w="1178" w:type="pct"/>
                  <w:tcBorders>
                    <w:tl2br w:val="nil"/>
                    <w:tr2bl w:val="nil"/>
                  </w:tcBorders>
                  <w:vAlign w:val="center"/>
                </w:tcPr>
                <w:p w14:paraId="684DDD4D">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0.0000425</w:t>
                  </w:r>
                </w:p>
              </w:tc>
            </w:tr>
            <w:tr w14:paraId="5DFE48D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340" w:type="pct"/>
                  <w:vMerge w:val="restart"/>
                  <w:tcBorders>
                    <w:tl2br w:val="nil"/>
                    <w:tr2bl w:val="nil"/>
                  </w:tcBorders>
                  <w:vAlign w:val="center"/>
                </w:tcPr>
                <w:p w14:paraId="13323F4E">
                  <w:pPr>
                    <w:pStyle w:val="153"/>
                    <w:spacing w:before="0" w:after="0" w:line="240" w:lineRule="exact"/>
                    <w:jc w:val="center"/>
                    <w:rPr>
                      <w:rFonts w:hint="default" w:eastAsia="宋体"/>
                      <w:b w:val="0"/>
                      <w:bCs/>
                      <w:color w:val="auto"/>
                      <w:sz w:val="18"/>
                      <w:szCs w:val="18"/>
                      <w:vertAlign w:val="baseline"/>
                      <w:lang w:val="en-US" w:eastAsia="zh-CN"/>
                    </w:rPr>
                  </w:pPr>
                  <w:r>
                    <w:rPr>
                      <w:rFonts w:hint="eastAsia"/>
                      <w:b w:val="0"/>
                      <w:bCs/>
                      <w:color w:val="auto"/>
                      <w:sz w:val="18"/>
                      <w:szCs w:val="18"/>
                      <w:vertAlign w:val="baseline"/>
                      <w:lang w:val="en-US" w:eastAsia="zh-CN"/>
                    </w:rPr>
                    <w:t>排放参数（有组织）</w:t>
                  </w:r>
                </w:p>
              </w:tc>
              <w:tc>
                <w:tcPr>
                  <w:tcW w:w="1352" w:type="pct"/>
                  <w:tcBorders>
                    <w:tl2br w:val="nil"/>
                    <w:tr2bl w:val="nil"/>
                  </w:tcBorders>
                  <w:vAlign w:val="center"/>
                </w:tcPr>
                <w:p w14:paraId="2C38819A">
                  <w:pPr>
                    <w:pStyle w:val="153"/>
                    <w:spacing w:before="0" w:after="0" w:line="240" w:lineRule="exact"/>
                    <w:jc w:val="center"/>
                    <w:rPr>
                      <w:rFonts w:hint="default" w:eastAsia="宋体"/>
                      <w:b w:val="0"/>
                      <w:bCs/>
                      <w:color w:val="auto"/>
                      <w:sz w:val="18"/>
                      <w:szCs w:val="18"/>
                      <w:vertAlign w:val="baseline"/>
                      <w:lang w:val="en-US" w:eastAsia="zh-CN"/>
                    </w:rPr>
                  </w:pPr>
                  <w:r>
                    <w:rPr>
                      <w:rFonts w:hint="eastAsia"/>
                      <w:b w:val="0"/>
                      <w:bCs/>
                      <w:color w:val="auto"/>
                      <w:sz w:val="18"/>
                      <w:szCs w:val="18"/>
                      <w:vertAlign w:val="baseline"/>
                      <w:lang w:val="en-US" w:eastAsia="zh-CN"/>
                    </w:rPr>
                    <w:t>排气筒高度（m）</w:t>
                  </w:r>
                </w:p>
              </w:tc>
              <w:tc>
                <w:tcPr>
                  <w:tcW w:w="1129" w:type="pct"/>
                  <w:gridSpan w:val="3"/>
                  <w:tcBorders>
                    <w:tl2br w:val="nil"/>
                    <w:tr2bl w:val="nil"/>
                  </w:tcBorders>
                  <w:vAlign w:val="center"/>
                </w:tcPr>
                <w:p w14:paraId="32539AA7">
                  <w:pPr>
                    <w:pStyle w:val="153"/>
                    <w:spacing w:before="0" w:after="0" w:line="240" w:lineRule="exact"/>
                    <w:jc w:val="center"/>
                    <w:rPr>
                      <w:rFonts w:hint="default" w:eastAsia="宋体"/>
                      <w:b w:val="0"/>
                      <w:bCs/>
                      <w:color w:val="auto"/>
                      <w:sz w:val="18"/>
                      <w:szCs w:val="18"/>
                      <w:vertAlign w:val="baseline"/>
                      <w:lang w:val="en-US" w:eastAsia="zh-CN"/>
                    </w:rPr>
                  </w:pPr>
                  <w:r>
                    <w:rPr>
                      <w:rFonts w:hint="eastAsia"/>
                      <w:b w:val="0"/>
                      <w:bCs/>
                      <w:color w:val="auto"/>
                      <w:sz w:val="18"/>
                      <w:szCs w:val="18"/>
                      <w:vertAlign w:val="baseline"/>
                      <w:lang w:val="en-US" w:eastAsia="zh-CN"/>
                    </w:rPr>
                    <w:t>-</w:t>
                  </w:r>
                </w:p>
              </w:tc>
              <w:tc>
                <w:tcPr>
                  <w:tcW w:w="1178" w:type="pct"/>
                  <w:tcBorders>
                    <w:tl2br w:val="nil"/>
                    <w:tr2bl w:val="nil"/>
                  </w:tcBorders>
                  <w:vAlign w:val="center"/>
                </w:tcPr>
                <w:p w14:paraId="50CBF464">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w:t>
                  </w:r>
                </w:p>
              </w:tc>
            </w:tr>
            <w:tr w14:paraId="2292239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340" w:type="pct"/>
                  <w:vMerge w:val="continue"/>
                  <w:tcBorders>
                    <w:tl2br w:val="nil"/>
                    <w:tr2bl w:val="nil"/>
                  </w:tcBorders>
                  <w:vAlign w:val="center"/>
                </w:tcPr>
                <w:p w14:paraId="0163015A">
                  <w:pPr>
                    <w:pStyle w:val="153"/>
                    <w:spacing w:before="0" w:after="0" w:line="240" w:lineRule="exact"/>
                    <w:jc w:val="center"/>
                    <w:rPr>
                      <w:rFonts w:hint="default" w:eastAsia="宋体"/>
                      <w:b w:val="0"/>
                      <w:bCs/>
                      <w:color w:val="auto"/>
                      <w:sz w:val="18"/>
                      <w:szCs w:val="18"/>
                      <w:vertAlign w:val="baseline"/>
                      <w:lang w:val="en-US" w:eastAsia="zh-CN"/>
                    </w:rPr>
                  </w:pPr>
                </w:p>
              </w:tc>
              <w:tc>
                <w:tcPr>
                  <w:tcW w:w="1352" w:type="pct"/>
                  <w:tcBorders>
                    <w:tl2br w:val="nil"/>
                    <w:tr2bl w:val="nil"/>
                  </w:tcBorders>
                  <w:vAlign w:val="center"/>
                </w:tcPr>
                <w:p w14:paraId="26F723D4">
                  <w:pPr>
                    <w:pStyle w:val="153"/>
                    <w:spacing w:before="0" w:after="0" w:line="240" w:lineRule="exact"/>
                    <w:jc w:val="center"/>
                    <w:rPr>
                      <w:rFonts w:hint="default" w:eastAsia="宋体"/>
                      <w:b w:val="0"/>
                      <w:bCs/>
                      <w:color w:val="auto"/>
                      <w:sz w:val="18"/>
                      <w:szCs w:val="18"/>
                      <w:vertAlign w:val="baseline"/>
                      <w:lang w:val="en-US" w:eastAsia="zh-CN"/>
                    </w:rPr>
                  </w:pPr>
                  <w:r>
                    <w:rPr>
                      <w:rFonts w:hint="eastAsia"/>
                      <w:b w:val="0"/>
                      <w:bCs/>
                      <w:color w:val="auto"/>
                      <w:sz w:val="18"/>
                      <w:szCs w:val="18"/>
                      <w:vertAlign w:val="baseline"/>
                      <w:lang w:val="en-US" w:eastAsia="zh-CN"/>
                    </w:rPr>
                    <w:t>出口内径（m）</w:t>
                  </w:r>
                </w:p>
              </w:tc>
              <w:tc>
                <w:tcPr>
                  <w:tcW w:w="1129" w:type="pct"/>
                  <w:gridSpan w:val="3"/>
                  <w:tcBorders>
                    <w:tl2br w:val="nil"/>
                    <w:tr2bl w:val="nil"/>
                  </w:tcBorders>
                  <w:vAlign w:val="center"/>
                </w:tcPr>
                <w:p w14:paraId="3AACDCB9">
                  <w:pPr>
                    <w:pStyle w:val="153"/>
                    <w:spacing w:before="0" w:after="0" w:line="240" w:lineRule="exact"/>
                    <w:jc w:val="center"/>
                    <w:rPr>
                      <w:rFonts w:hint="default" w:eastAsia="宋体"/>
                      <w:b w:val="0"/>
                      <w:bCs/>
                      <w:color w:val="auto"/>
                      <w:sz w:val="18"/>
                      <w:szCs w:val="18"/>
                      <w:vertAlign w:val="baseline"/>
                      <w:lang w:val="en-US" w:eastAsia="zh-CN"/>
                    </w:rPr>
                  </w:pPr>
                  <w:r>
                    <w:rPr>
                      <w:rFonts w:hint="eastAsia"/>
                      <w:b w:val="0"/>
                      <w:bCs/>
                      <w:color w:val="auto"/>
                      <w:sz w:val="18"/>
                      <w:szCs w:val="18"/>
                      <w:vertAlign w:val="baseline"/>
                      <w:lang w:val="en-US" w:eastAsia="zh-CN"/>
                    </w:rPr>
                    <w:t>-</w:t>
                  </w:r>
                </w:p>
              </w:tc>
              <w:tc>
                <w:tcPr>
                  <w:tcW w:w="1178" w:type="pct"/>
                  <w:tcBorders>
                    <w:tl2br w:val="nil"/>
                    <w:tr2bl w:val="nil"/>
                  </w:tcBorders>
                  <w:vAlign w:val="center"/>
                </w:tcPr>
                <w:p w14:paraId="0E3CA0BB">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w:t>
                  </w:r>
                </w:p>
              </w:tc>
            </w:tr>
            <w:tr w14:paraId="4C873DA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340" w:type="pct"/>
                  <w:vMerge w:val="continue"/>
                  <w:tcBorders>
                    <w:tl2br w:val="nil"/>
                    <w:tr2bl w:val="nil"/>
                  </w:tcBorders>
                  <w:vAlign w:val="center"/>
                </w:tcPr>
                <w:p w14:paraId="4CBC4B79">
                  <w:pPr>
                    <w:pStyle w:val="153"/>
                    <w:spacing w:before="0" w:after="0" w:line="240" w:lineRule="exact"/>
                    <w:jc w:val="center"/>
                    <w:rPr>
                      <w:rFonts w:hint="default" w:eastAsia="宋体"/>
                      <w:b w:val="0"/>
                      <w:bCs/>
                      <w:color w:val="auto"/>
                      <w:sz w:val="18"/>
                      <w:szCs w:val="18"/>
                      <w:vertAlign w:val="baseline"/>
                      <w:lang w:val="en-US" w:eastAsia="zh-CN"/>
                    </w:rPr>
                  </w:pPr>
                </w:p>
              </w:tc>
              <w:tc>
                <w:tcPr>
                  <w:tcW w:w="1352" w:type="pct"/>
                  <w:tcBorders>
                    <w:tl2br w:val="nil"/>
                    <w:tr2bl w:val="nil"/>
                  </w:tcBorders>
                  <w:vAlign w:val="center"/>
                </w:tcPr>
                <w:p w14:paraId="07493265">
                  <w:pPr>
                    <w:pStyle w:val="153"/>
                    <w:spacing w:before="0" w:after="0" w:line="240" w:lineRule="exact"/>
                    <w:jc w:val="center"/>
                    <w:rPr>
                      <w:rFonts w:hint="default" w:eastAsia="宋体"/>
                      <w:b w:val="0"/>
                      <w:bCs/>
                      <w:color w:val="auto"/>
                      <w:sz w:val="18"/>
                      <w:szCs w:val="18"/>
                      <w:vertAlign w:val="baseline"/>
                      <w:lang w:val="en-US" w:eastAsia="zh-CN"/>
                    </w:rPr>
                  </w:pPr>
                  <w:r>
                    <w:rPr>
                      <w:rFonts w:hint="eastAsia"/>
                      <w:b w:val="0"/>
                      <w:bCs/>
                      <w:color w:val="auto"/>
                      <w:sz w:val="18"/>
                      <w:szCs w:val="18"/>
                      <w:vertAlign w:val="baseline"/>
                      <w:lang w:val="en-US" w:eastAsia="zh-CN"/>
                    </w:rPr>
                    <w:t>排放温度（℃）</w:t>
                  </w:r>
                </w:p>
              </w:tc>
              <w:tc>
                <w:tcPr>
                  <w:tcW w:w="1129" w:type="pct"/>
                  <w:gridSpan w:val="3"/>
                  <w:tcBorders>
                    <w:tl2br w:val="nil"/>
                    <w:tr2bl w:val="nil"/>
                  </w:tcBorders>
                  <w:vAlign w:val="center"/>
                </w:tcPr>
                <w:p w14:paraId="75D8DBF7">
                  <w:pPr>
                    <w:pStyle w:val="153"/>
                    <w:spacing w:before="0" w:after="0" w:line="240" w:lineRule="exact"/>
                    <w:jc w:val="center"/>
                    <w:rPr>
                      <w:rFonts w:hint="default" w:eastAsia="宋体"/>
                      <w:b w:val="0"/>
                      <w:bCs/>
                      <w:color w:val="auto"/>
                      <w:sz w:val="18"/>
                      <w:szCs w:val="18"/>
                      <w:vertAlign w:val="baseline"/>
                      <w:lang w:val="en-US" w:eastAsia="zh-CN"/>
                    </w:rPr>
                  </w:pPr>
                  <w:r>
                    <w:rPr>
                      <w:rFonts w:hint="eastAsia"/>
                      <w:b w:val="0"/>
                      <w:bCs/>
                      <w:color w:val="auto"/>
                      <w:sz w:val="18"/>
                      <w:szCs w:val="18"/>
                      <w:vertAlign w:val="baseline"/>
                      <w:lang w:val="en-US" w:eastAsia="zh-CN"/>
                    </w:rPr>
                    <w:t>-</w:t>
                  </w:r>
                </w:p>
              </w:tc>
              <w:tc>
                <w:tcPr>
                  <w:tcW w:w="1178" w:type="pct"/>
                  <w:tcBorders>
                    <w:tl2br w:val="nil"/>
                    <w:tr2bl w:val="nil"/>
                  </w:tcBorders>
                  <w:vAlign w:val="center"/>
                </w:tcPr>
                <w:p w14:paraId="61D81865">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w:t>
                  </w:r>
                </w:p>
              </w:tc>
            </w:tr>
          </w:tbl>
          <w:p w14:paraId="4119260A">
            <w:pPr>
              <w:spacing w:line="360" w:lineRule="auto"/>
              <w:ind w:firstLine="422" w:firstLineChars="200"/>
              <w:rPr>
                <w:color w:val="auto"/>
                <w:szCs w:val="21"/>
              </w:rPr>
            </w:pPr>
            <w:r>
              <w:rPr>
                <w:rFonts w:hint="eastAsia"/>
                <w:b/>
                <w:bCs/>
                <w:color w:val="auto"/>
                <w:szCs w:val="21"/>
                <w:lang w:val="en-US" w:eastAsia="zh-CN"/>
              </w:rPr>
              <w:t>（</w:t>
            </w:r>
            <w:r>
              <w:rPr>
                <w:rFonts w:hint="default"/>
                <w:b/>
                <w:bCs/>
                <w:color w:val="auto"/>
                <w:szCs w:val="21"/>
                <w:lang w:val="en-US" w:eastAsia="zh-CN"/>
              </w:rPr>
              <w:t>1</w:t>
            </w:r>
            <w:r>
              <w:rPr>
                <w:rFonts w:hint="eastAsia"/>
                <w:b/>
                <w:bCs/>
                <w:color w:val="auto"/>
                <w:szCs w:val="21"/>
                <w:lang w:val="en-US" w:eastAsia="zh-CN"/>
              </w:rPr>
              <w:t>）污水处理站恶臭</w:t>
            </w:r>
            <w:r>
              <w:rPr>
                <w:rFonts w:hint="eastAsia"/>
                <w:color w:val="auto"/>
                <w:szCs w:val="21"/>
                <w:lang w:val="en-US" w:eastAsia="zh-CN"/>
              </w:rPr>
              <w:t xml:space="preserve"> </w:t>
            </w:r>
          </w:p>
          <w:p w14:paraId="464F8F67">
            <w:pPr>
              <w:spacing w:line="360" w:lineRule="auto"/>
              <w:ind w:firstLine="420" w:firstLineChars="200"/>
              <w:rPr>
                <w:rFonts w:hint="eastAsia"/>
                <w:color w:val="auto"/>
                <w:szCs w:val="21"/>
                <w:lang w:val="en-US" w:eastAsia="zh-CN"/>
              </w:rPr>
            </w:pPr>
            <w:r>
              <w:rPr>
                <w:rFonts w:hint="eastAsia"/>
                <w:color w:val="auto"/>
                <w:szCs w:val="21"/>
                <w:lang w:val="en-US" w:eastAsia="zh-CN"/>
              </w:rPr>
              <w:t xml:space="preserve">恶臭是大气、水、固体废物中的异味通过空气介质，作用于人的嗅觉思维被感知的一种感觉污染。污水处理站的恶臭来源于污水、污泥中有机物的分解、发酵过程中散发的化学物质，主要种类有：硫化物、氨、硫醇、甲基硫、粪臭素、酪酸、丙酸等。 </w:t>
            </w:r>
          </w:p>
          <w:p w14:paraId="4DE869AB">
            <w:pPr>
              <w:spacing w:line="360" w:lineRule="auto"/>
              <w:ind w:firstLine="420" w:firstLineChars="200"/>
              <w:rPr>
                <w:rFonts w:hint="eastAsia"/>
                <w:color w:val="auto"/>
                <w:szCs w:val="21"/>
                <w:lang w:val="en-US" w:eastAsia="zh-CN"/>
              </w:rPr>
            </w:pPr>
            <w:r>
              <w:rPr>
                <w:rFonts w:hint="eastAsia"/>
                <w:color w:val="auto"/>
                <w:szCs w:val="21"/>
                <w:lang w:val="en-US" w:eastAsia="zh-CN"/>
              </w:rPr>
              <w:t>污水的臭味容易散发到空气中，对周围环境造成影响。臭味的主要产生于污水处理站的格栅、调节池、生化池、沉淀池、污泥泵处。参考美国环保部对城市污水处理厂恶臭污染物产生情况的研究，每处理</w:t>
            </w:r>
            <w:r>
              <w:rPr>
                <w:rFonts w:hint="default"/>
                <w:color w:val="auto"/>
                <w:szCs w:val="21"/>
                <w:lang w:val="en-US" w:eastAsia="zh-CN"/>
              </w:rPr>
              <w:t>1g</w:t>
            </w:r>
            <w:r>
              <w:rPr>
                <w:rFonts w:hint="eastAsia"/>
                <w:color w:val="auto"/>
                <w:szCs w:val="21"/>
                <w:lang w:val="en-US" w:eastAsia="zh-CN"/>
              </w:rPr>
              <w:t>的</w:t>
            </w:r>
            <w:r>
              <w:rPr>
                <w:rFonts w:hint="default"/>
                <w:color w:val="auto"/>
                <w:szCs w:val="21"/>
                <w:lang w:val="en-US" w:eastAsia="zh-CN"/>
              </w:rPr>
              <w:t>BOD</w:t>
            </w:r>
            <w:r>
              <w:rPr>
                <w:rFonts w:hint="default"/>
                <w:color w:val="auto"/>
                <w:szCs w:val="21"/>
                <w:vertAlign w:val="subscript"/>
                <w:lang w:val="en-US" w:eastAsia="zh-CN"/>
              </w:rPr>
              <w:t>5</w:t>
            </w:r>
            <w:r>
              <w:rPr>
                <w:rFonts w:hint="eastAsia"/>
                <w:color w:val="auto"/>
                <w:szCs w:val="21"/>
                <w:lang w:val="en-US" w:eastAsia="zh-CN"/>
              </w:rPr>
              <w:t>，可产生</w:t>
            </w:r>
            <w:r>
              <w:rPr>
                <w:rFonts w:hint="default"/>
                <w:color w:val="auto"/>
                <w:szCs w:val="21"/>
                <w:lang w:val="en-US" w:eastAsia="zh-CN"/>
              </w:rPr>
              <w:t>0.0031g</w:t>
            </w:r>
            <w:r>
              <w:rPr>
                <w:rFonts w:hint="eastAsia"/>
                <w:color w:val="auto"/>
                <w:szCs w:val="21"/>
                <w:lang w:val="en-US" w:eastAsia="zh-CN"/>
              </w:rPr>
              <w:t>的</w:t>
            </w:r>
            <w:r>
              <w:rPr>
                <w:rFonts w:hint="default"/>
                <w:color w:val="auto"/>
                <w:szCs w:val="21"/>
                <w:lang w:val="en-US" w:eastAsia="zh-CN"/>
              </w:rPr>
              <w:t>NH</w:t>
            </w:r>
            <w:r>
              <w:rPr>
                <w:rFonts w:hint="default"/>
                <w:color w:val="auto"/>
                <w:szCs w:val="21"/>
                <w:vertAlign w:val="subscript"/>
                <w:lang w:val="en-US" w:eastAsia="zh-CN"/>
              </w:rPr>
              <w:t>3</w:t>
            </w:r>
            <w:r>
              <w:rPr>
                <w:rFonts w:hint="eastAsia"/>
                <w:color w:val="auto"/>
                <w:szCs w:val="21"/>
                <w:lang w:val="en-US" w:eastAsia="zh-CN"/>
              </w:rPr>
              <w:t>和0</w:t>
            </w:r>
            <w:r>
              <w:rPr>
                <w:rFonts w:hint="default"/>
                <w:color w:val="auto"/>
                <w:szCs w:val="21"/>
                <w:lang w:val="en-US" w:eastAsia="zh-CN"/>
              </w:rPr>
              <w:t>.00012g</w:t>
            </w:r>
            <w:r>
              <w:rPr>
                <w:rFonts w:hint="eastAsia"/>
                <w:color w:val="auto"/>
                <w:szCs w:val="21"/>
                <w:lang w:val="en-US" w:eastAsia="zh-CN"/>
              </w:rPr>
              <w:t xml:space="preserve">的 </w:t>
            </w:r>
            <w:r>
              <w:rPr>
                <w:rFonts w:hint="default"/>
                <w:color w:val="auto"/>
                <w:szCs w:val="21"/>
                <w:lang w:val="en-US" w:eastAsia="zh-CN"/>
              </w:rPr>
              <w:t>H</w:t>
            </w:r>
            <w:r>
              <w:rPr>
                <w:rFonts w:hint="default"/>
                <w:color w:val="auto"/>
                <w:szCs w:val="21"/>
                <w:vertAlign w:val="subscript"/>
                <w:lang w:val="en-US" w:eastAsia="zh-CN"/>
              </w:rPr>
              <w:t>2</w:t>
            </w:r>
            <w:r>
              <w:rPr>
                <w:rFonts w:hint="default"/>
                <w:color w:val="auto"/>
                <w:szCs w:val="21"/>
                <w:lang w:val="en-US" w:eastAsia="zh-CN"/>
              </w:rPr>
              <w:t>S</w:t>
            </w:r>
            <w:r>
              <w:rPr>
                <w:rFonts w:hint="eastAsia"/>
                <w:color w:val="auto"/>
                <w:szCs w:val="21"/>
                <w:lang w:val="en-US" w:eastAsia="zh-CN"/>
              </w:rPr>
              <w:t>。本项目废水产生量约为 176.47</w:t>
            </w:r>
            <w:r>
              <w:rPr>
                <w:rFonts w:hint="default"/>
                <w:color w:val="auto"/>
                <w:szCs w:val="21"/>
                <w:lang w:val="en-US" w:eastAsia="zh-CN"/>
              </w:rPr>
              <w:t>m</w:t>
            </w:r>
            <w:r>
              <w:rPr>
                <w:rFonts w:hint="default"/>
                <w:color w:val="auto"/>
                <w:szCs w:val="21"/>
                <w:vertAlign w:val="superscript"/>
                <w:lang w:val="en-US" w:eastAsia="zh-CN"/>
              </w:rPr>
              <w:t>3</w:t>
            </w:r>
            <w:r>
              <w:rPr>
                <w:rFonts w:hint="default"/>
                <w:color w:val="auto"/>
                <w:szCs w:val="21"/>
                <w:lang w:val="en-US" w:eastAsia="zh-CN"/>
              </w:rPr>
              <w:t xml:space="preserve"> /d</w:t>
            </w:r>
            <w:r>
              <w:rPr>
                <w:rFonts w:hint="eastAsia"/>
                <w:color w:val="auto"/>
                <w:szCs w:val="21"/>
                <w:lang w:val="en-US" w:eastAsia="zh-CN"/>
              </w:rPr>
              <w:t>，合计年污水排放量约为64012.04</w:t>
            </w:r>
            <w:r>
              <w:rPr>
                <w:rFonts w:hint="default"/>
                <w:color w:val="auto"/>
                <w:szCs w:val="21"/>
                <w:lang w:val="en-US" w:eastAsia="zh-CN"/>
              </w:rPr>
              <w:t xml:space="preserve"> m</w:t>
            </w:r>
            <w:r>
              <w:rPr>
                <w:rFonts w:hint="default"/>
                <w:color w:val="auto"/>
                <w:szCs w:val="21"/>
                <w:vertAlign w:val="superscript"/>
                <w:lang w:val="en-US" w:eastAsia="zh-CN"/>
              </w:rPr>
              <w:t>3</w:t>
            </w:r>
            <w:r>
              <w:rPr>
                <w:rFonts w:hint="default"/>
                <w:color w:val="auto"/>
                <w:szCs w:val="21"/>
                <w:lang w:val="en-US" w:eastAsia="zh-CN"/>
              </w:rPr>
              <w:t xml:space="preserve"> /a</w:t>
            </w:r>
            <w:r>
              <w:rPr>
                <w:rFonts w:hint="eastAsia"/>
                <w:color w:val="auto"/>
                <w:szCs w:val="21"/>
                <w:lang w:val="en-US" w:eastAsia="zh-CN"/>
              </w:rPr>
              <w:t xml:space="preserve">。 </w:t>
            </w:r>
          </w:p>
          <w:p w14:paraId="3BE0696E">
            <w:pPr>
              <w:spacing w:line="360" w:lineRule="auto"/>
              <w:ind w:firstLine="420" w:firstLineChars="200"/>
              <w:rPr>
                <w:rFonts w:hint="eastAsia"/>
                <w:color w:val="auto"/>
                <w:szCs w:val="21"/>
                <w:lang w:val="en-US" w:eastAsia="zh-CN"/>
              </w:rPr>
            </w:pPr>
            <w:r>
              <w:rPr>
                <w:rFonts w:hint="eastAsia"/>
                <w:color w:val="auto"/>
                <w:szCs w:val="21"/>
                <w:lang w:val="en-US" w:eastAsia="zh-CN"/>
              </w:rPr>
              <w:t xml:space="preserve">参考同类项目，医院废水中 </w:t>
            </w:r>
            <w:r>
              <w:rPr>
                <w:rFonts w:hint="default"/>
                <w:color w:val="auto"/>
                <w:szCs w:val="21"/>
                <w:lang w:val="en-US" w:eastAsia="zh-CN"/>
              </w:rPr>
              <w:t>BOD</w:t>
            </w:r>
            <w:r>
              <w:rPr>
                <w:rFonts w:hint="default"/>
                <w:color w:val="auto"/>
                <w:szCs w:val="21"/>
                <w:vertAlign w:val="subscript"/>
                <w:lang w:val="en-US" w:eastAsia="zh-CN"/>
              </w:rPr>
              <w:t>5</w:t>
            </w:r>
            <w:r>
              <w:rPr>
                <w:rFonts w:hint="eastAsia"/>
                <w:color w:val="auto"/>
                <w:szCs w:val="21"/>
                <w:lang w:val="en-US" w:eastAsia="zh-CN"/>
              </w:rPr>
              <w:t xml:space="preserve">浓度约为 </w:t>
            </w:r>
            <w:r>
              <w:rPr>
                <w:rFonts w:hint="default"/>
                <w:color w:val="auto"/>
                <w:szCs w:val="21"/>
                <w:lang w:val="en-US" w:eastAsia="zh-CN"/>
              </w:rPr>
              <w:t>150mg/L</w:t>
            </w:r>
            <w:r>
              <w:rPr>
                <w:rFonts w:hint="eastAsia"/>
                <w:color w:val="auto"/>
                <w:szCs w:val="21"/>
                <w:lang w:val="en-US" w:eastAsia="zh-CN"/>
              </w:rPr>
              <w:t>，经污水处理站处理后，</w:t>
            </w:r>
            <w:r>
              <w:rPr>
                <w:rFonts w:hint="default"/>
                <w:color w:val="auto"/>
                <w:szCs w:val="21"/>
                <w:lang w:val="en-US" w:eastAsia="zh-CN"/>
              </w:rPr>
              <w:t>BOD</w:t>
            </w:r>
            <w:r>
              <w:rPr>
                <w:rFonts w:hint="default"/>
                <w:color w:val="auto"/>
                <w:szCs w:val="21"/>
                <w:vertAlign w:val="subscript"/>
                <w:lang w:val="en-US" w:eastAsia="zh-CN"/>
              </w:rPr>
              <w:t>5</w:t>
            </w:r>
            <w:r>
              <w:rPr>
                <w:rFonts w:hint="eastAsia"/>
                <w:color w:val="auto"/>
                <w:szCs w:val="21"/>
                <w:lang w:val="en-US" w:eastAsia="zh-CN"/>
              </w:rPr>
              <w:t>去除率约为</w:t>
            </w:r>
            <w:r>
              <w:rPr>
                <w:rFonts w:hint="default"/>
                <w:color w:val="auto"/>
                <w:szCs w:val="21"/>
                <w:lang w:val="en-US" w:eastAsia="zh-CN"/>
              </w:rPr>
              <w:t>90%</w:t>
            </w:r>
            <w:r>
              <w:rPr>
                <w:rFonts w:hint="eastAsia"/>
                <w:color w:val="auto"/>
                <w:szCs w:val="21"/>
                <w:lang w:val="en-US" w:eastAsia="zh-CN"/>
              </w:rPr>
              <w:t xml:space="preserve">，则 </w:t>
            </w:r>
            <w:r>
              <w:rPr>
                <w:rFonts w:hint="default"/>
                <w:color w:val="auto"/>
                <w:szCs w:val="21"/>
                <w:lang w:val="en-US" w:eastAsia="zh-CN"/>
              </w:rPr>
              <w:t>BOD</w:t>
            </w:r>
            <w:r>
              <w:rPr>
                <w:rFonts w:hint="default"/>
                <w:color w:val="auto"/>
                <w:szCs w:val="21"/>
                <w:vertAlign w:val="subscript"/>
                <w:lang w:val="en-US" w:eastAsia="zh-CN"/>
              </w:rPr>
              <w:t>5</w:t>
            </w:r>
            <w:r>
              <w:rPr>
                <w:rFonts w:hint="eastAsia"/>
                <w:color w:val="auto"/>
                <w:szCs w:val="21"/>
                <w:lang w:val="en-US" w:eastAsia="zh-CN"/>
              </w:rPr>
              <w:t>去除量约为8.642</w:t>
            </w:r>
            <w:r>
              <w:rPr>
                <w:rFonts w:hint="default"/>
                <w:color w:val="auto"/>
                <w:szCs w:val="21"/>
                <w:lang w:val="en-US" w:eastAsia="zh-CN"/>
              </w:rPr>
              <w:t>t/a</w:t>
            </w:r>
            <w:r>
              <w:rPr>
                <w:rFonts w:hint="eastAsia"/>
                <w:color w:val="auto"/>
                <w:szCs w:val="21"/>
                <w:lang w:val="en-US" w:eastAsia="zh-CN"/>
              </w:rPr>
              <w:t>，则项目运营过程中污水处理站产生的</w:t>
            </w:r>
            <w:r>
              <w:rPr>
                <w:rFonts w:hint="default"/>
                <w:color w:val="auto"/>
                <w:szCs w:val="21"/>
                <w:lang w:val="en-US" w:eastAsia="zh-CN"/>
              </w:rPr>
              <w:t>NH</w:t>
            </w:r>
            <w:r>
              <w:rPr>
                <w:rFonts w:hint="eastAsia"/>
                <w:color w:val="auto"/>
                <w:szCs w:val="21"/>
                <w:vertAlign w:val="subscript"/>
                <w:lang w:val="en-US" w:eastAsia="zh-CN"/>
              </w:rPr>
              <w:t>3</w:t>
            </w:r>
            <w:r>
              <w:rPr>
                <w:rFonts w:hint="eastAsia"/>
                <w:color w:val="auto"/>
                <w:szCs w:val="21"/>
                <w:lang w:val="en-US" w:eastAsia="zh-CN"/>
              </w:rPr>
              <w:t xml:space="preserve">为 </w:t>
            </w:r>
            <w:r>
              <w:rPr>
                <w:rFonts w:hint="default"/>
                <w:color w:val="auto"/>
                <w:szCs w:val="21"/>
                <w:lang w:val="en-US" w:eastAsia="zh-CN"/>
              </w:rPr>
              <w:t>0.0</w:t>
            </w:r>
            <w:r>
              <w:rPr>
                <w:rFonts w:hint="eastAsia"/>
                <w:color w:val="auto"/>
                <w:szCs w:val="21"/>
                <w:lang w:val="en-US" w:eastAsia="zh-CN"/>
              </w:rPr>
              <w:t>268</w:t>
            </w:r>
            <w:r>
              <w:rPr>
                <w:rFonts w:hint="default"/>
                <w:color w:val="auto"/>
                <w:szCs w:val="21"/>
                <w:lang w:val="en-US" w:eastAsia="zh-CN"/>
              </w:rPr>
              <w:t>t/a</w:t>
            </w:r>
            <w:r>
              <w:rPr>
                <w:rFonts w:hint="eastAsia"/>
                <w:color w:val="auto"/>
                <w:szCs w:val="21"/>
                <w:lang w:val="en-US" w:eastAsia="zh-CN"/>
              </w:rPr>
              <w:t>（26.79</w:t>
            </w:r>
            <w:r>
              <w:rPr>
                <w:rFonts w:hint="default"/>
                <w:color w:val="auto"/>
                <w:szCs w:val="21"/>
                <w:lang w:val="en-US" w:eastAsia="zh-CN"/>
              </w:rPr>
              <w:t>kg/a</w:t>
            </w:r>
            <w:r>
              <w:rPr>
                <w:rFonts w:hint="eastAsia"/>
                <w:color w:val="auto"/>
                <w:szCs w:val="21"/>
                <w:lang w:val="en-US" w:eastAsia="zh-CN"/>
              </w:rPr>
              <w:t>），</w:t>
            </w:r>
            <w:r>
              <w:rPr>
                <w:rFonts w:hint="default"/>
                <w:color w:val="auto"/>
                <w:szCs w:val="21"/>
                <w:lang w:val="en-US" w:eastAsia="zh-CN"/>
              </w:rPr>
              <w:t>H</w:t>
            </w:r>
            <w:r>
              <w:rPr>
                <w:rFonts w:hint="default"/>
                <w:color w:val="auto"/>
                <w:szCs w:val="21"/>
                <w:vertAlign w:val="subscript"/>
                <w:lang w:val="en-US" w:eastAsia="zh-CN"/>
              </w:rPr>
              <w:t>2</w:t>
            </w:r>
            <w:r>
              <w:rPr>
                <w:rFonts w:hint="default"/>
                <w:color w:val="auto"/>
                <w:szCs w:val="21"/>
                <w:lang w:val="en-US" w:eastAsia="zh-CN"/>
              </w:rPr>
              <w:t>S</w:t>
            </w:r>
            <w:r>
              <w:rPr>
                <w:rFonts w:hint="eastAsia"/>
                <w:color w:val="auto"/>
                <w:szCs w:val="21"/>
                <w:lang w:val="en-US" w:eastAsia="zh-CN"/>
              </w:rPr>
              <w:t>产生量为</w:t>
            </w:r>
            <w:r>
              <w:rPr>
                <w:rFonts w:hint="default"/>
                <w:color w:val="auto"/>
                <w:szCs w:val="21"/>
                <w:lang w:val="en-US" w:eastAsia="zh-CN"/>
              </w:rPr>
              <w:t>0.00</w:t>
            </w:r>
            <w:r>
              <w:rPr>
                <w:rFonts w:hint="eastAsia"/>
                <w:color w:val="auto"/>
                <w:szCs w:val="21"/>
                <w:lang w:val="en-US" w:eastAsia="zh-CN"/>
              </w:rPr>
              <w:t>1</w:t>
            </w:r>
            <w:r>
              <w:rPr>
                <w:rFonts w:hint="default"/>
                <w:color w:val="auto"/>
                <w:szCs w:val="21"/>
                <w:lang w:val="en-US" w:eastAsia="zh-CN"/>
              </w:rPr>
              <w:t>t/a</w:t>
            </w:r>
            <w:r>
              <w:rPr>
                <w:rFonts w:hint="eastAsia"/>
                <w:color w:val="auto"/>
                <w:szCs w:val="21"/>
                <w:lang w:val="en-US" w:eastAsia="zh-CN"/>
              </w:rPr>
              <w:t>（1.04</w:t>
            </w:r>
            <w:r>
              <w:rPr>
                <w:rFonts w:hint="default"/>
                <w:color w:val="auto"/>
                <w:szCs w:val="21"/>
                <w:lang w:val="en-US" w:eastAsia="zh-CN"/>
              </w:rPr>
              <w:t>kg/a</w:t>
            </w:r>
            <w:r>
              <w:rPr>
                <w:rFonts w:hint="eastAsia"/>
                <w:color w:val="auto"/>
                <w:szCs w:val="21"/>
                <w:lang w:val="en-US" w:eastAsia="zh-CN"/>
              </w:rPr>
              <w:t xml:space="preserve">）。 </w:t>
            </w:r>
          </w:p>
          <w:p w14:paraId="2BDB10DD">
            <w:pPr>
              <w:spacing w:line="360" w:lineRule="auto"/>
              <w:ind w:firstLine="420" w:firstLineChars="200"/>
              <w:rPr>
                <w:rFonts w:hint="eastAsia"/>
                <w:color w:val="auto"/>
                <w:szCs w:val="21"/>
                <w:lang w:val="en-US" w:eastAsia="zh-CN"/>
              </w:rPr>
            </w:pPr>
            <w:r>
              <w:rPr>
                <w:rFonts w:hint="eastAsia"/>
                <w:color w:val="auto"/>
                <w:szCs w:val="21"/>
                <w:lang w:val="en-US" w:eastAsia="zh-CN"/>
              </w:rPr>
              <w:t xml:space="preserve">为防止污水处理站恶臭污染环境空气，特别对周围住户造成影响，环评要求本项目采取以下恶臭污染防治措施： </w:t>
            </w:r>
          </w:p>
          <w:p w14:paraId="078793E2">
            <w:pPr>
              <w:spacing w:line="360" w:lineRule="auto"/>
              <w:ind w:firstLine="420" w:firstLineChars="200"/>
              <w:rPr>
                <w:rFonts w:hint="eastAsia"/>
                <w:color w:val="auto"/>
                <w:szCs w:val="21"/>
                <w:lang w:val="en-US" w:eastAsia="zh-CN"/>
              </w:rPr>
            </w:pPr>
            <w:r>
              <w:rPr>
                <w:rFonts w:hint="eastAsia"/>
                <w:color w:val="auto"/>
                <w:szCs w:val="21"/>
                <w:lang w:val="en-US" w:eastAsia="zh-CN"/>
              </w:rPr>
              <w:t xml:space="preserve">①加强对污水处理站的管理，确保污水处理站稳定运行； </w:t>
            </w:r>
          </w:p>
          <w:p w14:paraId="605AD5E9">
            <w:pPr>
              <w:spacing w:line="360" w:lineRule="auto"/>
              <w:ind w:firstLine="420" w:firstLineChars="200"/>
              <w:rPr>
                <w:rFonts w:hint="eastAsia"/>
                <w:color w:val="auto"/>
                <w:szCs w:val="21"/>
                <w:lang w:val="en-US" w:eastAsia="zh-CN"/>
              </w:rPr>
            </w:pPr>
            <w:r>
              <w:rPr>
                <w:rFonts w:hint="eastAsia"/>
                <w:color w:val="auto"/>
                <w:szCs w:val="21"/>
                <w:lang w:val="en-US" w:eastAsia="zh-CN"/>
              </w:rPr>
              <w:t xml:space="preserve">②应确保污水处理站各池体的密闭性； </w:t>
            </w:r>
          </w:p>
          <w:p w14:paraId="012A5208">
            <w:pPr>
              <w:spacing w:line="360" w:lineRule="auto"/>
              <w:ind w:firstLine="420" w:firstLineChars="200"/>
              <w:rPr>
                <w:rFonts w:hint="eastAsia"/>
                <w:color w:val="auto"/>
                <w:szCs w:val="21"/>
                <w:lang w:val="en-US" w:eastAsia="zh-CN"/>
              </w:rPr>
            </w:pPr>
            <w:r>
              <w:rPr>
                <w:rFonts w:hint="eastAsia"/>
                <w:color w:val="auto"/>
                <w:szCs w:val="21"/>
                <w:lang w:val="en-US" w:eastAsia="zh-CN"/>
              </w:rPr>
              <w:t xml:space="preserve">③喷洒除臭剂等抑制恶臭产生； </w:t>
            </w:r>
          </w:p>
          <w:p w14:paraId="246680FF">
            <w:pPr>
              <w:spacing w:line="360" w:lineRule="auto"/>
              <w:ind w:firstLine="420" w:firstLineChars="200"/>
              <w:rPr>
                <w:rFonts w:hint="eastAsia"/>
                <w:color w:val="auto"/>
                <w:szCs w:val="21"/>
                <w:lang w:val="en-US" w:eastAsia="zh-CN"/>
              </w:rPr>
            </w:pPr>
            <w:r>
              <w:rPr>
                <w:rFonts w:hint="eastAsia"/>
                <w:color w:val="auto"/>
                <w:szCs w:val="21"/>
                <w:lang w:val="en-US" w:eastAsia="zh-CN"/>
              </w:rPr>
              <w:t xml:space="preserve">④加强污水处理站周围绿化，种植吸附能力强的植物。 </w:t>
            </w:r>
          </w:p>
          <w:p w14:paraId="4B4055DD">
            <w:pPr>
              <w:spacing w:line="360" w:lineRule="auto"/>
              <w:ind w:firstLine="420" w:firstLineChars="200"/>
              <w:rPr>
                <w:rFonts w:hint="eastAsia"/>
                <w:color w:val="auto"/>
                <w:szCs w:val="21"/>
                <w:lang w:val="en-US" w:eastAsia="zh-CN"/>
              </w:rPr>
            </w:pPr>
            <w:r>
              <w:rPr>
                <w:rFonts w:hint="eastAsia"/>
                <w:color w:val="auto"/>
                <w:szCs w:val="21"/>
                <w:lang w:val="en-US" w:eastAsia="zh-CN"/>
              </w:rPr>
              <w:t xml:space="preserve">采取以上措施后，恶臭抑制率按 </w:t>
            </w:r>
            <w:r>
              <w:rPr>
                <w:rFonts w:hint="default"/>
                <w:color w:val="auto"/>
                <w:szCs w:val="21"/>
                <w:lang w:val="en-US" w:eastAsia="zh-CN"/>
              </w:rPr>
              <w:t>50%</w:t>
            </w:r>
            <w:r>
              <w:rPr>
                <w:rFonts w:hint="eastAsia"/>
                <w:color w:val="auto"/>
                <w:szCs w:val="21"/>
                <w:lang w:val="en-US" w:eastAsia="zh-CN"/>
              </w:rPr>
              <w:t>估算，污水处理站恶臭无组织排放量约为</w:t>
            </w:r>
            <w:r>
              <w:rPr>
                <w:rFonts w:hint="default"/>
                <w:color w:val="auto"/>
                <w:szCs w:val="21"/>
                <w:lang w:val="en-US" w:eastAsia="zh-CN"/>
              </w:rPr>
              <w:t>NH</w:t>
            </w:r>
            <w:r>
              <w:rPr>
                <w:rFonts w:hint="default"/>
                <w:color w:val="auto"/>
                <w:szCs w:val="21"/>
                <w:vertAlign w:val="subscript"/>
                <w:lang w:val="en-US" w:eastAsia="zh-CN"/>
              </w:rPr>
              <w:t>3</w:t>
            </w:r>
            <w:r>
              <w:rPr>
                <w:rFonts w:hint="eastAsia"/>
                <w:color w:val="auto"/>
                <w:szCs w:val="21"/>
                <w:lang w:val="en-US" w:eastAsia="zh-CN"/>
              </w:rPr>
              <w:t>：</w:t>
            </w:r>
            <w:r>
              <w:rPr>
                <w:rFonts w:hint="default"/>
                <w:color w:val="auto"/>
                <w:szCs w:val="21"/>
                <w:lang w:val="en-US" w:eastAsia="zh-CN"/>
              </w:rPr>
              <w:t>0.0</w:t>
            </w:r>
            <w:r>
              <w:rPr>
                <w:rFonts w:hint="eastAsia"/>
                <w:color w:val="auto"/>
                <w:szCs w:val="21"/>
                <w:lang w:val="en-US" w:eastAsia="zh-CN"/>
              </w:rPr>
              <w:t>134</w:t>
            </w:r>
            <w:r>
              <w:rPr>
                <w:rFonts w:hint="default"/>
                <w:color w:val="auto"/>
                <w:szCs w:val="21"/>
                <w:lang w:val="en-US" w:eastAsia="zh-CN"/>
              </w:rPr>
              <w:t>t/a</w:t>
            </w:r>
            <w:r>
              <w:rPr>
                <w:rFonts w:hint="eastAsia"/>
                <w:color w:val="auto"/>
                <w:szCs w:val="21"/>
                <w:lang w:val="en-US" w:eastAsia="zh-CN"/>
              </w:rPr>
              <w:t>（13.39</w:t>
            </w:r>
            <w:r>
              <w:rPr>
                <w:rFonts w:hint="default"/>
                <w:color w:val="auto"/>
                <w:szCs w:val="21"/>
                <w:lang w:val="en-US" w:eastAsia="zh-CN"/>
              </w:rPr>
              <w:t>kg/a</w:t>
            </w:r>
            <w:r>
              <w:rPr>
                <w:rFonts w:hint="eastAsia"/>
                <w:color w:val="auto"/>
                <w:szCs w:val="21"/>
                <w:lang w:val="en-US" w:eastAsia="zh-CN"/>
              </w:rPr>
              <w:t>），</w:t>
            </w:r>
            <w:r>
              <w:rPr>
                <w:rFonts w:hint="default"/>
                <w:color w:val="auto"/>
                <w:szCs w:val="21"/>
                <w:lang w:val="en-US" w:eastAsia="zh-CN"/>
              </w:rPr>
              <w:t>H</w:t>
            </w:r>
            <w:r>
              <w:rPr>
                <w:rFonts w:hint="default"/>
                <w:color w:val="auto"/>
                <w:szCs w:val="21"/>
                <w:vertAlign w:val="subscript"/>
                <w:lang w:val="en-US" w:eastAsia="zh-CN"/>
              </w:rPr>
              <w:t>2</w:t>
            </w:r>
            <w:r>
              <w:rPr>
                <w:rFonts w:hint="default"/>
                <w:color w:val="auto"/>
                <w:szCs w:val="21"/>
                <w:lang w:val="en-US" w:eastAsia="zh-CN"/>
              </w:rPr>
              <w:t>S</w:t>
            </w:r>
            <w:r>
              <w:rPr>
                <w:rFonts w:hint="eastAsia"/>
                <w:color w:val="auto"/>
                <w:szCs w:val="21"/>
                <w:lang w:val="en-US" w:eastAsia="zh-CN"/>
              </w:rPr>
              <w:t>：</w:t>
            </w:r>
            <w:r>
              <w:rPr>
                <w:rFonts w:hint="default"/>
                <w:color w:val="auto"/>
                <w:szCs w:val="21"/>
                <w:lang w:val="en-US" w:eastAsia="zh-CN"/>
              </w:rPr>
              <w:t>0.0</w:t>
            </w:r>
            <w:r>
              <w:rPr>
                <w:rFonts w:hint="eastAsia"/>
                <w:color w:val="auto"/>
                <w:szCs w:val="21"/>
                <w:lang w:val="en-US" w:eastAsia="zh-CN"/>
              </w:rPr>
              <w:t>005</w:t>
            </w:r>
            <w:r>
              <w:rPr>
                <w:rFonts w:hint="default"/>
                <w:color w:val="auto"/>
                <w:szCs w:val="21"/>
                <w:lang w:val="en-US" w:eastAsia="zh-CN"/>
              </w:rPr>
              <w:t>t/a</w:t>
            </w:r>
            <w:r>
              <w:rPr>
                <w:rFonts w:hint="eastAsia"/>
                <w:color w:val="auto"/>
                <w:szCs w:val="21"/>
                <w:lang w:val="en-US" w:eastAsia="zh-CN"/>
              </w:rPr>
              <w:t>（0.52</w:t>
            </w:r>
            <w:r>
              <w:rPr>
                <w:rFonts w:hint="default"/>
                <w:color w:val="auto"/>
                <w:szCs w:val="21"/>
                <w:lang w:val="en-US" w:eastAsia="zh-CN"/>
              </w:rPr>
              <w:t>kg/a</w:t>
            </w:r>
            <w:r>
              <w:rPr>
                <w:rFonts w:hint="eastAsia"/>
                <w:color w:val="auto"/>
                <w:szCs w:val="21"/>
                <w:lang w:val="en-US" w:eastAsia="zh-CN"/>
              </w:rPr>
              <w:t>）。</w:t>
            </w:r>
          </w:p>
          <w:p w14:paraId="36D90E7B">
            <w:pPr>
              <w:spacing w:line="360" w:lineRule="auto"/>
              <w:ind w:firstLine="420" w:firstLineChars="200"/>
              <w:rPr>
                <w:rFonts w:hint="eastAsia"/>
                <w:color w:val="auto"/>
                <w:szCs w:val="21"/>
                <w:lang w:val="en-US" w:eastAsia="zh-CN"/>
              </w:rPr>
            </w:pPr>
            <w:r>
              <w:rPr>
                <w:rFonts w:hint="eastAsia"/>
                <w:color w:val="auto"/>
                <w:szCs w:val="21"/>
                <w:lang w:val="en-US" w:eastAsia="zh-CN"/>
              </w:rPr>
              <w:t xml:space="preserve">由此可知，采取环评提出的措施后，项目污水处理站恶臭污染物排放量较小，对周边大气环境影响较小。 </w:t>
            </w:r>
          </w:p>
          <w:p w14:paraId="19B6DDBC">
            <w:pPr>
              <w:spacing w:line="360" w:lineRule="auto"/>
              <w:ind w:firstLine="420" w:firstLineChars="200"/>
              <w:rPr>
                <w:rFonts w:hint="eastAsia"/>
                <w:color w:val="auto"/>
                <w:szCs w:val="21"/>
                <w:lang w:val="en-US" w:eastAsia="zh-CN"/>
              </w:rPr>
            </w:pPr>
            <w:r>
              <w:rPr>
                <w:rFonts w:hint="eastAsia"/>
                <w:color w:val="auto"/>
                <w:szCs w:val="21"/>
                <w:lang w:val="en-US" w:eastAsia="zh-CN"/>
              </w:rPr>
              <w:t>本项目污水处理站恶臭采取的防治措施《排污许可证申请与核发技术规范 医疗机构》</w:t>
            </w:r>
            <w:r>
              <w:rPr>
                <w:rFonts w:hint="default"/>
                <w:color w:val="auto"/>
                <w:szCs w:val="21"/>
                <w:lang w:val="en-US" w:eastAsia="zh-CN"/>
              </w:rPr>
              <w:t>(HJ1105-2020)</w:t>
            </w:r>
            <w:r>
              <w:rPr>
                <w:rFonts w:hint="eastAsia"/>
                <w:color w:val="auto"/>
                <w:szCs w:val="21"/>
                <w:lang w:val="en-US" w:eastAsia="zh-CN"/>
              </w:rPr>
              <w:t xml:space="preserve">附录 </w:t>
            </w:r>
            <w:r>
              <w:rPr>
                <w:rFonts w:hint="default"/>
                <w:color w:val="auto"/>
                <w:szCs w:val="21"/>
                <w:lang w:val="en-US" w:eastAsia="zh-CN"/>
              </w:rPr>
              <w:t xml:space="preserve">A </w:t>
            </w:r>
            <w:r>
              <w:rPr>
                <w:rFonts w:hint="eastAsia"/>
                <w:color w:val="auto"/>
                <w:szCs w:val="21"/>
                <w:lang w:val="en-US" w:eastAsia="zh-CN"/>
              </w:rPr>
              <w:t>中推荐的防治措施。</w:t>
            </w:r>
          </w:p>
          <w:p w14:paraId="158EF4B7">
            <w:pPr>
              <w:widowControl/>
              <w:snapToGrid w:val="0"/>
              <w:spacing w:line="360" w:lineRule="auto"/>
              <w:ind w:firstLine="430" w:firstLineChars="204"/>
              <w:rPr>
                <w:rFonts w:hint="default"/>
                <w:b/>
                <w:bCs w:val="0"/>
                <w:color w:val="auto"/>
                <w:szCs w:val="21"/>
                <w:lang w:val="en-US" w:eastAsia="zh-CN"/>
              </w:rPr>
            </w:pPr>
            <w:r>
              <w:rPr>
                <w:rFonts w:hint="eastAsia"/>
                <w:b/>
                <w:bCs w:val="0"/>
                <w:color w:val="auto"/>
                <w:szCs w:val="21"/>
                <w:lang w:eastAsia="zh-CN"/>
              </w:rPr>
              <w:t>（</w:t>
            </w:r>
            <w:r>
              <w:rPr>
                <w:rFonts w:hint="eastAsia"/>
                <w:b/>
                <w:bCs w:val="0"/>
                <w:color w:val="auto"/>
                <w:szCs w:val="21"/>
                <w:lang w:val="en-US" w:eastAsia="zh-CN"/>
              </w:rPr>
              <w:t>2</w:t>
            </w:r>
            <w:r>
              <w:rPr>
                <w:rFonts w:hint="eastAsia"/>
                <w:b/>
                <w:bCs w:val="0"/>
                <w:color w:val="auto"/>
                <w:szCs w:val="21"/>
                <w:lang w:eastAsia="zh-CN"/>
              </w:rPr>
              <w:t>）</w:t>
            </w:r>
            <w:r>
              <w:rPr>
                <w:rFonts w:hint="eastAsia"/>
                <w:b/>
                <w:bCs w:val="0"/>
                <w:color w:val="auto"/>
                <w:szCs w:val="21"/>
                <w:lang w:val="en-US" w:eastAsia="zh-CN"/>
              </w:rPr>
              <w:t>食堂油烟</w:t>
            </w:r>
          </w:p>
          <w:p w14:paraId="4A4EC6D3">
            <w:pPr>
              <w:widowControl/>
              <w:snapToGrid w:val="0"/>
              <w:spacing w:line="360" w:lineRule="auto"/>
              <w:ind w:firstLine="428" w:firstLineChars="204"/>
              <w:rPr>
                <w:rFonts w:hint="eastAsia"/>
                <w:b w:val="0"/>
                <w:bCs/>
                <w:color w:val="auto"/>
                <w:szCs w:val="21"/>
              </w:rPr>
            </w:pPr>
            <w:r>
              <w:rPr>
                <w:rFonts w:hint="eastAsia"/>
                <w:b w:val="0"/>
                <w:bCs/>
                <w:color w:val="auto"/>
                <w:szCs w:val="21"/>
                <w:lang w:val="en-US" w:eastAsia="zh-CN"/>
              </w:rPr>
              <w:t>根据项目可研，食堂每日用餐人数约</w:t>
            </w:r>
            <w:r>
              <w:rPr>
                <w:rFonts w:hint="default"/>
                <w:b w:val="0"/>
                <w:bCs/>
                <w:color w:val="auto"/>
                <w:szCs w:val="21"/>
                <w:lang w:val="en-US" w:eastAsia="zh-CN"/>
              </w:rPr>
              <w:t>200</w:t>
            </w:r>
            <w:r>
              <w:rPr>
                <w:rFonts w:hint="eastAsia"/>
                <w:b w:val="0"/>
                <w:bCs/>
                <w:color w:val="auto"/>
                <w:szCs w:val="21"/>
                <w:lang w:val="en-US" w:eastAsia="zh-CN"/>
              </w:rPr>
              <w:t>人次，1#和2#食堂设置有2个基准灶头，3#食堂设置有</w:t>
            </w:r>
            <w:r>
              <w:rPr>
                <w:rFonts w:hint="default"/>
                <w:b w:val="0"/>
                <w:bCs/>
                <w:color w:val="auto"/>
                <w:szCs w:val="21"/>
                <w:lang w:val="en-US" w:eastAsia="zh-CN"/>
              </w:rPr>
              <w:t>4</w:t>
            </w:r>
            <w:r>
              <w:rPr>
                <w:rFonts w:hint="eastAsia"/>
                <w:b w:val="0"/>
                <w:bCs/>
                <w:color w:val="auto"/>
                <w:szCs w:val="21"/>
                <w:lang w:val="en-US" w:eastAsia="zh-CN"/>
              </w:rPr>
              <w:t>个基准灶头，根据《餐饮业油烟污染物排放标准》（</w:t>
            </w:r>
            <w:r>
              <w:rPr>
                <w:rFonts w:hint="default"/>
                <w:b w:val="0"/>
                <w:bCs/>
                <w:color w:val="auto"/>
                <w:szCs w:val="21"/>
                <w:lang w:val="en-US" w:eastAsia="zh-CN"/>
              </w:rPr>
              <w:t>DB41/1604-2018</w:t>
            </w:r>
            <w:r>
              <w:rPr>
                <w:rFonts w:hint="eastAsia"/>
                <w:b w:val="0"/>
                <w:bCs/>
                <w:color w:val="auto"/>
                <w:szCs w:val="21"/>
                <w:lang w:val="en-US" w:eastAsia="zh-CN"/>
              </w:rPr>
              <w:t>），属于中型单位，其食用油用量平均按照</w:t>
            </w:r>
            <w:r>
              <w:rPr>
                <w:rFonts w:hint="default"/>
                <w:b w:val="0"/>
                <w:bCs/>
                <w:color w:val="auto"/>
                <w:szCs w:val="21"/>
                <w:lang w:val="en-US" w:eastAsia="zh-CN"/>
              </w:rPr>
              <w:t>0.03kg/</w:t>
            </w:r>
            <w:r>
              <w:rPr>
                <w:rFonts w:hint="eastAsia"/>
                <w:b w:val="0"/>
                <w:bCs/>
                <w:color w:val="auto"/>
                <w:szCs w:val="21"/>
                <w:lang w:val="en-US" w:eastAsia="zh-CN"/>
              </w:rPr>
              <w:t xml:space="preserve">人·天，年工作时间 </w:t>
            </w:r>
            <w:r>
              <w:rPr>
                <w:rFonts w:hint="default"/>
                <w:b w:val="0"/>
                <w:bCs/>
                <w:color w:val="auto"/>
                <w:szCs w:val="21"/>
                <w:lang w:val="en-US" w:eastAsia="zh-CN"/>
              </w:rPr>
              <w:t xml:space="preserve">365 </w:t>
            </w:r>
            <w:r>
              <w:rPr>
                <w:rFonts w:hint="eastAsia"/>
                <w:b w:val="0"/>
                <w:bCs/>
                <w:color w:val="auto"/>
                <w:szCs w:val="21"/>
                <w:lang w:val="en-US" w:eastAsia="zh-CN"/>
              </w:rPr>
              <w:t>天，则食堂日耗油量</w:t>
            </w:r>
            <w:r>
              <w:rPr>
                <w:rFonts w:hint="default"/>
                <w:b w:val="0"/>
                <w:bCs/>
                <w:color w:val="auto"/>
                <w:szCs w:val="21"/>
                <w:lang w:val="en-US" w:eastAsia="zh-CN"/>
              </w:rPr>
              <w:t>6kg/d</w:t>
            </w:r>
            <w:r>
              <w:rPr>
                <w:rFonts w:hint="eastAsia"/>
                <w:b w:val="0"/>
                <w:bCs/>
                <w:color w:val="auto"/>
                <w:szCs w:val="21"/>
                <w:lang w:val="en-US" w:eastAsia="zh-CN"/>
              </w:rPr>
              <w:t>，年耗油量约</w:t>
            </w:r>
            <w:r>
              <w:rPr>
                <w:rFonts w:hint="default"/>
                <w:b w:val="0"/>
                <w:bCs/>
                <w:color w:val="auto"/>
                <w:szCs w:val="21"/>
                <w:lang w:val="en-US" w:eastAsia="zh-CN"/>
              </w:rPr>
              <w:t>2.19t/a</w:t>
            </w:r>
            <w:r>
              <w:rPr>
                <w:rFonts w:hint="eastAsia"/>
                <w:b w:val="0"/>
                <w:bCs/>
                <w:color w:val="auto"/>
                <w:szCs w:val="21"/>
                <w:lang w:val="en-US" w:eastAsia="zh-CN"/>
              </w:rPr>
              <w:t>。根据类比调查，油的平均挥发量为总耗油量的</w:t>
            </w:r>
            <w:r>
              <w:rPr>
                <w:rFonts w:hint="default"/>
                <w:b w:val="0"/>
                <w:bCs/>
                <w:color w:val="auto"/>
                <w:szCs w:val="21"/>
                <w:lang w:val="en-US" w:eastAsia="zh-CN"/>
              </w:rPr>
              <w:t>2.83%</w:t>
            </w:r>
            <w:r>
              <w:rPr>
                <w:rFonts w:hint="eastAsia"/>
                <w:b w:val="0"/>
                <w:bCs/>
                <w:color w:val="auto"/>
                <w:szCs w:val="21"/>
                <w:lang w:val="en-US" w:eastAsia="zh-CN"/>
              </w:rPr>
              <w:t xml:space="preserve">，则项目食堂油烟产生量约为 </w:t>
            </w:r>
            <w:r>
              <w:rPr>
                <w:rFonts w:hint="default"/>
                <w:b w:val="0"/>
                <w:bCs/>
                <w:color w:val="auto"/>
                <w:szCs w:val="21"/>
                <w:lang w:val="en-US" w:eastAsia="zh-CN"/>
              </w:rPr>
              <w:t>0.17kg/d</w:t>
            </w:r>
            <w:r>
              <w:rPr>
                <w:rFonts w:hint="eastAsia"/>
                <w:b w:val="0"/>
                <w:bCs/>
                <w:color w:val="auto"/>
                <w:szCs w:val="21"/>
                <w:lang w:val="en-US" w:eastAsia="zh-CN"/>
              </w:rPr>
              <w:t xml:space="preserve">。 </w:t>
            </w:r>
          </w:p>
          <w:p w14:paraId="56578CC9">
            <w:pPr>
              <w:widowControl/>
              <w:snapToGrid w:val="0"/>
              <w:spacing w:line="360" w:lineRule="auto"/>
              <w:ind w:firstLine="428" w:firstLineChars="204"/>
              <w:rPr>
                <w:rFonts w:hint="eastAsia"/>
                <w:b w:val="0"/>
                <w:bCs/>
                <w:color w:val="auto"/>
                <w:szCs w:val="21"/>
              </w:rPr>
            </w:pPr>
            <w:r>
              <w:rPr>
                <w:rFonts w:hint="eastAsia"/>
                <w:b w:val="0"/>
                <w:bCs/>
                <w:color w:val="auto"/>
                <w:szCs w:val="21"/>
                <w:lang w:val="en-US" w:eastAsia="zh-CN"/>
              </w:rPr>
              <w:t>食堂日运营时间按</w:t>
            </w:r>
            <w:r>
              <w:rPr>
                <w:rFonts w:hint="default"/>
                <w:b w:val="0"/>
                <w:bCs/>
                <w:color w:val="auto"/>
                <w:szCs w:val="21"/>
                <w:lang w:val="en-US" w:eastAsia="zh-CN"/>
              </w:rPr>
              <w:t>4h</w:t>
            </w:r>
            <w:r>
              <w:rPr>
                <w:rFonts w:hint="eastAsia"/>
                <w:b w:val="0"/>
                <w:bCs/>
                <w:color w:val="auto"/>
                <w:szCs w:val="21"/>
                <w:lang w:val="en-US" w:eastAsia="zh-CN"/>
              </w:rPr>
              <w:t xml:space="preserve">计，评价要求项目3座食堂分别安装1台油烟净化装置，1#和2#食堂油烟净化器，油烟净化效率不低于60%；3#食堂油烟净化器，油烟净化率不低于 </w:t>
            </w:r>
            <w:r>
              <w:rPr>
                <w:rFonts w:hint="default"/>
                <w:b w:val="0"/>
                <w:bCs/>
                <w:color w:val="auto"/>
                <w:szCs w:val="21"/>
                <w:lang w:val="en-US" w:eastAsia="zh-CN"/>
              </w:rPr>
              <w:t>75%</w:t>
            </w:r>
            <w:r>
              <w:rPr>
                <w:rFonts w:hint="eastAsia"/>
                <w:b w:val="0"/>
                <w:bCs/>
                <w:color w:val="auto"/>
                <w:szCs w:val="21"/>
                <w:lang w:val="en-US" w:eastAsia="zh-CN"/>
              </w:rPr>
              <w:t>。3台风机总风量约</w:t>
            </w:r>
            <w:r>
              <w:rPr>
                <w:rFonts w:hint="default"/>
                <w:b w:val="0"/>
                <w:bCs/>
                <w:color w:val="auto"/>
                <w:szCs w:val="21"/>
                <w:lang w:val="en-US" w:eastAsia="zh-CN"/>
              </w:rPr>
              <w:t>12000m</w:t>
            </w:r>
            <w:r>
              <w:rPr>
                <w:rFonts w:hint="default"/>
                <w:b w:val="0"/>
                <w:bCs/>
                <w:color w:val="auto"/>
                <w:szCs w:val="21"/>
                <w:vertAlign w:val="superscript"/>
                <w:lang w:val="en-US" w:eastAsia="zh-CN"/>
              </w:rPr>
              <w:t>3</w:t>
            </w:r>
            <w:r>
              <w:rPr>
                <w:rFonts w:hint="default"/>
                <w:b w:val="0"/>
                <w:bCs/>
                <w:color w:val="auto"/>
                <w:szCs w:val="21"/>
                <w:lang w:val="en-US" w:eastAsia="zh-CN"/>
              </w:rPr>
              <w:t xml:space="preserve"> /d</w:t>
            </w:r>
            <w:r>
              <w:rPr>
                <w:rFonts w:hint="eastAsia"/>
                <w:b w:val="0"/>
                <w:bCs/>
                <w:color w:val="auto"/>
                <w:szCs w:val="21"/>
                <w:lang w:val="en-US" w:eastAsia="zh-CN"/>
              </w:rPr>
              <w:t xml:space="preserve">，油烟净化效率统一按75%计算。经处理后，油烟排放量为 </w:t>
            </w:r>
            <w:r>
              <w:rPr>
                <w:rFonts w:hint="default"/>
                <w:b w:val="0"/>
                <w:bCs/>
                <w:color w:val="auto"/>
                <w:szCs w:val="21"/>
                <w:lang w:val="en-US" w:eastAsia="zh-CN"/>
              </w:rPr>
              <w:t>0.0425kg/d</w:t>
            </w:r>
            <w:r>
              <w:rPr>
                <w:rFonts w:hint="eastAsia"/>
                <w:b w:val="0"/>
                <w:bCs/>
                <w:color w:val="auto"/>
                <w:szCs w:val="21"/>
                <w:lang w:val="en-US" w:eastAsia="zh-CN"/>
              </w:rPr>
              <w:t xml:space="preserve">，排放浓度约为 </w:t>
            </w:r>
            <w:r>
              <w:rPr>
                <w:rFonts w:hint="default"/>
                <w:b w:val="0"/>
                <w:bCs/>
                <w:color w:val="auto"/>
                <w:szCs w:val="21"/>
                <w:lang w:val="en-US" w:eastAsia="zh-CN"/>
              </w:rPr>
              <w:t>0.885mg/m</w:t>
            </w:r>
            <w:r>
              <w:rPr>
                <w:rFonts w:hint="default"/>
                <w:b w:val="0"/>
                <w:bCs/>
                <w:color w:val="auto"/>
                <w:szCs w:val="21"/>
                <w:vertAlign w:val="superscript"/>
                <w:lang w:val="en-US" w:eastAsia="zh-CN"/>
              </w:rPr>
              <w:t>3</w:t>
            </w:r>
            <w:r>
              <w:rPr>
                <w:rFonts w:hint="eastAsia"/>
                <w:b w:val="0"/>
                <w:bCs/>
                <w:color w:val="auto"/>
                <w:szCs w:val="21"/>
                <w:lang w:val="en-US" w:eastAsia="zh-CN"/>
              </w:rPr>
              <w:t>，能够满足《饮食业油烟排放标准》（试行）（</w:t>
            </w:r>
            <w:r>
              <w:rPr>
                <w:rFonts w:hint="default"/>
                <w:b w:val="0"/>
                <w:bCs/>
                <w:color w:val="auto"/>
                <w:szCs w:val="21"/>
                <w:lang w:val="en-US" w:eastAsia="zh-CN"/>
              </w:rPr>
              <w:t>GB18483-2001</w:t>
            </w:r>
            <w:r>
              <w:rPr>
                <w:rFonts w:hint="eastAsia"/>
                <w:b w:val="0"/>
                <w:bCs/>
                <w:color w:val="auto"/>
                <w:szCs w:val="21"/>
                <w:lang w:val="en-US" w:eastAsia="zh-CN"/>
              </w:rPr>
              <w:t>）中规定的排放浓度要求（最高允许排放浓度≤</w:t>
            </w:r>
            <w:r>
              <w:rPr>
                <w:rFonts w:hint="default"/>
                <w:b w:val="0"/>
                <w:bCs/>
                <w:color w:val="auto"/>
                <w:szCs w:val="21"/>
                <w:lang w:val="en-US" w:eastAsia="zh-CN"/>
              </w:rPr>
              <w:t>2mg/m</w:t>
            </w:r>
            <w:r>
              <w:rPr>
                <w:rFonts w:hint="default"/>
                <w:b w:val="0"/>
                <w:bCs/>
                <w:color w:val="auto"/>
                <w:szCs w:val="21"/>
                <w:vertAlign w:val="superscript"/>
                <w:lang w:val="en-US" w:eastAsia="zh-CN"/>
              </w:rPr>
              <w:t>3</w:t>
            </w:r>
            <w:r>
              <w:rPr>
                <w:rFonts w:hint="eastAsia"/>
                <w:b w:val="0"/>
                <w:bCs/>
                <w:color w:val="auto"/>
                <w:szCs w:val="21"/>
                <w:lang w:val="en-US" w:eastAsia="zh-CN"/>
              </w:rPr>
              <w:t>），可达标排放。</w:t>
            </w:r>
          </w:p>
          <w:p w14:paraId="11F42E0D">
            <w:pPr>
              <w:widowControl/>
              <w:snapToGrid w:val="0"/>
              <w:spacing w:line="360" w:lineRule="auto"/>
              <w:ind w:firstLine="430" w:firstLineChars="204"/>
              <w:rPr>
                <w:rFonts w:hint="eastAsia"/>
                <w:b w:val="0"/>
                <w:bCs/>
                <w:color w:val="auto"/>
                <w:szCs w:val="21"/>
                <w:lang w:val="en-US" w:eastAsia="zh-CN"/>
              </w:rPr>
            </w:pPr>
            <w:r>
              <w:rPr>
                <w:rFonts w:hint="eastAsia"/>
                <w:b/>
                <w:bCs w:val="0"/>
                <w:color w:val="auto"/>
                <w:szCs w:val="21"/>
                <w:lang w:val="en-US" w:eastAsia="zh-CN"/>
              </w:rPr>
              <w:t>2、废气环境影响分析</w:t>
            </w:r>
            <w:r>
              <w:rPr>
                <w:rFonts w:hint="eastAsia"/>
                <w:b w:val="0"/>
                <w:bCs/>
                <w:color w:val="auto"/>
                <w:szCs w:val="21"/>
                <w:lang w:val="en-US" w:eastAsia="zh-CN"/>
              </w:rPr>
              <w:t xml:space="preserve"> </w:t>
            </w:r>
          </w:p>
          <w:p w14:paraId="655F7B86">
            <w:pPr>
              <w:widowControl/>
              <w:snapToGrid w:val="0"/>
              <w:spacing w:line="360" w:lineRule="auto"/>
              <w:ind w:firstLine="428" w:firstLineChars="204"/>
              <w:rPr>
                <w:rFonts w:hint="eastAsia"/>
                <w:b w:val="0"/>
                <w:bCs/>
                <w:color w:val="auto"/>
                <w:szCs w:val="21"/>
                <w:lang w:val="en-US" w:eastAsia="zh-CN"/>
              </w:rPr>
            </w:pPr>
            <w:r>
              <w:rPr>
                <w:rFonts w:hint="default"/>
                <w:b w:val="0"/>
                <w:bCs/>
                <w:color w:val="auto"/>
                <w:szCs w:val="21"/>
                <w:lang w:val="en-US" w:eastAsia="zh-CN"/>
              </w:rPr>
              <w:t>1</w:t>
            </w:r>
            <w:r>
              <w:rPr>
                <w:rFonts w:hint="eastAsia"/>
                <w:b w:val="0"/>
                <w:bCs/>
                <w:color w:val="auto"/>
                <w:szCs w:val="21"/>
                <w:lang w:val="en-US" w:eastAsia="zh-CN"/>
              </w:rPr>
              <w:t xml:space="preserve">）经计算，项目采取环评提出的措施后，污水处理站恶臭污染物排放量很小， </w:t>
            </w:r>
          </w:p>
          <w:p w14:paraId="42248FCB">
            <w:pPr>
              <w:widowControl/>
              <w:snapToGrid w:val="0"/>
              <w:spacing w:line="360" w:lineRule="auto"/>
              <w:ind w:firstLine="428" w:firstLineChars="204"/>
              <w:rPr>
                <w:rFonts w:hint="eastAsia"/>
                <w:b w:val="0"/>
                <w:bCs/>
                <w:color w:val="auto"/>
                <w:szCs w:val="21"/>
                <w:lang w:val="en-US" w:eastAsia="zh-CN"/>
              </w:rPr>
            </w:pPr>
            <w:r>
              <w:rPr>
                <w:rFonts w:hint="eastAsia"/>
                <w:b w:val="0"/>
                <w:bCs/>
                <w:color w:val="auto"/>
                <w:szCs w:val="21"/>
                <w:lang w:val="en-US" w:eastAsia="zh-CN"/>
              </w:rPr>
              <w:t xml:space="preserve">类比同类项目，无组织排放的恶臭废气对项目周边环境空气影响很小，厂界恶臭能够达标排放。 </w:t>
            </w:r>
          </w:p>
          <w:p w14:paraId="1F7C08EB">
            <w:pPr>
              <w:widowControl/>
              <w:snapToGrid w:val="0"/>
              <w:spacing w:line="360" w:lineRule="auto"/>
              <w:ind w:firstLine="428" w:firstLineChars="204"/>
              <w:rPr>
                <w:rFonts w:hint="eastAsia"/>
                <w:b w:val="0"/>
                <w:bCs/>
                <w:color w:val="auto"/>
                <w:szCs w:val="21"/>
                <w:lang w:val="en-US" w:eastAsia="zh-CN"/>
              </w:rPr>
            </w:pPr>
            <w:r>
              <w:rPr>
                <w:rFonts w:hint="default"/>
                <w:b w:val="0"/>
                <w:bCs/>
                <w:color w:val="auto"/>
                <w:szCs w:val="21"/>
                <w:lang w:val="en-US" w:eastAsia="zh-CN"/>
              </w:rPr>
              <w:t>2</w:t>
            </w:r>
            <w:r>
              <w:rPr>
                <w:rFonts w:hint="eastAsia"/>
                <w:b w:val="0"/>
                <w:bCs/>
                <w:color w:val="auto"/>
                <w:szCs w:val="21"/>
                <w:lang w:val="en-US" w:eastAsia="zh-CN"/>
              </w:rPr>
              <w:t xml:space="preserve">）评价要求项目食堂安装油烟净化装置，净化率不低于 </w:t>
            </w:r>
            <w:r>
              <w:rPr>
                <w:rFonts w:hint="default"/>
                <w:b w:val="0"/>
                <w:bCs/>
                <w:color w:val="auto"/>
                <w:szCs w:val="21"/>
                <w:lang w:val="en-US" w:eastAsia="zh-CN"/>
              </w:rPr>
              <w:t>75%</w:t>
            </w:r>
            <w:r>
              <w:rPr>
                <w:rFonts w:hint="eastAsia"/>
                <w:b w:val="0"/>
                <w:bCs/>
                <w:color w:val="auto"/>
                <w:szCs w:val="21"/>
                <w:lang w:val="en-US" w:eastAsia="zh-CN"/>
              </w:rPr>
              <w:t xml:space="preserve">，经计算，项目食堂产生油烟经净化处理后，可达标排放。 </w:t>
            </w:r>
          </w:p>
          <w:p w14:paraId="0BB4CF41">
            <w:pPr>
              <w:widowControl/>
              <w:snapToGrid w:val="0"/>
              <w:spacing w:line="360" w:lineRule="auto"/>
              <w:ind w:firstLine="428" w:firstLineChars="204"/>
              <w:rPr>
                <w:rFonts w:hint="eastAsia"/>
                <w:b w:val="0"/>
                <w:bCs/>
                <w:color w:val="auto"/>
                <w:szCs w:val="21"/>
                <w:lang w:val="en-US" w:eastAsia="zh-CN"/>
              </w:rPr>
            </w:pPr>
            <w:r>
              <w:rPr>
                <w:rFonts w:hint="eastAsia"/>
                <w:b w:val="0"/>
                <w:bCs/>
                <w:color w:val="auto"/>
                <w:szCs w:val="21"/>
                <w:lang w:val="en-US" w:eastAsia="zh-CN"/>
              </w:rPr>
              <w:t>综上所述，采取环评提出的措施后，废气污染物可达标排放，对环境空气影响较小。</w:t>
            </w:r>
          </w:p>
          <w:p w14:paraId="08A55515">
            <w:pPr>
              <w:widowControl/>
              <w:snapToGrid w:val="0"/>
              <w:spacing w:line="360" w:lineRule="auto"/>
              <w:ind w:firstLine="430" w:firstLineChars="204"/>
              <w:rPr>
                <w:b/>
                <w:color w:val="auto"/>
                <w:szCs w:val="21"/>
              </w:rPr>
            </w:pPr>
            <w:r>
              <w:rPr>
                <w:rFonts w:hint="eastAsia"/>
                <w:b/>
                <w:color w:val="auto"/>
                <w:szCs w:val="21"/>
                <w:lang w:val="en-US" w:eastAsia="zh-CN"/>
              </w:rPr>
              <w:t>3、</w:t>
            </w:r>
            <w:r>
              <w:rPr>
                <w:rFonts w:hint="eastAsia"/>
                <w:b/>
                <w:color w:val="auto"/>
                <w:szCs w:val="21"/>
              </w:rPr>
              <w:t>污染防治措施可行性分析</w:t>
            </w:r>
          </w:p>
          <w:p w14:paraId="5BC0FE84">
            <w:pPr>
              <w:pStyle w:val="153"/>
              <w:spacing w:before="0" w:after="0" w:line="240" w:lineRule="exact"/>
              <w:rPr>
                <w:rFonts w:hint="default" w:eastAsia="宋体"/>
                <w:color w:val="auto"/>
                <w:sz w:val="18"/>
                <w:szCs w:val="18"/>
                <w:vertAlign w:val="baseline"/>
                <w:lang w:val="en-US" w:eastAsia="zh-CN"/>
              </w:rPr>
            </w:pPr>
            <w:r>
              <w:rPr>
                <w:color w:val="auto"/>
                <w:sz w:val="18"/>
                <w:szCs w:val="18"/>
              </w:rPr>
              <w:t>表4-</w:t>
            </w:r>
            <w:r>
              <w:rPr>
                <w:rFonts w:hint="eastAsia"/>
                <w:color w:val="auto"/>
                <w:sz w:val="18"/>
                <w:szCs w:val="18"/>
                <w:lang w:val="en-US" w:eastAsia="zh-CN"/>
              </w:rPr>
              <w:t>2</w:t>
            </w:r>
            <w:r>
              <w:rPr>
                <w:color w:val="auto"/>
                <w:sz w:val="18"/>
                <w:szCs w:val="18"/>
              </w:rPr>
              <w:t xml:space="preserve"> </w:t>
            </w:r>
            <w:r>
              <w:rPr>
                <w:rFonts w:hint="eastAsia"/>
                <w:color w:val="auto"/>
                <w:sz w:val="18"/>
                <w:szCs w:val="18"/>
              </w:rPr>
              <w:t xml:space="preserve">  </w:t>
            </w:r>
            <w:r>
              <w:rPr>
                <w:color w:val="auto"/>
                <w:sz w:val="18"/>
                <w:szCs w:val="18"/>
              </w:rPr>
              <w:t xml:space="preserve"> </w:t>
            </w:r>
            <w:r>
              <w:rPr>
                <w:rFonts w:hint="eastAsia"/>
                <w:color w:val="auto"/>
                <w:sz w:val="18"/>
                <w:szCs w:val="18"/>
                <w:lang w:val="en-US" w:eastAsia="zh-CN"/>
              </w:rPr>
              <w:t>废气污染物防治可行技术参考对照表</w:t>
            </w:r>
          </w:p>
          <w:tbl>
            <w:tblPr>
              <w:tblStyle w:val="48"/>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273"/>
              <w:gridCol w:w="2270"/>
              <w:gridCol w:w="803"/>
              <w:gridCol w:w="1472"/>
              <w:gridCol w:w="1445"/>
              <w:gridCol w:w="760"/>
            </w:tblGrid>
            <w:tr w14:paraId="3A4AC68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93" w:type="pct"/>
                  <w:tcBorders>
                    <w:tl2br w:val="nil"/>
                    <w:tr2bl w:val="nil"/>
                  </w:tcBorders>
                  <w:vAlign w:val="center"/>
                </w:tcPr>
                <w:p w14:paraId="5F8D70ED">
                  <w:pPr>
                    <w:pStyle w:val="153"/>
                    <w:spacing w:before="0" w:after="0" w:line="240" w:lineRule="exact"/>
                    <w:jc w:val="center"/>
                    <w:rPr>
                      <w:rFonts w:hint="default" w:eastAsia="宋体"/>
                      <w:b w:val="0"/>
                      <w:bCs/>
                      <w:color w:val="auto"/>
                      <w:sz w:val="18"/>
                      <w:szCs w:val="18"/>
                      <w:vertAlign w:val="baseline"/>
                      <w:lang w:val="en-US" w:eastAsia="zh-CN"/>
                    </w:rPr>
                  </w:pPr>
                  <w:r>
                    <w:rPr>
                      <w:rFonts w:hint="eastAsia"/>
                      <w:b w:val="0"/>
                      <w:bCs/>
                      <w:color w:val="auto"/>
                      <w:sz w:val="18"/>
                      <w:szCs w:val="18"/>
                      <w:vertAlign w:val="baseline"/>
                      <w:lang w:val="en-US" w:eastAsia="zh-CN"/>
                    </w:rPr>
                    <w:t>废气种类</w:t>
                  </w:r>
                </w:p>
              </w:tc>
              <w:tc>
                <w:tcPr>
                  <w:tcW w:w="1414" w:type="pct"/>
                  <w:tcBorders>
                    <w:tl2br w:val="nil"/>
                    <w:tr2bl w:val="nil"/>
                  </w:tcBorders>
                  <w:vAlign w:val="center"/>
                </w:tcPr>
                <w:p w14:paraId="259D9836">
                  <w:pPr>
                    <w:pStyle w:val="153"/>
                    <w:spacing w:before="0" w:after="0" w:line="240" w:lineRule="exact"/>
                    <w:jc w:val="center"/>
                    <w:rPr>
                      <w:rFonts w:hint="default" w:eastAsia="宋体"/>
                      <w:b w:val="0"/>
                      <w:bCs/>
                      <w:color w:val="auto"/>
                      <w:sz w:val="18"/>
                      <w:szCs w:val="18"/>
                      <w:vertAlign w:val="baseline"/>
                      <w:lang w:val="en-US" w:eastAsia="zh-CN"/>
                    </w:rPr>
                  </w:pPr>
                  <w:r>
                    <w:rPr>
                      <w:rFonts w:hint="eastAsia"/>
                      <w:b w:val="0"/>
                      <w:bCs/>
                      <w:color w:val="auto"/>
                      <w:sz w:val="18"/>
                      <w:szCs w:val="18"/>
                      <w:vertAlign w:val="baseline"/>
                      <w:lang w:val="en-US" w:eastAsia="zh-CN"/>
                    </w:rPr>
                    <w:t>污染物种类</w:t>
                  </w:r>
                </w:p>
              </w:tc>
              <w:tc>
                <w:tcPr>
                  <w:tcW w:w="500" w:type="pct"/>
                  <w:tcBorders>
                    <w:tl2br w:val="nil"/>
                    <w:tr2bl w:val="nil"/>
                  </w:tcBorders>
                  <w:vAlign w:val="center"/>
                </w:tcPr>
                <w:p w14:paraId="1B0D88A9">
                  <w:pPr>
                    <w:pStyle w:val="153"/>
                    <w:spacing w:before="0" w:after="0" w:line="240" w:lineRule="exact"/>
                    <w:jc w:val="center"/>
                    <w:rPr>
                      <w:rFonts w:hint="eastAsia"/>
                      <w:b w:val="0"/>
                      <w:bCs/>
                      <w:color w:val="auto"/>
                      <w:sz w:val="18"/>
                      <w:szCs w:val="18"/>
                      <w:vertAlign w:val="baseline"/>
                      <w:lang w:val="en-US" w:eastAsia="zh-CN"/>
                    </w:rPr>
                  </w:pPr>
                  <w:r>
                    <w:rPr>
                      <w:rFonts w:hint="eastAsia"/>
                      <w:b w:val="0"/>
                      <w:bCs/>
                      <w:color w:val="auto"/>
                      <w:sz w:val="18"/>
                      <w:szCs w:val="18"/>
                      <w:vertAlign w:val="baseline"/>
                      <w:lang w:val="en-US" w:eastAsia="zh-CN"/>
                    </w:rPr>
                    <w:t>排放</w:t>
                  </w:r>
                </w:p>
                <w:p w14:paraId="21C36E7C">
                  <w:pPr>
                    <w:pStyle w:val="153"/>
                    <w:spacing w:before="0" w:after="0" w:line="240" w:lineRule="exact"/>
                    <w:jc w:val="center"/>
                    <w:rPr>
                      <w:rFonts w:hint="default" w:eastAsia="宋体"/>
                      <w:b w:val="0"/>
                      <w:bCs/>
                      <w:color w:val="auto"/>
                      <w:sz w:val="18"/>
                      <w:szCs w:val="18"/>
                      <w:vertAlign w:val="baseline"/>
                      <w:lang w:val="en-US" w:eastAsia="zh-CN"/>
                    </w:rPr>
                  </w:pPr>
                  <w:r>
                    <w:rPr>
                      <w:rFonts w:hint="eastAsia"/>
                      <w:b w:val="0"/>
                      <w:bCs/>
                      <w:color w:val="auto"/>
                      <w:sz w:val="18"/>
                      <w:szCs w:val="18"/>
                      <w:vertAlign w:val="baseline"/>
                      <w:lang w:val="en-US" w:eastAsia="zh-CN"/>
                    </w:rPr>
                    <w:t>形式</w:t>
                  </w:r>
                </w:p>
              </w:tc>
              <w:tc>
                <w:tcPr>
                  <w:tcW w:w="917" w:type="pct"/>
                  <w:tcBorders>
                    <w:tl2br w:val="nil"/>
                    <w:tr2bl w:val="nil"/>
                  </w:tcBorders>
                  <w:vAlign w:val="center"/>
                </w:tcPr>
                <w:p w14:paraId="490B433B">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可行技术</w:t>
                  </w:r>
                </w:p>
              </w:tc>
              <w:tc>
                <w:tcPr>
                  <w:tcW w:w="900" w:type="pct"/>
                  <w:tcBorders>
                    <w:tl2br w:val="nil"/>
                    <w:tr2bl w:val="nil"/>
                  </w:tcBorders>
                  <w:vAlign w:val="center"/>
                </w:tcPr>
                <w:p w14:paraId="20D02A6A">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本项目</w:t>
                  </w:r>
                </w:p>
              </w:tc>
              <w:tc>
                <w:tcPr>
                  <w:tcW w:w="473" w:type="pct"/>
                  <w:tcBorders>
                    <w:tl2br w:val="nil"/>
                    <w:tr2bl w:val="nil"/>
                  </w:tcBorders>
                  <w:vAlign w:val="center"/>
                </w:tcPr>
                <w:p w14:paraId="051B511F">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符合性分析</w:t>
                  </w:r>
                </w:p>
              </w:tc>
            </w:tr>
            <w:tr w14:paraId="196F097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93" w:type="pct"/>
                  <w:tcBorders>
                    <w:tl2br w:val="nil"/>
                    <w:tr2bl w:val="nil"/>
                  </w:tcBorders>
                  <w:vAlign w:val="center"/>
                </w:tcPr>
                <w:p w14:paraId="2D1AC169">
                  <w:pPr>
                    <w:pStyle w:val="153"/>
                    <w:spacing w:before="0" w:after="0" w:line="240" w:lineRule="exact"/>
                    <w:jc w:val="center"/>
                    <w:rPr>
                      <w:rFonts w:hint="default" w:eastAsia="宋体"/>
                      <w:b w:val="0"/>
                      <w:bCs/>
                      <w:color w:val="auto"/>
                      <w:sz w:val="18"/>
                      <w:szCs w:val="18"/>
                      <w:vertAlign w:val="baseline"/>
                      <w:lang w:val="en-US" w:eastAsia="zh-CN"/>
                    </w:rPr>
                  </w:pPr>
                  <w:r>
                    <w:rPr>
                      <w:rFonts w:hint="eastAsia"/>
                      <w:b w:val="0"/>
                      <w:bCs/>
                      <w:color w:val="auto"/>
                      <w:sz w:val="18"/>
                      <w:szCs w:val="18"/>
                      <w:vertAlign w:val="baseline"/>
                      <w:lang w:val="en-US" w:eastAsia="zh-CN"/>
                    </w:rPr>
                    <w:t>污水处理站废气</w:t>
                  </w:r>
                </w:p>
              </w:tc>
              <w:tc>
                <w:tcPr>
                  <w:tcW w:w="1414" w:type="pct"/>
                  <w:tcBorders>
                    <w:tl2br w:val="nil"/>
                    <w:tr2bl w:val="nil"/>
                  </w:tcBorders>
                  <w:vAlign w:val="center"/>
                </w:tcPr>
                <w:p w14:paraId="6A2166F6">
                  <w:pPr>
                    <w:pStyle w:val="153"/>
                    <w:spacing w:before="0" w:after="0" w:line="240" w:lineRule="exact"/>
                    <w:jc w:val="center"/>
                    <w:rPr>
                      <w:rFonts w:hint="default" w:eastAsia="宋体"/>
                      <w:b w:val="0"/>
                      <w:bCs/>
                      <w:color w:val="auto"/>
                      <w:sz w:val="18"/>
                      <w:szCs w:val="18"/>
                      <w:vertAlign w:val="baseline"/>
                      <w:lang w:val="en-US" w:eastAsia="zh-CN"/>
                    </w:rPr>
                  </w:pPr>
                  <w:r>
                    <w:rPr>
                      <w:rFonts w:hint="eastAsia"/>
                      <w:b w:val="0"/>
                      <w:bCs/>
                      <w:color w:val="auto"/>
                      <w:sz w:val="18"/>
                      <w:szCs w:val="18"/>
                      <w:vertAlign w:val="baseline"/>
                      <w:lang w:val="en-US" w:eastAsia="zh-CN"/>
                    </w:rPr>
                    <w:t>氨、硫化氢、臭气浓度、甲烷（指处理站内最好体积百分数）、氯气</w:t>
                  </w:r>
                </w:p>
              </w:tc>
              <w:tc>
                <w:tcPr>
                  <w:tcW w:w="500" w:type="pct"/>
                  <w:tcBorders>
                    <w:tl2br w:val="nil"/>
                    <w:tr2bl w:val="nil"/>
                  </w:tcBorders>
                  <w:vAlign w:val="center"/>
                </w:tcPr>
                <w:p w14:paraId="77D735C3">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无组织</w:t>
                  </w:r>
                </w:p>
              </w:tc>
              <w:tc>
                <w:tcPr>
                  <w:tcW w:w="917" w:type="pct"/>
                  <w:tcBorders>
                    <w:tl2br w:val="nil"/>
                    <w:tr2bl w:val="nil"/>
                  </w:tcBorders>
                  <w:vAlign w:val="center"/>
                </w:tcPr>
                <w:p w14:paraId="1039AE9B">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产生恶臭区域加罩或加盖，投放除臭剂</w:t>
                  </w:r>
                </w:p>
              </w:tc>
              <w:tc>
                <w:tcPr>
                  <w:tcW w:w="900" w:type="pct"/>
                  <w:tcBorders>
                    <w:tl2br w:val="nil"/>
                    <w:tr2bl w:val="nil"/>
                  </w:tcBorders>
                  <w:vAlign w:val="center"/>
                </w:tcPr>
                <w:p w14:paraId="0FBDA1D7">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池体密闭、投加除臭剂、绿化等</w:t>
                  </w:r>
                </w:p>
              </w:tc>
              <w:tc>
                <w:tcPr>
                  <w:tcW w:w="473" w:type="pct"/>
                  <w:tcBorders>
                    <w:tl2br w:val="nil"/>
                    <w:tr2bl w:val="nil"/>
                  </w:tcBorders>
                  <w:vAlign w:val="center"/>
                </w:tcPr>
                <w:p w14:paraId="7375724F">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属于可行技术</w:t>
                  </w:r>
                </w:p>
              </w:tc>
            </w:tr>
            <w:tr w14:paraId="23E17B7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93" w:type="pct"/>
                  <w:tcBorders>
                    <w:tl2br w:val="nil"/>
                    <w:tr2bl w:val="nil"/>
                  </w:tcBorders>
                  <w:vAlign w:val="center"/>
                </w:tcPr>
                <w:p w14:paraId="1FE30682">
                  <w:pPr>
                    <w:pStyle w:val="153"/>
                    <w:spacing w:before="0" w:after="0" w:line="240" w:lineRule="exact"/>
                    <w:jc w:val="center"/>
                    <w:rPr>
                      <w:rFonts w:hint="default" w:eastAsia="宋体"/>
                      <w:b w:val="0"/>
                      <w:bCs/>
                      <w:color w:val="auto"/>
                      <w:sz w:val="18"/>
                      <w:szCs w:val="18"/>
                      <w:vertAlign w:val="baseline"/>
                      <w:lang w:val="en-US" w:eastAsia="zh-CN"/>
                    </w:rPr>
                  </w:pPr>
                  <w:r>
                    <w:rPr>
                      <w:rFonts w:hint="eastAsia"/>
                      <w:b w:val="0"/>
                      <w:bCs/>
                      <w:color w:val="auto"/>
                      <w:sz w:val="18"/>
                      <w:szCs w:val="18"/>
                      <w:vertAlign w:val="baseline"/>
                      <w:lang w:val="en-US" w:eastAsia="zh-CN"/>
                    </w:rPr>
                    <w:t>食堂油烟</w:t>
                  </w:r>
                </w:p>
              </w:tc>
              <w:tc>
                <w:tcPr>
                  <w:tcW w:w="1414" w:type="pct"/>
                  <w:tcBorders>
                    <w:tl2br w:val="nil"/>
                    <w:tr2bl w:val="nil"/>
                  </w:tcBorders>
                  <w:vAlign w:val="center"/>
                </w:tcPr>
                <w:p w14:paraId="0003CE31">
                  <w:pPr>
                    <w:pStyle w:val="153"/>
                    <w:spacing w:before="0" w:after="0" w:line="240" w:lineRule="exact"/>
                    <w:jc w:val="center"/>
                    <w:rPr>
                      <w:rFonts w:hint="default" w:eastAsia="宋体"/>
                      <w:b w:val="0"/>
                      <w:bCs/>
                      <w:color w:val="auto"/>
                      <w:sz w:val="18"/>
                      <w:szCs w:val="18"/>
                      <w:vertAlign w:val="baseline"/>
                      <w:lang w:val="en-US" w:eastAsia="zh-CN"/>
                    </w:rPr>
                  </w:pPr>
                  <w:r>
                    <w:rPr>
                      <w:rFonts w:hint="eastAsia"/>
                      <w:b w:val="0"/>
                      <w:bCs/>
                      <w:color w:val="auto"/>
                      <w:sz w:val="18"/>
                      <w:szCs w:val="18"/>
                      <w:vertAlign w:val="baseline"/>
                      <w:lang w:val="en-US" w:eastAsia="zh-CN"/>
                    </w:rPr>
                    <w:t>油烟</w:t>
                  </w:r>
                </w:p>
              </w:tc>
              <w:tc>
                <w:tcPr>
                  <w:tcW w:w="500" w:type="pct"/>
                  <w:tcBorders>
                    <w:tl2br w:val="nil"/>
                    <w:tr2bl w:val="nil"/>
                  </w:tcBorders>
                  <w:vAlign w:val="center"/>
                </w:tcPr>
                <w:p w14:paraId="0559433D">
                  <w:pPr>
                    <w:pStyle w:val="153"/>
                    <w:spacing w:before="0" w:after="0" w:line="240" w:lineRule="exact"/>
                    <w:jc w:val="center"/>
                    <w:rPr>
                      <w:rFonts w:hint="default" w:eastAsia="宋体"/>
                      <w:b w:val="0"/>
                      <w:bCs/>
                      <w:color w:val="auto"/>
                      <w:sz w:val="18"/>
                      <w:szCs w:val="18"/>
                      <w:vertAlign w:val="baseline"/>
                      <w:lang w:val="en-US" w:eastAsia="zh-CN"/>
                    </w:rPr>
                  </w:pPr>
                  <w:r>
                    <w:rPr>
                      <w:rFonts w:hint="eastAsia"/>
                      <w:b w:val="0"/>
                      <w:bCs/>
                      <w:color w:val="auto"/>
                      <w:sz w:val="18"/>
                      <w:szCs w:val="18"/>
                      <w:vertAlign w:val="baseline"/>
                      <w:lang w:val="en-US" w:eastAsia="zh-CN"/>
                    </w:rPr>
                    <w:t>无组织</w:t>
                  </w:r>
                </w:p>
              </w:tc>
              <w:tc>
                <w:tcPr>
                  <w:tcW w:w="917" w:type="pct"/>
                  <w:tcBorders>
                    <w:tl2br w:val="nil"/>
                    <w:tr2bl w:val="nil"/>
                  </w:tcBorders>
                  <w:vAlign w:val="center"/>
                </w:tcPr>
                <w:p w14:paraId="318CA8FE">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安装油烟净化器</w:t>
                  </w:r>
                </w:p>
              </w:tc>
              <w:tc>
                <w:tcPr>
                  <w:tcW w:w="900" w:type="pct"/>
                  <w:tcBorders>
                    <w:tl2br w:val="nil"/>
                    <w:tr2bl w:val="nil"/>
                  </w:tcBorders>
                  <w:vAlign w:val="center"/>
                </w:tcPr>
                <w:p w14:paraId="36B5EA8D">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安设油烟净化装置，净化效率不低于75%</w:t>
                  </w:r>
                </w:p>
              </w:tc>
              <w:tc>
                <w:tcPr>
                  <w:tcW w:w="473" w:type="pct"/>
                  <w:tcBorders>
                    <w:tl2br w:val="nil"/>
                    <w:tr2bl w:val="nil"/>
                  </w:tcBorders>
                  <w:vAlign w:val="center"/>
                </w:tcPr>
                <w:p w14:paraId="0101D857">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属于可行技术</w:t>
                  </w:r>
                </w:p>
              </w:tc>
            </w:tr>
          </w:tbl>
          <w:p w14:paraId="57227455">
            <w:pPr>
              <w:widowControl/>
              <w:snapToGrid w:val="0"/>
              <w:spacing w:line="360" w:lineRule="auto"/>
              <w:ind w:firstLine="420" w:firstLineChars="200"/>
              <w:rPr>
                <w:b/>
                <w:color w:val="auto"/>
                <w:szCs w:val="21"/>
              </w:rPr>
            </w:pPr>
            <w:r>
              <w:rPr>
                <w:rFonts w:hint="eastAsia"/>
                <w:color w:val="auto"/>
                <w:szCs w:val="21"/>
              </w:rPr>
              <w:t>综上所示，本项目拟选废气污染防治措施可行。</w:t>
            </w:r>
          </w:p>
          <w:p w14:paraId="39C1E7F7">
            <w:pPr>
              <w:widowControl/>
              <w:snapToGrid w:val="0"/>
              <w:spacing w:line="360" w:lineRule="auto"/>
              <w:ind w:firstLine="422" w:firstLineChars="200"/>
              <w:rPr>
                <w:b/>
                <w:color w:val="auto"/>
                <w:szCs w:val="21"/>
              </w:rPr>
            </w:pPr>
            <w:r>
              <w:rPr>
                <w:rFonts w:hint="eastAsia"/>
                <w:b/>
                <w:color w:val="auto"/>
                <w:szCs w:val="21"/>
                <w:lang w:val="en-US" w:eastAsia="zh-CN"/>
              </w:rPr>
              <w:t>4、</w:t>
            </w:r>
            <w:r>
              <w:rPr>
                <w:b/>
                <w:color w:val="auto"/>
                <w:szCs w:val="21"/>
              </w:rPr>
              <w:t>废气污染物产排污情况汇总</w:t>
            </w:r>
          </w:p>
          <w:p w14:paraId="4591E8D5">
            <w:pPr>
              <w:widowControl/>
              <w:snapToGrid w:val="0"/>
              <w:spacing w:line="360" w:lineRule="auto"/>
              <w:ind w:firstLine="420" w:firstLineChars="200"/>
              <w:rPr>
                <w:color w:val="auto"/>
                <w:szCs w:val="21"/>
              </w:rPr>
            </w:pPr>
            <w:r>
              <w:rPr>
                <w:color w:val="auto"/>
                <w:szCs w:val="21"/>
              </w:rPr>
              <w:t>综上分析，项目营运期主要大气污染物产生及排放情况见下表。</w:t>
            </w:r>
          </w:p>
          <w:p w14:paraId="5FA895FF">
            <w:pPr>
              <w:pStyle w:val="153"/>
              <w:spacing w:before="0" w:after="0" w:line="240" w:lineRule="exact"/>
              <w:rPr>
                <w:color w:val="auto"/>
                <w:sz w:val="18"/>
                <w:szCs w:val="18"/>
              </w:rPr>
            </w:pPr>
            <w:r>
              <w:rPr>
                <w:color w:val="auto"/>
                <w:sz w:val="18"/>
                <w:szCs w:val="18"/>
              </w:rPr>
              <w:t>表4-</w:t>
            </w:r>
            <w:r>
              <w:rPr>
                <w:rFonts w:hint="eastAsia"/>
                <w:color w:val="auto"/>
                <w:sz w:val="18"/>
                <w:szCs w:val="18"/>
                <w:lang w:val="en-US" w:eastAsia="zh-CN"/>
              </w:rPr>
              <w:t>3</w:t>
            </w:r>
            <w:r>
              <w:rPr>
                <w:color w:val="auto"/>
                <w:sz w:val="18"/>
                <w:szCs w:val="18"/>
              </w:rPr>
              <w:t xml:space="preserve"> </w:t>
            </w:r>
            <w:r>
              <w:rPr>
                <w:rFonts w:hint="eastAsia"/>
                <w:color w:val="auto"/>
                <w:sz w:val="18"/>
                <w:szCs w:val="18"/>
              </w:rPr>
              <w:t xml:space="preserve">  </w:t>
            </w:r>
            <w:r>
              <w:rPr>
                <w:color w:val="auto"/>
                <w:sz w:val="18"/>
                <w:szCs w:val="18"/>
              </w:rPr>
              <w:t xml:space="preserve"> 项目运营期大气污染物排放情况统计</w:t>
            </w:r>
          </w:p>
          <w:tbl>
            <w:tblPr>
              <w:tblStyle w:val="4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04"/>
              <w:gridCol w:w="802"/>
              <w:gridCol w:w="857"/>
              <w:gridCol w:w="752"/>
              <w:gridCol w:w="712"/>
              <w:gridCol w:w="1992"/>
              <w:gridCol w:w="696"/>
              <w:gridCol w:w="826"/>
              <w:gridCol w:w="982"/>
            </w:tblGrid>
            <w:tr w14:paraId="3EE67EB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51" w:type="pct"/>
                  <w:vMerge w:val="restart"/>
                  <w:vAlign w:val="center"/>
                </w:tcPr>
                <w:p w14:paraId="1DE3E71C">
                  <w:pPr>
                    <w:jc w:val="center"/>
                    <w:rPr>
                      <w:color w:val="auto"/>
                      <w:sz w:val="18"/>
                      <w:szCs w:val="18"/>
                    </w:rPr>
                  </w:pPr>
                  <w:r>
                    <w:rPr>
                      <w:color w:val="auto"/>
                      <w:sz w:val="18"/>
                      <w:szCs w:val="18"/>
                    </w:rPr>
                    <w:t>序号</w:t>
                  </w:r>
                </w:p>
              </w:tc>
              <w:tc>
                <w:tcPr>
                  <w:tcW w:w="500" w:type="pct"/>
                  <w:vMerge w:val="restart"/>
                  <w:vAlign w:val="center"/>
                </w:tcPr>
                <w:p w14:paraId="7C846C5D">
                  <w:pPr>
                    <w:jc w:val="center"/>
                    <w:rPr>
                      <w:color w:val="auto"/>
                      <w:sz w:val="18"/>
                      <w:szCs w:val="18"/>
                    </w:rPr>
                  </w:pPr>
                  <w:r>
                    <w:rPr>
                      <w:color w:val="auto"/>
                      <w:sz w:val="18"/>
                      <w:szCs w:val="18"/>
                    </w:rPr>
                    <w:t>污染源</w:t>
                  </w:r>
                </w:p>
              </w:tc>
              <w:tc>
                <w:tcPr>
                  <w:tcW w:w="534" w:type="pct"/>
                  <w:vMerge w:val="restart"/>
                  <w:vAlign w:val="center"/>
                </w:tcPr>
                <w:p w14:paraId="5E831D5A">
                  <w:pPr>
                    <w:jc w:val="center"/>
                    <w:rPr>
                      <w:color w:val="auto"/>
                      <w:sz w:val="18"/>
                      <w:szCs w:val="18"/>
                    </w:rPr>
                  </w:pPr>
                  <w:r>
                    <w:rPr>
                      <w:color w:val="auto"/>
                      <w:sz w:val="18"/>
                      <w:szCs w:val="18"/>
                    </w:rPr>
                    <w:t>污染物</w:t>
                  </w:r>
                </w:p>
              </w:tc>
              <w:tc>
                <w:tcPr>
                  <w:tcW w:w="468" w:type="pct"/>
                  <w:vAlign w:val="center"/>
                </w:tcPr>
                <w:p w14:paraId="589AF759">
                  <w:pPr>
                    <w:jc w:val="center"/>
                    <w:rPr>
                      <w:color w:val="auto"/>
                      <w:sz w:val="18"/>
                      <w:szCs w:val="18"/>
                    </w:rPr>
                  </w:pPr>
                  <w:r>
                    <w:rPr>
                      <w:color w:val="auto"/>
                      <w:sz w:val="18"/>
                      <w:szCs w:val="18"/>
                    </w:rPr>
                    <w:t>风量</w:t>
                  </w:r>
                </w:p>
              </w:tc>
              <w:tc>
                <w:tcPr>
                  <w:tcW w:w="443" w:type="pct"/>
                  <w:vAlign w:val="center"/>
                </w:tcPr>
                <w:p w14:paraId="2EFE2A29">
                  <w:pPr>
                    <w:jc w:val="center"/>
                    <w:rPr>
                      <w:color w:val="auto"/>
                      <w:sz w:val="18"/>
                      <w:szCs w:val="18"/>
                    </w:rPr>
                  </w:pPr>
                  <w:r>
                    <w:rPr>
                      <w:color w:val="auto"/>
                      <w:sz w:val="18"/>
                      <w:szCs w:val="18"/>
                    </w:rPr>
                    <w:t>产生量</w:t>
                  </w:r>
                </w:p>
              </w:tc>
              <w:tc>
                <w:tcPr>
                  <w:tcW w:w="1240" w:type="pct"/>
                  <w:vMerge w:val="restart"/>
                  <w:vAlign w:val="center"/>
                </w:tcPr>
                <w:p w14:paraId="11611A47">
                  <w:pPr>
                    <w:jc w:val="center"/>
                    <w:rPr>
                      <w:color w:val="auto"/>
                      <w:sz w:val="18"/>
                      <w:szCs w:val="18"/>
                    </w:rPr>
                  </w:pPr>
                  <w:r>
                    <w:rPr>
                      <w:color w:val="auto"/>
                      <w:sz w:val="18"/>
                      <w:szCs w:val="18"/>
                    </w:rPr>
                    <w:t>处理措施</w:t>
                  </w:r>
                </w:p>
              </w:tc>
              <w:tc>
                <w:tcPr>
                  <w:tcW w:w="433" w:type="pct"/>
                  <w:vAlign w:val="center"/>
                </w:tcPr>
                <w:p w14:paraId="1D340D9D">
                  <w:pPr>
                    <w:jc w:val="center"/>
                    <w:rPr>
                      <w:color w:val="auto"/>
                      <w:sz w:val="18"/>
                      <w:szCs w:val="18"/>
                    </w:rPr>
                  </w:pPr>
                  <w:r>
                    <w:rPr>
                      <w:color w:val="auto"/>
                      <w:sz w:val="18"/>
                      <w:szCs w:val="18"/>
                    </w:rPr>
                    <w:t>排放浓度</w:t>
                  </w:r>
                </w:p>
              </w:tc>
              <w:tc>
                <w:tcPr>
                  <w:tcW w:w="514" w:type="pct"/>
                  <w:vAlign w:val="center"/>
                </w:tcPr>
                <w:p w14:paraId="63E665CF">
                  <w:pPr>
                    <w:jc w:val="center"/>
                    <w:rPr>
                      <w:color w:val="auto"/>
                      <w:sz w:val="18"/>
                      <w:szCs w:val="18"/>
                    </w:rPr>
                  </w:pPr>
                  <w:r>
                    <w:rPr>
                      <w:color w:val="auto"/>
                      <w:sz w:val="18"/>
                      <w:szCs w:val="18"/>
                    </w:rPr>
                    <w:t>排放</w:t>
                  </w:r>
                </w:p>
                <w:p w14:paraId="70A6B755">
                  <w:pPr>
                    <w:jc w:val="center"/>
                    <w:rPr>
                      <w:color w:val="auto"/>
                      <w:sz w:val="18"/>
                      <w:szCs w:val="18"/>
                    </w:rPr>
                  </w:pPr>
                  <w:r>
                    <w:rPr>
                      <w:color w:val="auto"/>
                      <w:sz w:val="18"/>
                      <w:szCs w:val="18"/>
                    </w:rPr>
                    <w:t>速率</w:t>
                  </w:r>
                </w:p>
              </w:tc>
              <w:tc>
                <w:tcPr>
                  <w:tcW w:w="611" w:type="pct"/>
                  <w:vAlign w:val="center"/>
                </w:tcPr>
                <w:p w14:paraId="45C8EA45">
                  <w:pPr>
                    <w:jc w:val="center"/>
                    <w:rPr>
                      <w:color w:val="auto"/>
                      <w:sz w:val="18"/>
                      <w:szCs w:val="18"/>
                    </w:rPr>
                  </w:pPr>
                  <w:r>
                    <w:rPr>
                      <w:color w:val="auto"/>
                      <w:sz w:val="18"/>
                      <w:szCs w:val="18"/>
                    </w:rPr>
                    <w:t>排放量</w:t>
                  </w:r>
                </w:p>
              </w:tc>
            </w:tr>
            <w:tr w14:paraId="7A4B10D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51" w:type="pct"/>
                  <w:vMerge w:val="continue"/>
                  <w:vAlign w:val="center"/>
                </w:tcPr>
                <w:p w14:paraId="54F73CF4">
                  <w:pPr>
                    <w:jc w:val="center"/>
                    <w:rPr>
                      <w:color w:val="auto"/>
                      <w:sz w:val="18"/>
                      <w:szCs w:val="18"/>
                    </w:rPr>
                  </w:pPr>
                </w:p>
              </w:tc>
              <w:tc>
                <w:tcPr>
                  <w:tcW w:w="500" w:type="pct"/>
                  <w:vMerge w:val="continue"/>
                  <w:vAlign w:val="center"/>
                </w:tcPr>
                <w:p w14:paraId="474BA256">
                  <w:pPr>
                    <w:jc w:val="center"/>
                    <w:rPr>
                      <w:color w:val="auto"/>
                      <w:sz w:val="18"/>
                      <w:szCs w:val="18"/>
                    </w:rPr>
                  </w:pPr>
                </w:p>
              </w:tc>
              <w:tc>
                <w:tcPr>
                  <w:tcW w:w="534" w:type="pct"/>
                  <w:vMerge w:val="continue"/>
                  <w:vAlign w:val="center"/>
                </w:tcPr>
                <w:p w14:paraId="7374EC76">
                  <w:pPr>
                    <w:jc w:val="center"/>
                    <w:rPr>
                      <w:color w:val="auto"/>
                      <w:sz w:val="18"/>
                      <w:szCs w:val="18"/>
                    </w:rPr>
                  </w:pPr>
                </w:p>
              </w:tc>
              <w:tc>
                <w:tcPr>
                  <w:tcW w:w="468" w:type="pct"/>
                  <w:vAlign w:val="center"/>
                </w:tcPr>
                <w:p w14:paraId="6E3D8FC0">
                  <w:pPr>
                    <w:jc w:val="center"/>
                    <w:rPr>
                      <w:color w:val="auto"/>
                      <w:sz w:val="18"/>
                      <w:szCs w:val="18"/>
                    </w:rPr>
                  </w:pPr>
                  <w:r>
                    <w:rPr>
                      <w:color w:val="auto"/>
                      <w:sz w:val="18"/>
                      <w:szCs w:val="18"/>
                    </w:rPr>
                    <w:t>m</w:t>
                  </w:r>
                  <w:r>
                    <w:rPr>
                      <w:color w:val="auto"/>
                      <w:sz w:val="18"/>
                      <w:szCs w:val="18"/>
                      <w:vertAlign w:val="superscript"/>
                    </w:rPr>
                    <w:t>3</w:t>
                  </w:r>
                  <w:r>
                    <w:rPr>
                      <w:color w:val="auto"/>
                      <w:sz w:val="18"/>
                      <w:szCs w:val="18"/>
                    </w:rPr>
                    <w:t>/h</w:t>
                  </w:r>
                </w:p>
              </w:tc>
              <w:tc>
                <w:tcPr>
                  <w:tcW w:w="443" w:type="pct"/>
                  <w:vAlign w:val="center"/>
                </w:tcPr>
                <w:p w14:paraId="3DA5201D">
                  <w:pPr>
                    <w:jc w:val="center"/>
                    <w:rPr>
                      <w:color w:val="auto"/>
                      <w:sz w:val="18"/>
                      <w:szCs w:val="18"/>
                    </w:rPr>
                  </w:pPr>
                  <w:r>
                    <w:rPr>
                      <w:color w:val="auto"/>
                      <w:sz w:val="18"/>
                      <w:szCs w:val="18"/>
                    </w:rPr>
                    <w:t>t/a</w:t>
                  </w:r>
                </w:p>
              </w:tc>
              <w:tc>
                <w:tcPr>
                  <w:tcW w:w="1240" w:type="pct"/>
                  <w:vMerge w:val="continue"/>
                  <w:vAlign w:val="center"/>
                </w:tcPr>
                <w:p w14:paraId="7A595F48">
                  <w:pPr>
                    <w:jc w:val="center"/>
                    <w:rPr>
                      <w:color w:val="auto"/>
                      <w:sz w:val="18"/>
                      <w:szCs w:val="18"/>
                    </w:rPr>
                  </w:pPr>
                </w:p>
              </w:tc>
              <w:tc>
                <w:tcPr>
                  <w:tcW w:w="433" w:type="pct"/>
                  <w:vAlign w:val="center"/>
                </w:tcPr>
                <w:p w14:paraId="21731E2A">
                  <w:pPr>
                    <w:jc w:val="center"/>
                    <w:rPr>
                      <w:color w:val="auto"/>
                      <w:sz w:val="18"/>
                      <w:szCs w:val="18"/>
                    </w:rPr>
                  </w:pPr>
                  <w:r>
                    <w:rPr>
                      <w:color w:val="auto"/>
                      <w:sz w:val="18"/>
                      <w:szCs w:val="18"/>
                    </w:rPr>
                    <w:t>mg/m</w:t>
                  </w:r>
                  <w:r>
                    <w:rPr>
                      <w:color w:val="auto"/>
                      <w:sz w:val="18"/>
                      <w:szCs w:val="18"/>
                      <w:vertAlign w:val="superscript"/>
                    </w:rPr>
                    <w:t>3</w:t>
                  </w:r>
                </w:p>
              </w:tc>
              <w:tc>
                <w:tcPr>
                  <w:tcW w:w="514" w:type="pct"/>
                  <w:vAlign w:val="center"/>
                </w:tcPr>
                <w:p w14:paraId="34270DF1">
                  <w:pPr>
                    <w:jc w:val="center"/>
                    <w:rPr>
                      <w:color w:val="auto"/>
                      <w:sz w:val="18"/>
                      <w:szCs w:val="18"/>
                    </w:rPr>
                  </w:pPr>
                  <w:r>
                    <w:rPr>
                      <w:color w:val="auto"/>
                      <w:sz w:val="18"/>
                      <w:szCs w:val="18"/>
                    </w:rPr>
                    <w:t>kg/h</w:t>
                  </w:r>
                </w:p>
              </w:tc>
              <w:tc>
                <w:tcPr>
                  <w:tcW w:w="611" w:type="pct"/>
                  <w:vAlign w:val="center"/>
                </w:tcPr>
                <w:p w14:paraId="25B730E5">
                  <w:pPr>
                    <w:jc w:val="center"/>
                    <w:rPr>
                      <w:color w:val="auto"/>
                      <w:sz w:val="18"/>
                      <w:szCs w:val="18"/>
                    </w:rPr>
                  </w:pPr>
                  <w:r>
                    <w:rPr>
                      <w:color w:val="auto"/>
                      <w:sz w:val="18"/>
                      <w:szCs w:val="18"/>
                    </w:rPr>
                    <w:t>t/a</w:t>
                  </w:r>
                </w:p>
              </w:tc>
            </w:tr>
            <w:tr w14:paraId="3FA1287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251" w:type="pct"/>
                  <w:vMerge w:val="restart"/>
                  <w:vAlign w:val="center"/>
                </w:tcPr>
                <w:p w14:paraId="15135620">
                  <w:pPr>
                    <w:jc w:val="center"/>
                    <w:rPr>
                      <w:color w:val="auto"/>
                      <w:sz w:val="18"/>
                      <w:szCs w:val="18"/>
                    </w:rPr>
                  </w:pPr>
                  <w:r>
                    <w:rPr>
                      <w:color w:val="auto"/>
                      <w:sz w:val="18"/>
                      <w:szCs w:val="18"/>
                    </w:rPr>
                    <w:t>G</w:t>
                  </w:r>
                  <w:r>
                    <w:rPr>
                      <w:color w:val="auto"/>
                      <w:sz w:val="18"/>
                      <w:szCs w:val="18"/>
                      <w:vertAlign w:val="subscript"/>
                    </w:rPr>
                    <w:t>1</w:t>
                  </w:r>
                </w:p>
              </w:tc>
              <w:tc>
                <w:tcPr>
                  <w:tcW w:w="500" w:type="pct"/>
                  <w:vMerge w:val="restart"/>
                  <w:vAlign w:val="center"/>
                </w:tcPr>
                <w:p w14:paraId="14A062B3">
                  <w:pPr>
                    <w:jc w:val="center"/>
                    <w:rPr>
                      <w:rFonts w:hint="default" w:eastAsia="宋体"/>
                      <w:color w:val="auto"/>
                      <w:sz w:val="18"/>
                      <w:szCs w:val="18"/>
                      <w:lang w:val="en-US" w:eastAsia="zh-CN"/>
                    </w:rPr>
                  </w:pPr>
                  <w:r>
                    <w:rPr>
                      <w:rFonts w:hint="eastAsia"/>
                      <w:color w:val="auto"/>
                      <w:sz w:val="18"/>
                      <w:szCs w:val="18"/>
                      <w:lang w:val="en-US" w:eastAsia="zh-CN"/>
                    </w:rPr>
                    <w:t>污水处理站</w:t>
                  </w:r>
                </w:p>
              </w:tc>
              <w:tc>
                <w:tcPr>
                  <w:tcW w:w="534" w:type="pct"/>
                  <w:vAlign w:val="center"/>
                </w:tcPr>
                <w:p w14:paraId="4C96FFC9">
                  <w:pPr>
                    <w:jc w:val="center"/>
                    <w:rPr>
                      <w:rFonts w:hint="default" w:eastAsia="宋体"/>
                      <w:color w:val="auto"/>
                      <w:sz w:val="18"/>
                      <w:szCs w:val="18"/>
                      <w:lang w:val="en-US" w:eastAsia="zh-CN"/>
                    </w:rPr>
                  </w:pPr>
                  <w:r>
                    <w:rPr>
                      <w:rFonts w:hint="eastAsia"/>
                      <w:color w:val="auto"/>
                      <w:sz w:val="18"/>
                      <w:szCs w:val="18"/>
                      <w:lang w:val="en-US" w:eastAsia="zh-CN"/>
                    </w:rPr>
                    <w:t>氨</w:t>
                  </w:r>
                </w:p>
              </w:tc>
              <w:tc>
                <w:tcPr>
                  <w:tcW w:w="468" w:type="pct"/>
                  <w:vMerge w:val="restart"/>
                  <w:vAlign w:val="center"/>
                </w:tcPr>
                <w:p w14:paraId="2981416B">
                  <w:pPr>
                    <w:jc w:val="center"/>
                    <w:rPr>
                      <w:rFonts w:hint="eastAsia" w:ascii="Times New Roman" w:hAnsi="Times New Roman" w:eastAsia="宋体" w:cs="Times New Roman"/>
                      <w:bCs/>
                      <w:color w:val="auto"/>
                      <w:kern w:val="2"/>
                      <w:sz w:val="18"/>
                      <w:szCs w:val="18"/>
                      <w:lang w:val="en-US" w:eastAsia="zh-CN" w:bidi="ar-SA"/>
                    </w:rPr>
                  </w:pPr>
                  <w:r>
                    <w:rPr>
                      <w:rFonts w:hint="eastAsia"/>
                      <w:bCs/>
                      <w:color w:val="auto"/>
                      <w:sz w:val="18"/>
                      <w:szCs w:val="18"/>
                    </w:rPr>
                    <w:t>无组织</w:t>
                  </w:r>
                </w:p>
              </w:tc>
              <w:tc>
                <w:tcPr>
                  <w:tcW w:w="443" w:type="pct"/>
                  <w:vAlign w:val="center"/>
                </w:tcPr>
                <w:p w14:paraId="2C419F1E">
                  <w:pPr>
                    <w:jc w:val="center"/>
                    <w:rPr>
                      <w:rFonts w:hint="default" w:eastAsia="宋体"/>
                      <w:color w:val="auto"/>
                      <w:sz w:val="18"/>
                      <w:szCs w:val="18"/>
                      <w:lang w:val="en-US" w:eastAsia="zh-CN"/>
                    </w:rPr>
                  </w:pPr>
                  <w:r>
                    <w:rPr>
                      <w:rFonts w:hint="eastAsia"/>
                      <w:color w:val="auto"/>
                      <w:sz w:val="18"/>
                      <w:szCs w:val="18"/>
                      <w:lang w:val="en-US" w:eastAsia="zh-CN"/>
                    </w:rPr>
                    <w:t>0.026</w:t>
                  </w:r>
                </w:p>
              </w:tc>
              <w:tc>
                <w:tcPr>
                  <w:tcW w:w="1240" w:type="pct"/>
                  <w:vMerge w:val="restart"/>
                  <w:shd w:val="clear" w:color="auto" w:fill="auto"/>
                  <w:vAlign w:val="center"/>
                </w:tcPr>
                <w:p w14:paraId="02093E79">
                  <w:pPr>
                    <w:jc w:val="center"/>
                    <w:rPr>
                      <w:rFonts w:ascii="Times New Roman" w:hAnsi="Times New Roman" w:eastAsia="宋体" w:cs="Times New Roman"/>
                      <w:bCs/>
                      <w:color w:val="auto"/>
                      <w:kern w:val="2"/>
                      <w:sz w:val="18"/>
                      <w:szCs w:val="18"/>
                      <w:lang w:val="en-US" w:eastAsia="zh-CN" w:bidi="ar-SA"/>
                    </w:rPr>
                  </w:pPr>
                  <w:r>
                    <w:rPr>
                      <w:rFonts w:hint="eastAsia"/>
                      <w:b w:val="0"/>
                      <w:bCs/>
                      <w:color w:val="auto"/>
                      <w:sz w:val="18"/>
                      <w:szCs w:val="18"/>
                      <w:vertAlign w:val="baseline"/>
                      <w:lang w:val="en-US" w:eastAsia="zh-CN"/>
                    </w:rPr>
                    <w:t>污水处理站池体密闭、投加除臭剂、绿化等</w:t>
                  </w:r>
                </w:p>
              </w:tc>
              <w:tc>
                <w:tcPr>
                  <w:tcW w:w="433" w:type="pct"/>
                  <w:vAlign w:val="center"/>
                </w:tcPr>
                <w:p w14:paraId="57958A8A">
                  <w:pPr>
                    <w:jc w:val="center"/>
                    <w:rPr>
                      <w:rFonts w:hint="default" w:eastAsia="宋体"/>
                      <w:bCs/>
                      <w:color w:val="auto"/>
                      <w:sz w:val="18"/>
                      <w:szCs w:val="18"/>
                      <w:lang w:val="en-US" w:eastAsia="zh-CN"/>
                    </w:rPr>
                  </w:pPr>
                  <w:r>
                    <w:rPr>
                      <w:rFonts w:hint="eastAsia"/>
                      <w:bCs/>
                      <w:color w:val="auto"/>
                      <w:sz w:val="18"/>
                      <w:szCs w:val="18"/>
                      <w:lang w:val="en-US" w:eastAsia="zh-CN"/>
                    </w:rPr>
                    <w:t>-</w:t>
                  </w:r>
                </w:p>
              </w:tc>
              <w:tc>
                <w:tcPr>
                  <w:tcW w:w="514" w:type="pct"/>
                  <w:vAlign w:val="center"/>
                </w:tcPr>
                <w:p w14:paraId="13578F68">
                  <w:pPr>
                    <w:jc w:val="center"/>
                    <w:rPr>
                      <w:rFonts w:hint="default" w:eastAsia="宋体"/>
                      <w:bCs/>
                      <w:color w:val="auto"/>
                      <w:sz w:val="18"/>
                      <w:szCs w:val="18"/>
                      <w:lang w:val="en-US" w:eastAsia="zh-CN"/>
                    </w:rPr>
                  </w:pPr>
                  <w:r>
                    <w:rPr>
                      <w:rFonts w:hint="eastAsia"/>
                      <w:bCs/>
                      <w:color w:val="auto"/>
                      <w:sz w:val="18"/>
                      <w:szCs w:val="18"/>
                      <w:lang w:val="en-US" w:eastAsia="zh-CN"/>
                    </w:rPr>
                    <w:t>0.0015</w:t>
                  </w:r>
                </w:p>
              </w:tc>
              <w:tc>
                <w:tcPr>
                  <w:tcW w:w="611" w:type="pct"/>
                  <w:vAlign w:val="center"/>
                </w:tcPr>
                <w:p w14:paraId="687D1E5B">
                  <w:pPr>
                    <w:jc w:val="center"/>
                    <w:rPr>
                      <w:rFonts w:hint="default" w:eastAsia="宋体"/>
                      <w:bCs/>
                      <w:color w:val="auto"/>
                      <w:sz w:val="18"/>
                      <w:szCs w:val="18"/>
                      <w:lang w:val="en-US" w:eastAsia="zh-CN"/>
                    </w:rPr>
                  </w:pPr>
                  <w:r>
                    <w:rPr>
                      <w:rFonts w:hint="eastAsia"/>
                      <w:bCs/>
                      <w:color w:val="auto"/>
                      <w:sz w:val="18"/>
                      <w:szCs w:val="18"/>
                      <w:lang w:val="en-US" w:eastAsia="zh-CN"/>
                    </w:rPr>
                    <w:t>0.013</w:t>
                  </w:r>
                </w:p>
              </w:tc>
            </w:tr>
            <w:tr w14:paraId="377E472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251" w:type="pct"/>
                  <w:vMerge w:val="continue"/>
                  <w:vAlign w:val="center"/>
                </w:tcPr>
                <w:p w14:paraId="0A5864A8">
                  <w:pPr>
                    <w:jc w:val="center"/>
                    <w:rPr>
                      <w:color w:val="auto"/>
                      <w:sz w:val="18"/>
                      <w:szCs w:val="18"/>
                    </w:rPr>
                  </w:pPr>
                </w:p>
              </w:tc>
              <w:tc>
                <w:tcPr>
                  <w:tcW w:w="500" w:type="pct"/>
                  <w:vMerge w:val="continue"/>
                  <w:vAlign w:val="center"/>
                </w:tcPr>
                <w:p w14:paraId="7A86CA7C">
                  <w:pPr>
                    <w:jc w:val="center"/>
                    <w:rPr>
                      <w:color w:val="auto"/>
                      <w:sz w:val="18"/>
                      <w:szCs w:val="18"/>
                    </w:rPr>
                  </w:pPr>
                </w:p>
              </w:tc>
              <w:tc>
                <w:tcPr>
                  <w:tcW w:w="534" w:type="pct"/>
                  <w:vAlign w:val="center"/>
                </w:tcPr>
                <w:p w14:paraId="29BC2D29">
                  <w:pPr>
                    <w:jc w:val="center"/>
                    <w:rPr>
                      <w:rFonts w:hint="eastAsia" w:eastAsia="宋体"/>
                      <w:color w:val="auto"/>
                      <w:sz w:val="18"/>
                      <w:szCs w:val="18"/>
                      <w:lang w:val="en-US" w:eastAsia="zh-CN"/>
                    </w:rPr>
                  </w:pPr>
                  <w:r>
                    <w:rPr>
                      <w:rFonts w:hint="eastAsia"/>
                      <w:color w:val="auto"/>
                      <w:sz w:val="18"/>
                      <w:szCs w:val="18"/>
                      <w:lang w:val="en-US" w:eastAsia="zh-CN"/>
                    </w:rPr>
                    <w:t>硫化氢</w:t>
                  </w:r>
                </w:p>
              </w:tc>
              <w:tc>
                <w:tcPr>
                  <w:tcW w:w="468" w:type="pct"/>
                  <w:vMerge w:val="continue"/>
                  <w:vAlign w:val="center"/>
                </w:tcPr>
                <w:p w14:paraId="4AF832CD">
                  <w:pPr>
                    <w:jc w:val="center"/>
                    <w:rPr>
                      <w:bCs/>
                      <w:color w:val="auto"/>
                      <w:sz w:val="18"/>
                      <w:szCs w:val="18"/>
                    </w:rPr>
                  </w:pPr>
                </w:p>
              </w:tc>
              <w:tc>
                <w:tcPr>
                  <w:tcW w:w="443" w:type="pct"/>
                  <w:vAlign w:val="center"/>
                </w:tcPr>
                <w:p w14:paraId="6E5298AD">
                  <w:pPr>
                    <w:jc w:val="center"/>
                    <w:rPr>
                      <w:rFonts w:hint="default" w:eastAsia="宋体"/>
                      <w:color w:val="auto"/>
                      <w:sz w:val="18"/>
                      <w:szCs w:val="18"/>
                      <w:lang w:val="en-US" w:eastAsia="zh-CN"/>
                    </w:rPr>
                  </w:pPr>
                  <w:r>
                    <w:rPr>
                      <w:rFonts w:hint="eastAsia"/>
                      <w:color w:val="auto"/>
                      <w:sz w:val="18"/>
                      <w:szCs w:val="18"/>
                      <w:lang w:val="en-US" w:eastAsia="zh-CN"/>
                    </w:rPr>
                    <w:t>0.001</w:t>
                  </w:r>
                </w:p>
              </w:tc>
              <w:tc>
                <w:tcPr>
                  <w:tcW w:w="1240" w:type="pct"/>
                  <w:vMerge w:val="continue"/>
                  <w:shd w:val="clear" w:color="auto" w:fill="auto"/>
                  <w:vAlign w:val="center"/>
                </w:tcPr>
                <w:p w14:paraId="5AE1FFDA">
                  <w:pPr>
                    <w:jc w:val="center"/>
                    <w:rPr>
                      <w:bCs/>
                      <w:color w:val="auto"/>
                      <w:sz w:val="18"/>
                      <w:szCs w:val="18"/>
                    </w:rPr>
                  </w:pPr>
                </w:p>
              </w:tc>
              <w:tc>
                <w:tcPr>
                  <w:tcW w:w="433" w:type="pct"/>
                  <w:vAlign w:val="center"/>
                </w:tcPr>
                <w:p w14:paraId="0ECCD06D">
                  <w:pPr>
                    <w:jc w:val="center"/>
                    <w:rPr>
                      <w:rFonts w:hint="default" w:eastAsia="宋体"/>
                      <w:bCs/>
                      <w:color w:val="auto"/>
                      <w:sz w:val="18"/>
                      <w:szCs w:val="18"/>
                      <w:lang w:val="en-US" w:eastAsia="zh-CN"/>
                    </w:rPr>
                  </w:pPr>
                  <w:r>
                    <w:rPr>
                      <w:rFonts w:hint="eastAsia"/>
                      <w:bCs/>
                      <w:color w:val="auto"/>
                      <w:sz w:val="18"/>
                      <w:szCs w:val="18"/>
                      <w:lang w:val="en-US" w:eastAsia="zh-CN"/>
                    </w:rPr>
                    <w:t>-</w:t>
                  </w:r>
                </w:p>
              </w:tc>
              <w:tc>
                <w:tcPr>
                  <w:tcW w:w="514" w:type="pct"/>
                  <w:vAlign w:val="center"/>
                </w:tcPr>
                <w:p w14:paraId="76CB698C">
                  <w:pPr>
                    <w:jc w:val="center"/>
                    <w:rPr>
                      <w:rFonts w:hint="default" w:eastAsia="宋体"/>
                      <w:bCs/>
                      <w:color w:val="auto"/>
                      <w:sz w:val="18"/>
                      <w:szCs w:val="18"/>
                      <w:lang w:val="en-US" w:eastAsia="zh-CN"/>
                    </w:rPr>
                  </w:pPr>
                  <w:r>
                    <w:rPr>
                      <w:rFonts w:hint="eastAsia"/>
                      <w:bCs/>
                      <w:color w:val="auto"/>
                      <w:sz w:val="18"/>
                      <w:szCs w:val="18"/>
                      <w:lang w:val="en-US" w:eastAsia="zh-CN"/>
                    </w:rPr>
                    <w:t>0.00006</w:t>
                  </w:r>
                </w:p>
              </w:tc>
              <w:tc>
                <w:tcPr>
                  <w:tcW w:w="611" w:type="pct"/>
                  <w:vAlign w:val="center"/>
                </w:tcPr>
                <w:p w14:paraId="1FC82A4C">
                  <w:pPr>
                    <w:jc w:val="center"/>
                    <w:rPr>
                      <w:rFonts w:hint="default" w:eastAsia="宋体"/>
                      <w:bCs/>
                      <w:color w:val="auto"/>
                      <w:sz w:val="18"/>
                      <w:szCs w:val="18"/>
                      <w:lang w:val="en-US" w:eastAsia="zh-CN"/>
                    </w:rPr>
                  </w:pPr>
                  <w:r>
                    <w:rPr>
                      <w:rFonts w:hint="eastAsia"/>
                      <w:bCs/>
                      <w:color w:val="auto"/>
                      <w:sz w:val="18"/>
                      <w:szCs w:val="18"/>
                      <w:lang w:val="en-US" w:eastAsia="zh-CN"/>
                    </w:rPr>
                    <w:t>0.0005</w:t>
                  </w:r>
                </w:p>
              </w:tc>
            </w:tr>
            <w:tr w14:paraId="19407C9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251" w:type="pct"/>
                  <w:vMerge w:val="continue"/>
                  <w:vAlign w:val="center"/>
                </w:tcPr>
                <w:p w14:paraId="739CDE0C">
                  <w:pPr>
                    <w:jc w:val="center"/>
                    <w:rPr>
                      <w:color w:val="auto"/>
                      <w:sz w:val="18"/>
                      <w:szCs w:val="18"/>
                    </w:rPr>
                  </w:pPr>
                </w:p>
              </w:tc>
              <w:tc>
                <w:tcPr>
                  <w:tcW w:w="500" w:type="pct"/>
                  <w:vMerge w:val="continue"/>
                  <w:vAlign w:val="center"/>
                </w:tcPr>
                <w:p w14:paraId="69988E24">
                  <w:pPr>
                    <w:jc w:val="center"/>
                    <w:rPr>
                      <w:color w:val="auto"/>
                      <w:sz w:val="18"/>
                      <w:szCs w:val="18"/>
                    </w:rPr>
                  </w:pPr>
                </w:p>
              </w:tc>
              <w:tc>
                <w:tcPr>
                  <w:tcW w:w="534" w:type="pct"/>
                  <w:vAlign w:val="center"/>
                </w:tcPr>
                <w:p w14:paraId="129A0AEB">
                  <w:pPr>
                    <w:jc w:val="center"/>
                    <w:rPr>
                      <w:rFonts w:hint="eastAsia"/>
                      <w:bCs/>
                      <w:color w:val="auto"/>
                      <w:sz w:val="18"/>
                      <w:szCs w:val="18"/>
                      <w:lang w:val="en-US" w:eastAsia="zh-CN"/>
                    </w:rPr>
                  </w:pPr>
                  <w:r>
                    <w:rPr>
                      <w:rFonts w:hint="eastAsia"/>
                      <w:bCs/>
                      <w:color w:val="auto"/>
                      <w:sz w:val="18"/>
                      <w:szCs w:val="18"/>
                      <w:lang w:val="en-US" w:eastAsia="zh-CN"/>
                    </w:rPr>
                    <w:t>臭气</w:t>
                  </w:r>
                </w:p>
                <w:p w14:paraId="7200A175">
                  <w:pPr>
                    <w:jc w:val="center"/>
                    <w:rPr>
                      <w:rFonts w:hint="eastAsia" w:ascii="Times New Roman" w:hAnsi="Times New Roman" w:eastAsia="宋体" w:cs="Times New Roman"/>
                      <w:color w:val="auto"/>
                      <w:kern w:val="2"/>
                      <w:sz w:val="18"/>
                      <w:szCs w:val="18"/>
                      <w:lang w:val="en-US" w:eastAsia="zh-CN" w:bidi="ar-SA"/>
                    </w:rPr>
                  </w:pPr>
                  <w:r>
                    <w:rPr>
                      <w:rFonts w:hint="eastAsia"/>
                      <w:bCs/>
                      <w:color w:val="auto"/>
                      <w:sz w:val="18"/>
                      <w:szCs w:val="18"/>
                      <w:lang w:val="en-US" w:eastAsia="zh-CN"/>
                    </w:rPr>
                    <w:t>浓度</w:t>
                  </w:r>
                </w:p>
              </w:tc>
              <w:tc>
                <w:tcPr>
                  <w:tcW w:w="468" w:type="pct"/>
                  <w:vMerge w:val="continue"/>
                  <w:vAlign w:val="center"/>
                </w:tcPr>
                <w:p w14:paraId="6C825912">
                  <w:pPr>
                    <w:jc w:val="center"/>
                    <w:rPr>
                      <w:rFonts w:hint="eastAsia" w:ascii="Times New Roman" w:hAnsi="Times New Roman" w:eastAsia="宋体" w:cs="Times New Roman"/>
                      <w:bCs/>
                      <w:color w:val="auto"/>
                      <w:kern w:val="2"/>
                      <w:sz w:val="18"/>
                      <w:szCs w:val="18"/>
                      <w:lang w:val="en-US" w:eastAsia="zh-CN" w:bidi="ar-SA"/>
                    </w:rPr>
                  </w:pPr>
                </w:p>
              </w:tc>
              <w:tc>
                <w:tcPr>
                  <w:tcW w:w="443" w:type="pct"/>
                  <w:vAlign w:val="center"/>
                </w:tcPr>
                <w:p w14:paraId="1C7AE30C">
                  <w:pPr>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w:t>
                  </w:r>
                </w:p>
              </w:tc>
              <w:tc>
                <w:tcPr>
                  <w:tcW w:w="1240" w:type="pct"/>
                  <w:vMerge w:val="continue"/>
                  <w:shd w:val="clear" w:color="auto" w:fill="auto"/>
                  <w:vAlign w:val="center"/>
                </w:tcPr>
                <w:p w14:paraId="27B41859">
                  <w:pPr>
                    <w:jc w:val="center"/>
                    <w:rPr>
                      <w:rFonts w:ascii="Times New Roman" w:hAnsi="Times New Roman" w:eastAsia="宋体" w:cs="Times New Roman"/>
                      <w:bCs/>
                      <w:color w:val="auto"/>
                      <w:kern w:val="2"/>
                      <w:sz w:val="18"/>
                      <w:szCs w:val="18"/>
                      <w:lang w:val="en-US" w:eastAsia="zh-CN" w:bidi="ar-SA"/>
                    </w:rPr>
                  </w:pPr>
                </w:p>
              </w:tc>
              <w:tc>
                <w:tcPr>
                  <w:tcW w:w="433" w:type="pct"/>
                  <w:vAlign w:val="center"/>
                </w:tcPr>
                <w:p w14:paraId="42064C17">
                  <w:pPr>
                    <w:jc w:val="center"/>
                    <w:rPr>
                      <w:rFonts w:hint="eastAsia" w:ascii="Times New Roman" w:hAnsi="Times New Roman" w:eastAsia="宋体" w:cs="Times New Roman"/>
                      <w:bCs/>
                      <w:color w:val="auto"/>
                      <w:kern w:val="2"/>
                      <w:sz w:val="18"/>
                      <w:szCs w:val="18"/>
                      <w:lang w:val="en-US" w:eastAsia="zh-CN" w:bidi="ar-SA"/>
                    </w:rPr>
                  </w:pPr>
                  <w:r>
                    <w:rPr>
                      <w:rFonts w:hint="eastAsia"/>
                      <w:bCs/>
                      <w:color w:val="auto"/>
                      <w:sz w:val="18"/>
                      <w:szCs w:val="18"/>
                    </w:rPr>
                    <w:t>-</w:t>
                  </w:r>
                </w:p>
              </w:tc>
              <w:tc>
                <w:tcPr>
                  <w:tcW w:w="514" w:type="pct"/>
                  <w:vAlign w:val="center"/>
                </w:tcPr>
                <w:p w14:paraId="1C57B260">
                  <w:pPr>
                    <w:jc w:val="center"/>
                    <w:rPr>
                      <w:rFonts w:hint="eastAsia" w:ascii="Times New Roman" w:hAnsi="Times New Roman" w:eastAsia="宋体" w:cs="Times New Roman"/>
                      <w:bCs/>
                      <w:color w:val="auto"/>
                      <w:kern w:val="2"/>
                      <w:sz w:val="18"/>
                      <w:szCs w:val="18"/>
                      <w:lang w:val="en-US" w:eastAsia="zh-CN" w:bidi="ar-SA"/>
                    </w:rPr>
                  </w:pPr>
                  <w:r>
                    <w:rPr>
                      <w:rFonts w:hint="eastAsia"/>
                      <w:bCs/>
                      <w:color w:val="auto"/>
                      <w:sz w:val="18"/>
                      <w:szCs w:val="18"/>
                    </w:rPr>
                    <w:t>-</w:t>
                  </w:r>
                </w:p>
              </w:tc>
              <w:tc>
                <w:tcPr>
                  <w:tcW w:w="611" w:type="pct"/>
                  <w:vAlign w:val="center"/>
                </w:tcPr>
                <w:p w14:paraId="29B1B288">
                  <w:pPr>
                    <w:jc w:val="center"/>
                    <w:rPr>
                      <w:rFonts w:hint="eastAsia" w:ascii="Times New Roman" w:hAnsi="Times New Roman" w:eastAsia="宋体" w:cs="Times New Roman"/>
                      <w:bCs/>
                      <w:color w:val="auto"/>
                      <w:kern w:val="2"/>
                      <w:sz w:val="18"/>
                      <w:szCs w:val="18"/>
                      <w:lang w:val="en-US" w:eastAsia="zh-CN" w:bidi="ar-SA"/>
                    </w:rPr>
                  </w:pPr>
                  <w:r>
                    <w:rPr>
                      <w:rFonts w:hint="eastAsia"/>
                      <w:bCs/>
                      <w:color w:val="auto"/>
                      <w:sz w:val="18"/>
                      <w:szCs w:val="18"/>
                      <w:lang w:val="en-US" w:eastAsia="zh-CN"/>
                    </w:rPr>
                    <w:t>-</w:t>
                  </w:r>
                </w:p>
              </w:tc>
            </w:tr>
            <w:tr w14:paraId="506F671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251" w:type="pct"/>
                  <w:vAlign w:val="center"/>
                </w:tcPr>
                <w:p w14:paraId="0E6CCBFF">
                  <w:pPr>
                    <w:jc w:val="center"/>
                    <w:rPr>
                      <w:color w:val="auto"/>
                      <w:sz w:val="18"/>
                      <w:szCs w:val="18"/>
                    </w:rPr>
                  </w:pPr>
                  <w:r>
                    <w:rPr>
                      <w:color w:val="auto"/>
                      <w:sz w:val="18"/>
                      <w:szCs w:val="18"/>
                    </w:rPr>
                    <w:t>G</w:t>
                  </w:r>
                  <w:r>
                    <w:rPr>
                      <w:color w:val="auto"/>
                      <w:sz w:val="18"/>
                      <w:szCs w:val="18"/>
                      <w:vertAlign w:val="subscript"/>
                    </w:rPr>
                    <w:t>2</w:t>
                  </w:r>
                </w:p>
              </w:tc>
              <w:tc>
                <w:tcPr>
                  <w:tcW w:w="500" w:type="pct"/>
                  <w:vAlign w:val="center"/>
                </w:tcPr>
                <w:p w14:paraId="63FF6D76">
                  <w:pPr>
                    <w:jc w:val="center"/>
                    <w:rPr>
                      <w:rFonts w:hint="default" w:eastAsia="宋体"/>
                      <w:color w:val="auto"/>
                      <w:sz w:val="18"/>
                      <w:szCs w:val="18"/>
                      <w:lang w:val="en-US" w:eastAsia="zh-CN"/>
                    </w:rPr>
                  </w:pPr>
                  <w:r>
                    <w:rPr>
                      <w:rFonts w:hint="eastAsia"/>
                      <w:color w:val="auto"/>
                      <w:sz w:val="18"/>
                      <w:szCs w:val="18"/>
                      <w:lang w:val="en-US" w:eastAsia="zh-CN"/>
                    </w:rPr>
                    <w:t>食堂</w:t>
                  </w:r>
                </w:p>
              </w:tc>
              <w:tc>
                <w:tcPr>
                  <w:tcW w:w="534" w:type="pct"/>
                  <w:vAlign w:val="center"/>
                </w:tcPr>
                <w:p w14:paraId="4774880B">
                  <w:pPr>
                    <w:jc w:val="center"/>
                    <w:rPr>
                      <w:rFonts w:hint="eastAsia" w:eastAsia="宋体"/>
                      <w:color w:val="auto"/>
                      <w:sz w:val="18"/>
                      <w:szCs w:val="18"/>
                      <w:lang w:eastAsia="zh-CN"/>
                    </w:rPr>
                  </w:pPr>
                  <w:r>
                    <w:rPr>
                      <w:rFonts w:hint="eastAsia"/>
                      <w:color w:val="auto"/>
                      <w:sz w:val="18"/>
                      <w:szCs w:val="18"/>
                      <w:lang w:val="en-US" w:eastAsia="zh-CN"/>
                    </w:rPr>
                    <w:t>油烟</w:t>
                  </w:r>
                </w:p>
              </w:tc>
              <w:tc>
                <w:tcPr>
                  <w:tcW w:w="468" w:type="pct"/>
                  <w:vAlign w:val="center"/>
                </w:tcPr>
                <w:p w14:paraId="085CA548">
                  <w:pPr>
                    <w:jc w:val="center"/>
                    <w:rPr>
                      <w:bCs/>
                      <w:color w:val="auto"/>
                      <w:sz w:val="18"/>
                      <w:szCs w:val="18"/>
                    </w:rPr>
                  </w:pPr>
                  <w:r>
                    <w:rPr>
                      <w:rFonts w:hint="eastAsia"/>
                      <w:bCs/>
                      <w:color w:val="auto"/>
                      <w:sz w:val="18"/>
                      <w:szCs w:val="18"/>
                    </w:rPr>
                    <w:t>无组织</w:t>
                  </w:r>
                </w:p>
              </w:tc>
              <w:tc>
                <w:tcPr>
                  <w:tcW w:w="443" w:type="pct"/>
                  <w:vAlign w:val="center"/>
                </w:tcPr>
                <w:p w14:paraId="5CEF6CAC">
                  <w:pPr>
                    <w:jc w:val="center"/>
                    <w:rPr>
                      <w:rFonts w:hint="eastAsia" w:eastAsia="宋体"/>
                      <w:color w:val="auto"/>
                      <w:sz w:val="18"/>
                      <w:szCs w:val="18"/>
                      <w:lang w:eastAsia="zh-CN"/>
                    </w:rPr>
                  </w:pPr>
                </w:p>
              </w:tc>
              <w:tc>
                <w:tcPr>
                  <w:tcW w:w="1240" w:type="pct"/>
                  <w:shd w:val="clear" w:color="auto" w:fill="auto"/>
                  <w:vAlign w:val="center"/>
                </w:tcPr>
                <w:p w14:paraId="6489FCF9">
                  <w:pPr>
                    <w:jc w:val="center"/>
                    <w:rPr>
                      <w:rFonts w:hint="default" w:eastAsia="宋体"/>
                      <w:bCs/>
                      <w:color w:val="auto"/>
                      <w:sz w:val="18"/>
                      <w:szCs w:val="18"/>
                      <w:lang w:val="en-US" w:eastAsia="zh-CN"/>
                    </w:rPr>
                  </w:pPr>
                  <w:r>
                    <w:rPr>
                      <w:rFonts w:hint="eastAsia"/>
                      <w:b w:val="0"/>
                      <w:bCs/>
                      <w:color w:val="auto"/>
                      <w:sz w:val="18"/>
                      <w:szCs w:val="18"/>
                      <w:vertAlign w:val="baseline"/>
                      <w:lang w:val="en-US" w:eastAsia="zh-CN"/>
                    </w:rPr>
                    <w:t>安设油烟净化装置，净化效率不低于75%</w:t>
                  </w:r>
                </w:p>
              </w:tc>
              <w:tc>
                <w:tcPr>
                  <w:tcW w:w="433" w:type="pct"/>
                  <w:vAlign w:val="center"/>
                </w:tcPr>
                <w:p w14:paraId="282DA47E">
                  <w:pPr>
                    <w:jc w:val="center"/>
                    <w:rPr>
                      <w:rFonts w:hint="default" w:eastAsia="宋体"/>
                      <w:bCs/>
                      <w:color w:val="auto"/>
                      <w:sz w:val="18"/>
                      <w:szCs w:val="18"/>
                      <w:lang w:val="en-US" w:eastAsia="zh-CN"/>
                    </w:rPr>
                  </w:pPr>
                  <w:r>
                    <w:rPr>
                      <w:rFonts w:hint="eastAsia"/>
                      <w:bCs/>
                      <w:color w:val="auto"/>
                      <w:sz w:val="18"/>
                      <w:szCs w:val="18"/>
                      <w:lang w:val="en-US" w:eastAsia="zh-CN"/>
                    </w:rPr>
                    <w:t>0.885</w:t>
                  </w:r>
                </w:p>
              </w:tc>
              <w:tc>
                <w:tcPr>
                  <w:tcW w:w="514" w:type="pct"/>
                  <w:vAlign w:val="center"/>
                </w:tcPr>
                <w:p w14:paraId="15BE2517">
                  <w:pPr>
                    <w:jc w:val="center"/>
                    <w:rPr>
                      <w:rFonts w:hint="default" w:eastAsia="宋体"/>
                      <w:bCs/>
                      <w:color w:val="auto"/>
                      <w:sz w:val="18"/>
                      <w:szCs w:val="18"/>
                      <w:lang w:val="en-US" w:eastAsia="zh-CN"/>
                    </w:rPr>
                  </w:pPr>
                  <w:r>
                    <w:rPr>
                      <w:rFonts w:hint="eastAsia"/>
                      <w:bCs/>
                      <w:color w:val="auto"/>
                      <w:sz w:val="18"/>
                      <w:szCs w:val="18"/>
                      <w:lang w:val="en-US" w:eastAsia="zh-CN"/>
                    </w:rPr>
                    <w:t>0.00003</w:t>
                  </w:r>
                </w:p>
              </w:tc>
              <w:tc>
                <w:tcPr>
                  <w:tcW w:w="611" w:type="pct"/>
                  <w:vAlign w:val="center"/>
                </w:tcPr>
                <w:p w14:paraId="0DB702DA">
                  <w:pPr>
                    <w:jc w:val="center"/>
                    <w:rPr>
                      <w:bCs/>
                      <w:color w:val="auto"/>
                      <w:sz w:val="18"/>
                      <w:szCs w:val="18"/>
                    </w:rPr>
                  </w:pPr>
                  <w:r>
                    <w:rPr>
                      <w:rFonts w:hint="eastAsia"/>
                      <w:bCs/>
                      <w:color w:val="auto"/>
                      <w:sz w:val="18"/>
                      <w:szCs w:val="18"/>
                      <w:lang w:val="en-US" w:eastAsia="zh-CN"/>
                    </w:rPr>
                    <w:t>0.0000425</w:t>
                  </w:r>
                </w:p>
              </w:tc>
            </w:tr>
          </w:tbl>
          <w:p w14:paraId="50210FE5">
            <w:pPr>
              <w:spacing w:line="360" w:lineRule="auto"/>
              <w:ind w:firstLine="422" w:firstLineChars="200"/>
              <w:rPr>
                <w:b/>
                <w:color w:val="auto"/>
                <w:szCs w:val="21"/>
              </w:rPr>
            </w:pPr>
            <w:r>
              <w:rPr>
                <w:rFonts w:hint="eastAsia"/>
                <w:b/>
                <w:color w:val="auto"/>
                <w:szCs w:val="21"/>
                <w:lang w:val="en-US" w:eastAsia="zh-CN"/>
              </w:rPr>
              <w:t>4.</w:t>
            </w:r>
            <w:r>
              <w:rPr>
                <w:b/>
                <w:color w:val="auto"/>
                <w:szCs w:val="21"/>
              </w:rPr>
              <w:t>2、</w:t>
            </w:r>
            <w:r>
              <w:rPr>
                <w:rFonts w:hint="eastAsia"/>
                <w:b/>
                <w:color w:val="auto"/>
                <w:szCs w:val="21"/>
              </w:rPr>
              <w:t>废水</w:t>
            </w:r>
          </w:p>
          <w:p w14:paraId="70F71BE0">
            <w:pPr>
              <w:widowControl/>
              <w:snapToGrid w:val="0"/>
              <w:spacing w:line="360" w:lineRule="auto"/>
              <w:ind w:firstLine="428" w:firstLineChars="204"/>
              <w:rPr>
                <w:rFonts w:hint="eastAsia"/>
                <w:color w:val="auto"/>
                <w:szCs w:val="21"/>
                <w:lang w:val="en-US" w:eastAsia="zh-CN"/>
              </w:rPr>
            </w:pPr>
            <w:r>
              <w:rPr>
                <w:rFonts w:hint="eastAsia"/>
                <w:color w:val="auto"/>
                <w:szCs w:val="21"/>
                <w:lang w:val="en-US" w:eastAsia="zh-CN"/>
              </w:rPr>
              <w:t>项目运营期废水主要包括普通医疗废水、特殊性质医疗废水、职工生活污水、食堂废水等。</w:t>
            </w:r>
          </w:p>
          <w:p w14:paraId="1E73AD02">
            <w:pPr>
              <w:widowControl/>
              <w:snapToGrid w:val="0"/>
              <w:spacing w:line="360" w:lineRule="auto"/>
              <w:ind w:firstLine="428" w:firstLineChars="204"/>
              <w:rPr>
                <w:rFonts w:hint="default" w:eastAsia="宋体"/>
                <w:color w:val="auto"/>
                <w:szCs w:val="21"/>
                <w:lang w:val="en-US" w:eastAsia="zh-CN"/>
              </w:rPr>
            </w:pPr>
            <w:r>
              <w:rPr>
                <w:rFonts w:hint="eastAsia"/>
                <w:color w:val="auto"/>
                <w:szCs w:val="21"/>
                <w:lang w:val="en-US" w:eastAsia="zh-CN"/>
              </w:rPr>
              <w:t>（1）废水产生量及防治措施</w:t>
            </w:r>
          </w:p>
          <w:p w14:paraId="2CCAA4FA">
            <w:pPr>
              <w:widowControl/>
              <w:snapToGrid w:val="0"/>
              <w:spacing w:line="360" w:lineRule="auto"/>
              <w:ind w:firstLine="428" w:firstLineChars="204"/>
              <w:rPr>
                <w:rFonts w:hint="default"/>
                <w:color w:val="auto"/>
                <w:szCs w:val="21"/>
                <w:lang w:val="en-US" w:eastAsia="zh-CN"/>
              </w:rPr>
            </w:pPr>
            <w:r>
              <w:rPr>
                <w:rFonts w:hint="eastAsia"/>
                <w:bCs/>
                <w:color w:val="auto"/>
                <w:sz w:val="21"/>
                <w:szCs w:val="21"/>
                <w:lang w:val="en-US" w:eastAsia="zh-CN"/>
              </w:rPr>
              <w:t>根据工程分析可知，本项目排放污水的主要部门和设施有住院病房、急诊、门诊、检验室、办公室、食</w:t>
            </w:r>
            <w:r>
              <w:rPr>
                <w:rFonts w:hint="eastAsia"/>
                <w:color w:val="auto"/>
                <w:szCs w:val="21"/>
                <w:lang w:val="en-US" w:eastAsia="zh-CN"/>
              </w:rPr>
              <w:t>堂、护理楼等。运营期污水产生量为64012.04m</w:t>
            </w:r>
            <w:r>
              <w:rPr>
                <w:rFonts w:hint="eastAsia"/>
                <w:color w:val="auto"/>
                <w:szCs w:val="21"/>
                <w:vertAlign w:val="superscript"/>
                <w:lang w:val="en-US" w:eastAsia="zh-CN"/>
              </w:rPr>
              <w:t>3</w:t>
            </w:r>
            <w:r>
              <w:rPr>
                <w:rFonts w:hint="eastAsia"/>
                <w:color w:val="auto"/>
                <w:szCs w:val="21"/>
                <w:lang w:val="en-US" w:eastAsia="zh-CN"/>
              </w:rPr>
              <w:t>/a。</w:t>
            </w:r>
          </w:p>
          <w:p w14:paraId="2C84FAFD">
            <w:pPr>
              <w:widowControl/>
              <w:snapToGrid w:val="0"/>
              <w:spacing w:line="360" w:lineRule="auto"/>
              <w:ind w:firstLine="428" w:firstLineChars="204"/>
              <w:rPr>
                <w:rFonts w:hint="eastAsia"/>
                <w:color w:val="auto"/>
                <w:szCs w:val="21"/>
                <w:lang w:val="en-US" w:eastAsia="zh-CN"/>
              </w:rPr>
            </w:pPr>
            <w:r>
              <w:rPr>
                <w:rFonts w:hint="eastAsia"/>
                <w:color w:val="auto"/>
                <w:szCs w:val="21"/>
                <w:lang w:val="en-US" w:eastAsia="zh-CN"/>
              </w:rPr>
              <w:t>污水主要特征包括：</w:t>
            </w:r>
          </w:p>
          <w:p w14:paraId="6B8330F3">
            <w:pPr>
              <w:widowControl/>
              <w:snapToGrid w:val="0"/>
              <w:spacing w:line="360" w:lineRule="auto"/>
              <w:ind w:firstLine="428" w:firstLineChars="204"/>
              <w:rPr>
                <w:rFonts w:hint="eastAsia"/>
                <w:color w:val="auto"/>
                <w:szCs w:val="21"/>
                <w:lang w:val="en-US" w:eastAsia="zh-CN"/>
              </w:rPr>
            </w:pPr>
            <w:r>
              <w:rPr>
                <w:rFonts w:hint="eastAsia"/>
                <w:color w:val="auto"/>
                <w:szCs w:val="21"/>
                <w:lang w:val="en-US" w:eastAsia="zh-CN"/>
              </w:rPr>
              <w:t>①含有大量的病原体，如病菌、病毒和寄生虫卵等，包括粪大肠菌群、大肠菌群、伤寒杆菌、痢疾杆菌、肠道病毒、肝炎病毒等；</w:t>
            </w:r>
          </w:p>
          <w:p w14:paraId="3CE1CD3E">
            <w:pPr>
              <w:widowControl/>
              <w:snapToGrid w:val="0"/>
              <w:spacing w:line="360" w:lineRule="auto"/>
              <w:ind w:firstLine="428" w:firstLineChars="204"/>
              <w:rPr>
                <w:rFonts w:hint="eastAsia"/>
                <w:color w:val="auto"/>
                <w:szCs w:val="21"/>
                <w:lang w:val="en-US" w:eastAsia="zh-CN"/>
              </w:rPr>
            </w:pPr>
            <w:r>
              <w:rPr>
                <w:rFonts w:hint="eastAsia"/>
                <w:color w:val="auto"/>
                <w:szCs w:val="21"/>
                <w:lang w:val="en-US" w:eastAsia="zh-CN"/>
              </w:rPr>
              <w:t xml:space="preserve">②含有消毒剂、药剂、试剂等多种化学物质。其污染因子主要表现在 </w:t>
            </w:r>
            <w:r>
              <w:rPr>
                <w:rFonts w:hint="default"/>
                <w:color w:val="auto"/>
                <w:szCs w:val="21"/>
                <w:lang w:val="en-US" w:eastAsia="zh-CN"/>
              </w:rPr>
              <w:t>COD</w:t>
            </w:r>
            <w:r>
              <w:rPr>
                <w:rFonts w:hint="eastAsia"/>
                <w:color w:val="auto"/>
                <w:szCs w:val="21"/>
                <w:lang w:val="en-US" w:eastAsia="zh-CN"/>
              </w:rPr>
              <w:t>、</w:t>
            </w:r>
            <w:r>
              <w:rPr>
                <w:rFonts w:hint="default"/>
                <w:color w:val="auto"/>
                <w:szCs w:val="21"/>
                <w:lang w:val="en-US" w:eastAsia="zh-CN"/>
              </w:rPr>
              <w:t>BOD</w:t>
            </w:r>
            <w:r>
              <w:rPr>
                <w:rFonts w:hint="default"/>
                <w:color w:val="auto"/>
                <w:szCs w:val="21"/>
                <w:vertAlign w:val="subscript"/>
                <w:lang w:val="en-US" w:eastAsia="zh-CN"/>
              </w:rPr>
              <w:t>5</w:t>
            </w:r>
            <w:r>
              <w:rPr>
                <w:rFonts w:hint="eastAsia"/>
                <w:color w:val="auto"/>
                <w:szCs w:val="21"/>
                <w:lang w:val="en-US" w:eastAsia="zh-CN"/>
              </w:rPr>
              <w:t>、</w:t>
            </w:r>
            <w:r>
              <w:rPr>
                <w:rFonts w:hint="default"/>
                <w:color w:val="auto"/>
                <w:szCs w:val="21"/>
                <w:lang w:val="en-US" w:eastAsia="zh-CN"/>
              </w:rPr>
              <w:t>SS</w:t>
            </w:r>
            <w:r>
              <w:rPr>
                <w:rFonts w:hint="eastAsia"/>
                <w:color w:val="auto"/>
                <w:szCs w:val="21"/>
                <w:lang w:val="en-US" w:eastAsia="zh-CN"/>
              </w:rPr>
              <w:t>、</w:t>
            </w:r>
            <w:r>
              <w:rPr>
                <w:rFonts w:hint="default"/>
                <w:color w:val="auto"/>
                <w:szCs w:val="21"/>
                <w:lang w:val="en-US" w:eastAsia="zh-CN"/>
              </w:rPr>
              <w:t>NH</w:t>
            </w:r>
            <w:r>
              <w:rPr>
                <w:rFonts w:hint="default"/>
                <w:color w:val="auto"/>
                <w:szCs w:val="21"/>
                <w:vertAlign w:val="subscript"/>
                <w:lang w:val="en-US" w:eastAsia="zh-CN"/>
              </w:rPr>
              <w:t>3</w:t>
            </w:r>
            <w:r>
              <w:rPr>
                <w:rFonts w:hint="default"/>
                <w:color w:val="auto"/>
                <w:szCs w:val="21"/>
                <w:lang w:val="en-US" w:eastAsia="zh-CN"/>
              </w:rPr>
              <w:t xml:space="preserve"> -N</w:t>
            </w:r>
            <w:r>
              <w:rPr>
                <w:rFonts w:hint="eastAsia"/>
                <w:color w:val="auto"/>
                <w:szCs w:val="21"/>
                <w:lang w:val="en-US" w:eastAsia="zh-CN"/>
              </w:rPr>
              <w:t>、粪大肠菌群等。</w:t>
            </w:r>
          </w:p>
          <w:p w14:paraId="607901AB">
            <w:pPr>
              <w:widowControl/>
              <w:snapToGrid w:val="0"/>
              <w:spacing w:line="360" w:lineRule="auto"/>
              <w:ind w:firstLine="428" w:firstLineChars="204"/>
              <w:rPr>
                <w:rFonts w:hint="eastAsia"/>
                <w:bCs/>
                <w:color w:val="auto"/>
                <w:sz w:val="21"/>
                <w:szCs w:val="21"/>
                <w:lang w:val="en-US" w:eastAsia="zh-CN"/>
              </w:rPr>
            </w:pPr>
            <w:r>
              <w:rPr>
                <w:rFonts w:hint="eastAsia"/>
                <w:bCs/>
                <w:color w:val="auto"/>
                <w:sz w:val="21"/>
                <w:szCs w:val="21"/>
                <w:lang w:val="en-US" w:eastAsia="zh-CN"/>
              </w:rPr>
              <w:t>污水产生量、污染物种类、处理措施工艺等，如下表所示。</w:t>
            </w:r>
          </w:p>
          <w:p w14:paraId="6948FB25">
            <w:pPr>
              <w:snapToGrid w:val="0"/>
              <w:spacing w:line="240" w:lineRule="exact"/>
              <w:ind w:firstLine="361" w:firstLineChars="200"/>
              <w:jc w:val="center"/>
              <w:rPr>
                <w:b/>
                <w:bCs/>
                <w:color w:val="auto"/>
                <w:sz w:val="18"/>
                <w:szCs w:val="18"/>
              </w:rPr>
            </w:pPr>
            <w:r>
              <w:rPr>
                <w:b/>
                <w:bCs/>
                <w:color w:val="auto"/>
                <w:sz w:val="18"/>
                <w:szCs w:val="18"/>
              </w:rPr>
              <w:t>表</w:t>
            </w:r>
            <w:r>
              <w:rPr>
                <w:rFonts w:hint="eastAsia"/>
                <w:b/>
                <w:bCs/>
                <w:color w:val="auto"/>
                <w:sz w:val="18"/>
                <w:szCs w:val="18"/>
              </w:rPr>
              <w:t>4-</w:t>
            </w:r>
            <w:r>
              <w:rPr>
                <w:rFonts w:hint="eastAsia"/>
                <w:b/>
                <w:bCs/>
                <w:color w:val="auto"/>
                <w:sz w:val="18"/>
                <w:szCs w:val="18"/>
                <w:lang w:val="en-US" w:eastAsia="zh-CN"/>
              </w:rPr>
              <w:t>4</w:t>
            </w:r>
            <w:r>
              <w:rPr>
                <w:b/>
                <w:bCs/>
                <w:color w:val="auto"/>
                <w:sz w:val="18"/>
                <w:szCs w:val="18"/>
              </w:rPr>
              <w:t xml:space="preserve">    </w:t>
            </w:r>
            <w:r>
              <w:rPr>
                <w:rFonts w:hint="eastAsia"/>
                <w:b/>
                <w:bCs/>
                <w:color w:val="auto"/>
                <w:sz w:val="18"/>
                <w:szCs w:val="18"/>
                <w:lang w:val="en-US" w:eastAsia="zh-CN"/>
              </w:rPr>
              <w:t>废水污染源基本情况</w:t>
            </w:r>
            <w:r>
              <w:rPr>
                <w:b/>
                <w:bCs/>
                <w:color w:val="auto"/>
                <w:sz w:val="18"/>
                <w:szCs w:val="18"/>
              </w:rPr>
              <w:t>表</w:t>
            </w:r>
          </w:p>
          <w:tbl>
            <w:tblPr>
              <w:tblStyle w:val="48"/>
              <w:tblW w:w="4996" w:type="pct"/>
              <w:tblInd w:w="-11"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541"/>
              <w:gridCol w:w="849"/>
              <w:gridCol w:w="1003"/>
              <w:gridCol w:w="555"/>
              <w:gridCol w:w="1593"/>
              <w:gridCol w:w="1159"/>
              <w:gridCol w:w="1467"/>
              <w:gridCol w:w="850"/>
            </w:tblGrid>
            <w:tr w14:paraId="3C15655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37" w:type="pct"/>
                  <w:tcBorders>
                    <w:tl2br w:val="nil"/>
                    <w:tr2bl w:val="nil"/>
                  </w:tcBorders>
                  <w:vAlign w:val="center"/>
                </w:tcPr>
                <w:p w14:paraId="3C1B149E">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序号</w:t>
                  </w:r>
                </w:p>
              </w:tc>
              <w:tc>
                <w:tcPr>
                  <w:tcW w:w="529" w:type="pct"/>
                  <w:tcBorders>
                    <w:tl2br w:val="nil"/>
                    <w:tr2bl w:val="nil"/>
                  </w:tcBorders>
                  <w:vAlign w:val="center"/>
                </w:tcPr>
                <w:p w14:paraId="65687AD5">
                  <w:pPr>
                    <w:adjustRightInd w:val="0"/>
                    <w:snapToGrid w:val="0"/>
                    <w:spacing w:line="280" w:lineRule="exact"/>
                    <w:contextualSpacing/>
                    <w:jc w:val="center"/>
                    <w:textAlignment w:val="baseline"/>
                    <w:rPr>
                      <w:rFonts w:hint="eastAsia"/>
                      <w:color w:val="auto"/>
                      <w:sz w:val="18"/>
                      <w:szCs w:val="18"/>
                      <w:lang w:val="en-US" w:eastAsia="zh-CN"/>
                    </w:rPr>
                  </w:pPr>
                  <w:r>
                    <w:rPr>
                      <w:rFonts w:hint="eastAsia"/>
                      <w:color w:val="auto"/>
                      <w:sz w:val="18"/>
                      <w:szCs w:val="18"/>
                      <w:lang w:val="en-US" w:eastAsia="zh-CN"/>
                    </w:rPr>
                    <w:t>废水</w:t>
                  </w:r>
                </w:p>
                <w:p w14:paraId="6E434739">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类别</w:t>
                  </w:r>
                </w:p>
              </w:tc>
              <w:tc>
                <w:tcPr>
                  <w:tcW w:w="625" w:type="pct"/>
                  <w:tcBorders>
                    <w:tl2br w:val="nil"/>
                    <w:tr2bl w:val="nil"/>
                  </w:tcBorders>
                  <w:vAlign w:val="center"/>
                </w:tcPr>
                <w:p w14:paraId="2D7A4245">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废水来源</w:t>
                  </w:r>
                </w:p>
              </w:tc>
              <w:tc>
                <w:tcPr>
                  <w:tcW w:w="346" w:type="pct"/>
                  <w:tcBorders>
                    <w:tl2br w:val="nil"/>
                    <w:tr2bl w:val="nil"/>
                  </w:tcBorders>
                  <w:vAlign w:val="center"/>
                </w:tcPr>
                <w:p w14:paraId="04865A3F">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废水量m</w:t>
                  </w:r>
                  <w:r>
                    <w:rPr>
                      <w:rFonts w:hint="eastAsia"/>
                      <w:color w:val="auto"/>
                      <w:sz w:val="18"/>
                      <w:szCs w:val="18"/>
                      <w:vertAlign w:val="superscript"/>
                      <w:lang w:val="en-US" w:eastAsia="zh-CN"/>
                    </w:rPr>
                    <w:t>3</w:t>
                  </w:r>
                  <w:r>
                    <w:rPr>
                      <w:rFonts w:hint="eastAsia"/>
                      <w:color w:val="auto"/>
                      <w:sz w:val="18"/>
                      <w:szCs w:val="18"/>
                      <w:lang w:val="en-US" w:eastAsia="zh-CN"/>
                    </w:rPr>
                    <w:t>/d</w:t>
                  </w:r>
                </w:p>
              </w:tc>
              <w:tc>
                <w:tcPr>
                  <w:tcW w:w="993" w:type="pct"/>
                  <w:tcBorders>
                    <w:tl2br w:val="nil"/>
                    <w:tr2bl w:val="nil"/>
                  </w:tcBorders>
                  <w:vAlign w:val="center"/>
                </w:tcPr>
                <w:p w14:paraId="1FF07B1E">
                  <w:pPr>
                    <w:adjustRightInd w:val="0"/>
                    <w:snapToGrid w:val="0"/>
                    <w:spacing w:line="280" w:lineRule="exact"/>
                    <w:contextualSpacing/>
                    <w:jc w:val="center"/>
                    <w:textAlignment w:val="baseline"/>
                    <w:rPr>
                      <w:rFonts w:hint="eastAsia"/>
                      <w:color w:val="auto"/>
                      <w:sz w:val="18"/>
                      <w:szCs w:val="18"/>
                      <w:lang w:val="en-US" w:eastAsia="zh-CN"/>
                    </w:rPr>
                  </w:pPr>
                  <w:r>
                    <w:rPr>
                      <w:rFonts w:hint="eastAsia"/>
                      <w:color w:val="auto"/>
                      <w:sz w:val="18"/>
                      <w:szCs w:val="18"/>
                      <w:lang w:val="en-US" w:eastAsia="zh-CN"/>
                    </w:rPr>
                    <w:t>污染物种类</w:t>
                  </w:r>
                </w:p>
              </w:tc>
              <w:tc>
                <w:tcPr>
                  <w:tcW w:w="722" w:type="pct"/>
                  <w:tcBorders>
                    <w:tl2br w:val="nil"/>
                    <w:tr2bl w:val="nil"/>
                  </w:tcBorders>
                  <w:vAlign w:val="center"/>
                </w:tcPr>
                <w:p w14:paraId="6B094BED">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污染治理设施</w:t>
                  </w:r>
                </w:p>
              </w:tc>
              <w:tc>
                <w:tcPr>
                  <w:tcW w:w="914" w:type="pct"/>
                  <w:tcBorders>
                    <w:tl2br w:val="nil"/>
                    <w:tr2bl w:val="nil"/>
                  </w:tcBorders>
                  <w:vAlign w:val="center"/>
                </w:tcPr>
                <w:p w14:paraId="08E6DC30">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污染治理设施工艺</w:t>
                  </w:r>
                </w:p>
              </w:tc>
              <w:tc>
                <w:tcPr>
                  <w:tcW w:w="530" w:type="pct"/>
                  <w:tcBorders>
                    <w:tl2br w:val="nil"/>
                    <w:tr2bl w:val="nil"/>
                  </w:tcBorders>
                  <w:vAlign w:val="center"/>
                </w:tcPr>
                <w:p w14:paraId="1A4BA62B">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排放去向</w:t>
                  </w:r>
                </w:p>
              </w:tc>
            </w:tr>
            <w:tr w14:paraId="6EB97BA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37" w:type="pct"/>
                  <w:tcBorders>
                    <w:tl2br w:val="nil"/>
                    <w:tr2bl w:val="nil"/>
                  </w:tcBorders>
                  <w:vAlign w:val="center"/>
                </w:tcPr>
                <w:p w14:paraId="3D9715D7">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1</w:t>
                  </w:r>
                </w:p>
              </w:tc>
              <w:tc>
                <w:tcPr>
                  <w:tcW w:w="529" w:type="pct"/>
                  <w:tcBorders>
                    <w:tl2br w:val="nil"/>
                    <w:tr2bl w:val="nil"/>
                  </w:tcBorders>
                  <w:vAlign w:val="center"/>
                </w:tcPr>
                <w:p w14:paraId="7EE6E1DF">
                  <w:pPr>
                    <w:adjustRightInd w:val="0"/>
                    <w:snapToGrid w:val="0"/>
                    <w:spacing w:line="280" w:lineRule="exact"/>
                    <w:contextualSpacing/>
                    <w:jc w:val="center"/>
                    <w:textAlignment w:val="baseline"/>
                    <w:rPr>
                      <w:rFonts w:hint="eastAsia"/>
                      <w:color w:val="auto"/>
                      <w:sz w:val="18"/>
                      <w:szCs w:val="18"/>
                      <w:lang w:val="en-US" w:eastAsia="zh-CN"/>
                    </w:rPr>
                  </w:pPr>
                  <w:r>
                    <w:rPr>
                      <w:rFonts w:hint="eastAsia"/>
                      <w:color w:val="auto"/>
                      <w:sz w:val="18"/>
                      <w:szCs w:val="18"/>
                      <w:lang w:val="en-US" w:eastAsia="zh-CN"/>
                    </w:rPr>
                    <w:t>医疗</w:t>
                  </w:r>
                </w:p>
                <w:p w14:paraId="6A59CCAF">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污水</w:t>
                  </w:r>
                </w:p>
              </w:tc>
              <w:tc>
                <w:tcPr>
                  <w:tcW w:w="625" w:type="pct"/>
                  <w:tcBorders>
                    <w:tl2br w:val="nil"/>
                    <w:tr2bl w:val="nil"/>
                  </w:tcBorders>
                  <w:vAlign w:val="center"/>
                </w:tcPr>
                <w:p w14:paraId="25C4690B">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门诊、病房、手术室、检验科、病理科等</w:t>
                  </w:r>
                </w:p>
              </w:tc>
              <w:tc>
                <w:tcPr>
                  <w:tcW w:w="346" w:type="pct"/>
                  <w:tcBorders>
                    <w:tl2br w:val="nil"/>
                    <w:tr2bl w:val="nil"/>
                  </w:tcBorders>
                  <w:vAlign w:val="center"/>
                </w:tcPr>
                <w:p w14:paraId="09F839DD">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96.8</w:t>
                  </w:r>
                </w:p>
              </w:tc>
              <w:tc>
                <w:tcPr>
                  <w:tcW w:w="993" w:type="pct"/>
                  <w:tcBorders>
                    <w:tl2br w:val="nil"/>
                    <w:tr2bl w:val="nil"/>
                  </w:tcBorders>
                  <w:vAlign w:val="center"/>
                </w:tcPr>
                <w:p w14:paraId="1D7768C5">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粪大肠菌群数、肠道致病菌、化学需氧量、氨氮、pH值、悬浮物、五日生化需氧量、动植物油、石油类、阴离子表面活性剂、挥发酚、色度、总氰化物、总余氯</w:t>
                  </w:r>
                </w:p>
              </w:tc>
              <w:tc>
                <w:tcPr>
                  <w:tcW w:w="722" w:type="pct"/>
                  <w:tcBorders>
                    <w:tl2br w:val="nil"/>
                    <w:tr2bl w:val="nil"/>
                  </w:tcBorders>
                  <w:vAlign w:val="center"/>
                </w:tcPr>
                <w:p w14:paraId="2639F59F">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污水处理站</w:t>
                  </w:r>
                </w:p>
              </w:tc>
              <w:tc>
                <w:tcPr>
                  <w:tcW w:w="914" w:type="pct"/>
                  <w:tcBorders>
                    <w:tl2br w:val="nil"/>
                    <w:tr2bl w:val="nil"/>
                  </w:tcBorders>
                  <w:vAlign w:val="center"/>
                </w:tcPr>
                <w:p w14:paraId="6AD1C5A4">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格栅+调节+接触氧化+沉淀+消毒</w:t>
                  </w:r>
                </w:p>
              </w:tc>
              <w:tc>
                <w:tcPr>
                  <w:tcW w:w="530" w:type="pct"/>
                  <w:vMerge w:val="restart"/>
                  <w:tcBorders>
                    <w:tl2br w:val="nil"/>
                    <w:tr2bl w:val="nil"/>
                  </w:tcBorders>
                  <w:vAlign w:val="center"/>
                </w:tcPr>
                <w:p w14:paraId="01B4663C">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进入园区污水管网，最终排入大同市开发区污水处理厂</w:t>
                  </w:r>
                </w:p>
              </w:tc>
            </w:tr>
            <w:tr w14:paraId="3FB6E5C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34" w:hRule="atLeast"/>
              </w:trPr>
              <w:tc>
                <w:tcPr>
                  <w:tcW w:w="337" w:type="pct"/>
                  <w:vMerge w:val="restart"/>
                  <w:tcBorders>
                    <w:tl2br w:val="nil"/>
                    <w:tr2bl w:val="nil"/>
                  </w:tcBorders>
                  <w:vAlign w:val="center"/>
                </w:tcPr>
                <w:p w14:paraId="123D55BC">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2</w:t>
                  </w:r>
                </w:p>
              </w:tc>
              <w:tc>
                <w:tcPr>
                  <w:tcW w:w="529" w:type="pct"/>
                  <w:vMerge w:val="restart"/>
                  <w:tcBorders>
                    <w:tl2br w:val="nil"/>
                    <w:tr2bl w:val="nil"/>
                  </w:tcBorders>
                  <w:vAlign w:val="center"/>
                </w:tcPr>
                <w:p w14:paraId="37049662">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特殊医疗污水</w:t>
                  </w:r>
                </w:p>
              </w:tc>
              <w:tc>
                <w:tcPr>
                  <w:tcW w:w="625" w:type="pct"/>
                  <w:vMerge w:val="restart"/>
                  <w:tcBorders>
                    <w:tl2br w:val="nil"/>
                    <w:tr2bl w:val="nil"/>
                  </w:tcBorders>
                  <w:vAlign w:val="center"/>
                </w:tcPr>
                <w:p w14:paraId="5205CB09">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传染性污水、洗相污水、实验检验污水</w:t>
                  </w:r>
                </w:p>
              </w:tc>
              <w:tc>
                <w:tcPr>
                  <w:tcW w:w="346" w:type="pct"/>
                  <w:vMerge w:val="restart"/>
                  <w:tcBorders>
                    <w:tl2br w:val="nil"/>
                    <w:tr2bl w:val="nil"/>
                  </w:tcBorders>
                  <w:vAlign w:val="center"/>
                </w:tcPr>
                <w:p w14:paraId="4FF10B76">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0.16</w:t>
                  </w:r>
                </w:p>
              </w:tc>
              <w:tc>
                <w:tcPr>
                  <w:tcW w:w="993" w:type="pct"/>
                  <w:tcBorders>
                    <w:tl2br w:val="nil"/>
                    <w:tr2bl w:val="nil"/>
                  </w:tcBorders>
                  <w:vAlign w:val="center"/>
                </w:tcPr>
                <w:p w14:paraId="1010E7E8">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肠道致病菌、肠道病毒、结核杆菌</w:t>
                  </w:r>
                </w:p>
              </w:tc>
              <w:tc>
                <w:tcPr>
                  <w:tcW w:w="722" w:type="pct"/>
                  <w:vMerge w:val="restart"/>
                  <w:tcBorders>
                    <w:tl2br w:val="nil"/>
                    <w:tr2bl w:val="nil"/>
                  </w:tcBorders>
                  <w:vAlign w:val="center"/>
                </w:tcPr>
                <w:p w14:paraId="06434225">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科室预处理</w:t>
                  </w:r>
                </w:p>
              </w:tc>
              <w:tc>
                <w:tcPr>
                  <w:tcW w:w="914" w:type="pct"/>
                  <w:vMerge w:val="restart"/>
                  <w:tcBorders>
                    <w:tl2br w:val="nil"/>
                    <w:tr2bl w:val="nil"/>
                  </w:tcBorders>
                  <w:vAlign w:val="center"/>
                </w:tcPr>
                <w:p w14:paraId="058DFEE8">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石灰中和</w:t>
                  </w:r>
                </w:p>
              </w:tc>
              <w:tc>
                <w:tcPr>
                  <w:tcW w:w="530" w:type="pct"/>
                  <w:vMerge w:val="continue"/>
                  <w:tcBorders>
                    <w:tl2br w:val="nil"/>
                    <w:tr2bl w:val="nil"/>
                  </w:tcBorders>
                  <w:vAlign w:val="center"/>
                </w:tcPr>
                <w:p w14:paraId="1623C834">
                  <w:pPr>
                    <w:adjustRightInd w:val="0"/>
                    <w:snapToGrid w:val="0"/>
                    <w:spacing w:line="280" w:lineRule="exact"/>
                    <w:contextualSpacing/>
                    <w:jc w:val="center"/>
                    <w:textAlignment w:val="baseline"/>
                    <w:rPr>
                      <w:rFonts w:hint="default"/>
                      <w:color w:val="auto"/>
                      <w:sz w:val="18"/>
                      <w:szCs w:val="18"/>
                      <w:lang w:val="en-US" w:eastAsia="zh-CN"/>
                    </w:rPr>
                  </w:pPr>
                </w:p>
              </w:tc>
            </w:tr>
            <w:tr w14:paraId="32464D8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9" w:hRule="atLeast"/>
              </w:trPr>
              <w:tc>
                <w:tcPr>
                  <w:tcW w:w="337" w:type="pct"/>
                  <w:vMerge w:val="continue"/>
                  <w:tcBorders>
                    <w:tl2br w:val="nil"/>
                    <w:tr2bl w:val="nil"/>
                  </w:tcBorders>
                  <w:vAlign w:val="center"/>
                </w:tcPr>
                <w:p w14:paraId="4630E318">
                  <w:pPr>
                    <w:adjustRightInd w:val="0"/>
                    <w:snapToGrid w:val="0"/>
                    <w:spacing w:line="280" w:lineRule="exact"/>
                    <w:contextualSpacing/>
                    <w:jc w:val="center"/>
                    <w:textAlignment w:val="baseline"/>
                    <w:rPr>
                      <w:rFonts w:hint="eastAsia"/>
                      <w:color w:val="auto"/>
                      <w:sz w:val="18"/>
                      <w:szCs w:val="18"/>
                      <w:lang w:val="en-US" w:eastAsia="zh-CN"/>
                    </w:rPr>
                  </w:pPr>
                </w:p>
              </w:tc>
              <w:tc>
                <w:tcPr>
                  <w:tcW w:w="529" w:type="pct"/>
                  <w:vMerge w:val="continue"/>
                  <w:tcBorders>
                    <w:tl2br w:val="nil"/>
                    <w:tr2bl w:val="nil"/>
                  </w:tcBorders>
                  <w:vAlign w:val="center"/>
                </w:tcPr>
                <w:p w14:paraId="3724E376">
                  <w:pPr>
                    <w:adjustRightInd w:val="0"/>
                    <w:snapToGrid w:val="0"/>
                    <w:spacing w:line="280" w:lineRule="exact"/>
                    <w:contextualSpacing/>
                    <w:jc w:val="center"/>
                    <w:textAlignment w:val="baseline"/>
                    <w:rPr>
                      <w:rFonts w:hint="eastAsia"/>
                      <w:color w:val="auto"/>
                      <w:sz w:val="18"/>
                      <w:szCs w:val="18"/>
                      <w:lang w:val="en-US" w:eastAsia="zh-CN"/>
                    </w:rPr>
                  </w:pPr>
                </w:p>
              </w:tc>
              <w:tc>
                <w:tcPr>
                  <w:tcW w:w="625" w:type="pct"/>
                  <w:vMerge w:val="continue"/>
                  <w:tcBorders>
                    <w:tl2br w:val="nil"/>
                    <w:tr2bl w:val="nil"/>
                  </w:tcBorders>
                  <w:vAlign w:val="center"/>
                </w:tcPr>
                <w:p w14:paraId="5098B4E1">
                  <w:pPr>
                    <w:adjustRightInd w:val="0"/>
                    <w:snapToGrid w:val="0"/>
                    <w:spacing w:line="280" w:lineRule="exact"/>
                    <w:contextualSpacing/>
                    <w:jc w:val="center"/>
                    <w:textAlignment w:val="baseline"/>
                    <w:rPr>
                      <w:rFonts w:hint="eastAsia"/>
                      <w:color w:val="auto"/>
                      <w:sz w:val="18"/>
                      <w:szCs w:val="18"/>
                      <w:lang w:val="en-US" w:eastAsia="zh-CN"/>
                    </w:rPr>
                  </w:pPr>
                </w:p>
              </w:tc>
              <w:tc>
                <w:tcPr>
                  <w:tcW w:w="346" w:type="pct"/>
                  <w:vMerge w:val="continue"/>
                  <w:tcBorders>
                    <w:tl2br w:val="nil"/>
                    <w:tr2bl w:val="nil"/>
                  </w:tcBorders>
                  <w:vAlign w:val="center"/>
                </w:tcPr>
                <w:p w14:paraId="72F2B05F">
                  <w:pPr>
                    <w:adjustRightInd w:val="0"/>
                    <w:snapToGrid w:val="0"/>
                    <w:spacing w:line="280" w:lineRule="exact"/>
                    <w:contextualSpacing/>
                    <w:jc w:val="center"/>
                    <w:textAlignment w:val="baseline"/>
                    <w:rPr>
                      <w:rFonts w:hint="eastAsia"/>
                      <w:color w:val="auto"/>
                      <w:sz w:val="18"/>
                      <w:szCs w:val="18"/>
                      <w:lang w:val="en-US" w:eastAsia="zh-CN"/>
                    </w:rPr>
                  </w:pPr>
                </w:p>
              </w:tc>
              <w:tc>
                <w:tcPr>
                  <w:tcW w:w="993" w:type="pct"/>
                  <w:tcBorders>
                    <w:tl2br w:val="nil"/>
                    <w:tr2bl w:val="nil"/>
                  </w:tcBorders>
                  <w:vAlign w:val="center"/>
                </w:tcPr>
                <w:p w14:paraId="71E10B69">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总银、六价铬</w:t>
                  </w:r>
                </w:p>
              </w:tc>
              <w:tc>
                <w:tcPr>
                  <w:tcW w:w="722" w:type="pct"/>
                  <w:vMerge w:val="continue"/>
                  <w:tcBorders>
                    <w:tl2br w:val="nil"/>
                    <w:tr2bl w:val="nil"/>
                  </w:tcBorders>
                  <w:vAlign w:val="center"/>
                </w:tcPr>
                <w:p w14:paraId="65A29756">
                  <w:pPr>
                    <w:adjustRightInd w:val="0"/>
                    <w:snapToGrid w:val="0"/>
                    <w:spacing w:line="280" w:lineRule="exact"/>
                    <w:contextualSpacing/>
                    <w:jc w:val="center"/>
                    <w:textAlignment w:val="baseline"/>
                    <w:rPr>
                      <w:rFonts w:hint="default"/>
                      <w:color w:val="auto"/>
                      <w:sz w:val="18"/>
                      <w:szCs w:val="18"/>
                      <w:lang w:val="en-US" w:eastAsia="zh-CN"/>
                    </w:rPr>
                  </w:pPr>
                </w:p>
              </w:tc>
              <w:tc>
                <w:tcPr>
                  <w:tcW w:w="914" w:type="pct"/>
                  <w:vMerge w:val="continue"/>
                  <w:tcBorders>
                    <w:tl2br w:val="nil"/>
                    <w:tr2bl w:val="nil"/>
                  </w:tcBorders>
                  <w:vAlign w:val="center"/>
                </w:tcPr>
                <w:p w14:paraId="39462106">
                  <w:pPr>
                    <w:adjustRightInd w:val="0"/>
                    <w:snapToGrid w:val="0"/>
                    <w:spacing w:line="280" w:lineRule="exact"/>
                    <w:contextualSpacing/>
                    <w:jc w:val="center"/>
                    <w:textAlignment w:val="baseline"/>
                    <w:rPr>
                      <w:rFonts w:hint="default"/>
                      <w:color w:val="auto"/>
                      <w:sz w:val="18"/>
                      <w:szCs w:val="18"/>
                      <w:lang w:val="en-US" w:eastAsia="zh-CN"/>
                    </w:rPr>
                  </w:pPr>
                </w:p>
              </w:tc>
              <w:tc>
                <w:tcPr>
                  <w:tcW w:w="530" w:type="pct"/>
                  <w:vMerge w:val="continue"/>
                  <w:tcBorders>
                    <w:tl2br w:val="nil"/>
                    <w:tr2bl w:val="nil"/>
                  </w:tcBorders>
                  <w:vAlign w:val="center"/>
                </w:tcPr>
                <w:p w14:paraId="44E2ED34">
                  <w:pPr>
                    <w:adjustRightInd w:val="0"/>
                    <w:snapToGrid w:val="0"/>
                    <w:spacing w:line="280" w:lineRule="exact"/>
                    <w:contextualSpacing/>
                    <w:jc w:val="center"/>
                    <w:textAlignment w:val="baseline"/>
                    <w:rPr>
                      <w:rFonts w:hint="default"/>
                      <w:color w:val="auto"/>
                      <w:sz w:val="18"/>
                      <w:szCs w:val="18"/>
                      <w:lang w:val="en-US" w:eastAsia="zh-CN"/>
                    </w:rPr>
                  </w:pPr>
                </w:p>
              </w:tc>
            </w:tr>
            <w:tr w14:paraId="7FCFC32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647" w:hRule="atLeast"/>
              </w:trPr>
              <w:tc>
                <w:tcPr>
                  <w:tcW w:w="337" w:type="pct"/>
                  <w:vMerge w:val="continue"/>
                  <w:tcBorders>
                    <w:tl2br w:val="nil"/>
                    <w:tr2bl w:val="nil"/>
                  </w:tcBorders>
                  <w:vAlign w:val="center"/>
                </w:tcPr>
                <w:p w14:paraId="63B844AD">
                  <w:pPr>
                    <w:adjustRightInd w:val="0"/>
                    <w:snapToGrid w:val="0"/>
                    <w:spacing w:line="280" w:lineRule="exact"/>
                    <w:contextualSpacing/>
                    <w:jc w:val="center"/>
                    <w:textAlignment w:val="baseline"/>
                    <w:rPr>
                      <w:rFonts w:hint="eastAsia"/>
                      <w:color w:val="auto"/>
                      <w:sz w:val="18"/>
                      <w:szCs w:val="18"/>
                      <w:lang w:val="en-US" w:eastAsia="zh-CN"/>
                    </w:rPr>
                  </w:pPr>
                </w:p>
              </w:tc>
              <w:tc>
                <w:tcPr>
                  <w:tcW w:w="529" w:type="pct"/>
                  <w:vMerge w:val="continue"/>
                  <w:tcBorders>
                    <w:tl2br w:val="nil"/>
                    <w:tr2bl w:val="nil"/>
                  </w:tcBorders>
                  <w:vAlign w:val="center"/>
                </w:tcPr>
                <w:p w14:paraId="4071A281">
                  <w:pPr>
                    <w:adjustRightInd w:val="0"/>
                    <w:snapToGrid w:val="0"/>
                    <w:spacing w:line="280" w:lineRule="exact"/>
                    <w:contextualSpacing/>
                    <w:jc w:val="center"/>
                    <w:textAlignment w:val="baseline"/>
                    <w:rPr>
                      <w:rFonts w:hint="eastAsia"/>
                      <w:color w:val="auto"/>
                      <w:sz w:val="18"/>
                      <w:szCs w:val="18"/>
                      <w:lang w:val="en-US" w:eastAsia="zh-CN"/>
                    </w:rPr>
                  </w:pPr>
                </w:p>
              </w:tc>
              <w:tc>
                <w:tcPr>
                  <w:tcW w:w="625" w:type="pct"/>
                  <w:vMerge w:val="continue"/>
                  <w:tcBorders>
                    <w:tl2br w:val="nil"/>
                    <w:tr2bl w:val="nil"/>
                  </w:tcBorders>
                  <w:vAlign w:val="center"/>
                </w:tcPr>
                <w:p w14:paraId="30F0A793">
                  <w:pPr>
                    <w:adjustRightInd w:val="0"/>
                    <w:snapToGrid w:val="0"/>
                    <w:spacing w:line="280" w:lineRule="exact"/>
                    <w:contextualSpacing/>
                    <w:jc w:val="center"/>
                    <w:textAlignment w:val="baseline"/>
                    <w:rPr>
                      <w:rFonts w:hint="eastAsia"/>
                      <w:color w:val="auto"/>
                      <w:sz w:val="18"/>
                      <w:szCs w:val="18"/>
                      <w:lang w:val="en-US" w:eastAsia="zh-CN"/>
                    </w:rPr>
                  </w:pPr>
                </w:p>
              </w:tc>
              <w:tc>
                <w:tcPr>
                  <w:tcW w:w="346" w:type="pct"/>
                  <w:vMerge w:val="continue"/>
                  <w:tcBorders>
                    <w:tl2br w:val="nil"/>
                    <w:tr2bl w:val="nil"/>
                  </w:tcBorders>
                  <w:vAlign w:val="center"/>
                </w:tcPr>
                <w:p w14:paraId="6C8D0D79">
                  <w:pPr>
                    <w:adjustRightInd w:val="0"/>
                    <w:snapToGrid w:val="0"/>
                    <w:spacing w:line="280" w:lineRule="exact"/>
                    <w:contextualSpacing/>
                    <w:jc w:val="center"/>
                    <w:textAlignment w:val="baseline"/>
                    <w:rPr>
                      <w:rFonts w:hint="eastAsia"/>
                      <w:color w:val="auto"/>
                      <w:sz w:val="18"/>
                      <w:szCs w:val="18"/>
                      <w:lang w:val="en-US" w:eastAsia="zh-CN"/>
                    </w:rPr>
                  </w:pPr>
                </w:p>
              </w:tc>
              <w:tc>
                <w:tcPr>
                  <w:tcW w:w="993" w:type="pct"/>
                  <w:tcBorders>
                    <w:tl2br w:val="nil"/>
                    <w:tr2bl w:val="nil"/>
                  </w:tcBorders>
                  <w:vAlign w:val="center"/>
                </w:tcPr>
                <w:p w14:paraId="5C4F6D8F">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总镉、总铬、六价铬、总砷、总铅、总汞</w:t>
                  </w:r>
                </w:p>
              </w:tc>
              <w:tc>
                <w:tcPr>
                  <w:tcW w:w="722" w:type="pct"/>
                  <w:vMerge w:val="continue"/>
                  <w:tcBorders>
                    <w:tl2br w:val="nil"/>
                    <w:tr2bl w:val="nil"/>
                  </w:tcBorders>
                  <w:vAlign w:val="center"/>
                </w:tcPr>
                <w:p w14:paraId="0CF570AA">
                  <w:pPr>
                    <w:adjustRightInd w:val="0"/>
                    <w:snapToGrid w:val="0"/>
                    <w:spacing w:line="280" w:lineRule="exact"/>
                    <w:contextualSpacing/>
                    <w:jc w:val="center"/>
                    <w:textAlignment w:val="baseline"/>
                    <w:rPr>
                      <w:rFonts w:hint="default"/>
                      <w:color w:val="auto"/>
                      <w:sz w:val="18"/>
                      <w:szCs w:val="18"/>
                      <w:lang w:val="en-US" w:eastAsia="zh-CN"/>
                    </w:rPr>
                  </w:pPr>
                </w:p>
              </w:tc>
              <w:tc>
                <w:tcPr>
                  <w:tcW w:w="914" w:type="pct"/>
                  <w:vMerge w:val="continue"/>
                  <w:tcBorders>
                    <w:tl2br w:val="nil"/>
                    <w:tr2bl w:val="nil"/>
                  </w:tcBorders>
                  <w:vAlign w:val="center"/>
                </w:tcPr>
                <w:p w14:paraId="3B6E6CB0">
                  <w:pPr>
                    <w:adjustRightInd w:val="0"/>
                    <w:snapToGrid w:val="0"/>
                    <w:spacing w:line="280" w:lineRule="exact"/>
                    <w:contextualSpacing/>
                    <w:jc w:val="center"/>
                    <w:textAlignment w:val="baseline"/>
                    <w:rPr>
                      <w:rFonts w:hint="default"/>
                      <w:color w:val="auto"/>
                      <w:sz w:val="18"/>
                      <w:szCs w:val="18"/>
                      <w:lang w:val="en-US" w:eastAsia="zh-CN"/>
                    </w:rPr>
                  </w:pPr>
                </w:p>
              </w:tc>
              <w:tc>
                <w:tcPr>
                  <w:tcW w:w="530" w:type="pct"/>
                  <w:vMerge w:val="continue"/>
                  <w:tcBorders>
                    <w:tl2br w:val="nil"/>
                    <w:tr2bl w:val="nil"/>
                  </w:tcBorders>
                  <w:vAlign w:val="center"/>
                </w:tcPr>
                <w:p w14:paraId="70635342">
                  <w:pPr>
                    <w:adjustRightInd w:val="0"/>
                    <w:snapToGrid w:val="0"/>
                    <w:spacing w:line="280" w:lineRule="exact"/>
                    <w:contextualSpacing/>
                    <w:jc w:val="center"/>
                    <w:textAlignment w:val="baseline"/>
                    <w:rPr>
                      <w:rFonts w:hint="default"/>
                      <w:color w:val="auto"/>
                      <w:sz w:val="18"/>
                      <w:szCs w:val="18"/>
                      <w:lang w:val="en-US" w:eastAsia="zh-CN"/>
                    </w:rPr>
                  </w:pPr>
                </w:p>
              </w:tc>
            </w:tr>
            <w:tr w14:paraId="750A151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37" w:type="pct"/>
                  <w:tcBorders>
                    <w:tl2br w:val="nil"/>
                    <w:tr2bl w:val="nil"/>
                  </w:tcBorders>
                  <w:vAlign w:val="center"/>
                </w:tcPr>
                <w:p w14:paraId="67F906DD">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3</w:t>
                  </w:r>
                </w:p>
              </w:tc>
              <w:tc>
                <w:tcPr>
                  <w:tcW w:w="529" w:type="pct"/>
                  <w:tcBorders>
                    <w:tl2br w:val="nil"/>
                    <w:tr2bl w:val="nil"/>
                  </w:tcBorders>
                  <w:vAlign w:val="center"/>
                </w:tcPr>
                <w:p w14:paraId="7D70EE28">
                  <w:pPr>
                    <w:adjustRightInd w:val="0"/>
                    <w:snapToGrid w:val="0"/>
                    <w:spacing w:line="280" w:lineRule="exact"/>
                    <w:contextualSpacing/>
                    <w:jc w:val="center"/>
                    <w:textAlignment w:val="baseline"/>
                    <w:rPr>
                      <w:rFonts w:hint="eastAsia"/>
                      <w:color w:val="auto"/>
                      <w:sz w:val="18"/>
                      <w:szCs w:val="18"/>
                      <w:lang w:val="en-US" w:eastAsia="zh-CN"/>
                    </w:rPr>
                  </w:pPr>
                  <w:r>
                    <w:rPr>
                      <w:rFonts w:hint="eastAsia"/>
                      <w:color w:val="auto"/>
                      <w:sz w:val="18"/>
                      <w:szCs w:val="18"/>
                      <w:lang w:val="en-US" w:eastAsia="zh-CN"/>
                    </w:rPr>
                    <w:t>生活</w:t>
                  </w:r>
                </w:p>
                <w:p w14:paraId="0331D0E2">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污水</w:t>
                  </w:r>
                </w:p>
              </w:tc>
              <w:tc>
                <w:tcPr>
                  <w:tcW w:w="625" w:type="pct"/>
                  <w:tcBorders>
                    <w:tl2br w:val="nil"/>
                    <w:tr2bl w:val="nil"/>
                  </w:tcBorders>
                  <w:vAlign w:val="center"/>
                </w:tcPr>
                <w:p w14:paraId="07FB05A7">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办公区、职工宿舍、护理楼等</w:t>
                  </w:r>
                </w:p>
              </w:tc>
              <w:tc>
                <w:tcPr>
                  <w:tcW w:w="346" w:type="pct"/>
                  <w:tcBorders>
                    <w:tl2br w:val="nil"/>
                    <w:tr2bl w:val="nil"/>
                  </w:tcBorders>
                  <w:vAlign w:val="center"/>
                </w:tcPr>
                <w:p w14:paraId="4EF5AAE2">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66.4</w:t>
                  </w:r>
                </w:p>
              </w:tc>
              <w:tc>
                <w:tcPr>
                  <w:tcW w:w="993" w:type="pct"/>
                  <w:tcBorders>
                    <w:tl2br w:val="nil"/>
                    <w:tr2bl w:val="nil"/>
                  </w:tcBorders>
                  <w:vAlign w:val="center"/>
                </w:tcPr>
                <w:p w14:paraId="7C8FADF9">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pH值、化学需氧量、五日生化需氧量、悬浮物、氨氮、动植物油</w:t>
                  </w:r>
                </w:p>
              </w:tc>
              <w:tc>
                <w:tcPr>
                  <w:tcW w:w="722" w:type="pct"/>
                  <w:tcBorders>
                    <w:tl2br w:val="nil"/>
                    <w:tr2bl w:val="nil"/>
                  </w:tcBorders>
                  <w:vAlign w:val="center"/>
                </w:tcPr>
                <w:p w14:paraId="7D5965BE">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化粪池</w:t>
                  </w:r>
                </w:p>
              </w:tc>
              <w:tc>
                <w:tcPr>
                  <w:tcW w:w="914" w:type="pct"/>
                  <w:tcBorders>
                    <w:tl2br w:val="nil"/>
                    <w:tr2bl w:val="nil"/>
                  </w:tcBorders>
                  <w:vAlign w:val="center"/>
                </w:tcPr>
                <w:p w14:paraId="753D01A1">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沉淀</w:t>
                  </w:r>
                </w:p>
              </w:tc>
              <w:tc>
                <w:tcPr>
                  <w:tcW w:w="530" w:type="pct"/>
                  <w:vMerge w:val="continue"/>
                  <w:tcBorders>
                    <w:tl2br w:val="nil"/>
                    <w:tr2bl w:val="nil"/>
                  </w:tcBorders>
                  <w:vAlign w:val="center"/>
                </w:tcPr>
                <w:p w14:paraId="74574BFC">
                  <w:pPr>
                    <w:adjustRightInd w:val="0"/>
                    <w:snapToGrid w:val="0"/>
                    <w:spacing w:line="280" w:lineRule="exact"/>
                    <w:contextualSpacing/>
                    <w:jc w:val="center"/>
                    <w:textAlignment w:val="baseline"/>
                    <w:rPr>
                      <w:rFonts w:hint="default"/>
                      <w:color w:val="auto"/>
                      <w:sz w:val="18"/>
                      <w:szCs w:val="18"/>
                      <w:lang w:val="en-US" w:eastAsia="zh-CN"/>
                    </w:rPr>
                  </w:pPr>
                </w:p>
              </w:tc>
            </w:tr>
            <w:tr w14:paraId="233163C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c>
                <w:tcPr>
                  <w:tcW w:w="337" w:type="pct"/>
                  <w:tcBorders>
                    <w:tl2br w:val="nil"/>
                    <w:tr2bl w:val="nil"/>
                  </w:tcBorders>
                  <w:vAlign w:val="center"/>
                </w:tcPr>
                <w:p w14:paraId="37EDF683">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4</w:t>
                  </w:r>
                </w:p>
              </w:tc>
              <w:tc>
                <w:tcPr>
                  <w:tcW w:w="529" w:type="pct"/>
                  <w:tcBorders>
                    <w:tl2br w:val="nil"/>
                    <w:tr2bl w:val="nil"/>
                  </w:tcBorders>
                  <w:vAlign w:val="center"/>
                </w:tcPr>
                <w:p w14:paraId="0906DAC0">
                  <w:pPr>
                    <w:adjustRightInd w:val="0"/>
                    <w:snapToGrid w:val="0"/>
                    <w:spacing w:line="280" w:lineRule="exact"/>
                    <w:contextualSpacing/>
                    <w:jc w:val="center"/>
                    <w:textAlignment w:val="baseline"/>
                    <w:rPr>
                      <w:rFonts w:hint="eastAsia"/>
                      <w:color w:val="auto"/>
                      <w:sz w:val="18"/>
                      <w:szCs w:val="18"/>
                      <w:lang w:val="en-US" w:eastAsia="zh-CN"/>
                    </w:rPr>
                  </w:pPr>
                  <w:r>
                    <w:rPr>
                      <w:rFonts w:hint="eastAsia"/>
                      <w:color w:val="auto"/>
                      <w:sz w:val="18"/>
                      <w:szCs w:val="18"/>
                      <w:lang w:val="en-US" w:eastAsia="zh-CN"/>
                    </w:rPr>
                    <w:t>食堂</w:t>
                  </w:r>
                </w:p>
                <w:p w14:paraId="53D100B0">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污水</w:t>
                  </w:r>
                </w:p>
              </w:tc>
              <w:tc>
                <w:tcPr>
                  <w:tcW w:w="625" w:type="pct"/>
                  <w:tcBorders>
                    <w:tl2br w:val="nil"/>
                    <w:tr2bl w:val="nil"/>
                  </w:tcBorders>
                  <w:vAlign w:val="center"/>
                </w:tcPr>
                <w:p w14:paraId="2828BF54">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食堂</w:t>
                  </w:r>
                </w:p>
              </w:tc>
              <w:tc>
                <w:tcPr>
                  <w:tcW w:w="346" w:type="pct"/>
                  <w:tcBorders>
                    <w:tl2br w:val="nil"/>
                    <w:tr2bl w:val="nil"/>
                  </w:tcBorders>
                  <w:vAlign w:val="center"/>
                </w:tcPr>
                <w:p w14:paraId="0CA726B9">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4.0</w:t>
                  </w:r>
                </w:p>
              </w:tc>
              <w:tc>
                <w:tcPr>
                  <w:tcW w:w="993" w:type="pct"/>
                  <w:tcBorders>
                    <w:tl2br w:val="nil"/>
                    <w:tr2bl w:val="nil"/>
                  </w:tcBorders>
                  <w:vAlign w:val="center"/>
                </w:tcPr>
                <w:p w14:paraId="02AA2B92">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pH值、化学需氧量、五日生化需氧量、悬浮物、氨氮、动植物油</w:t>
                  </w:r>
                </w:p>
              </w:tc>
              <w:tc>
                <w:tcPr>
                  <w:tcW w:w="722" w:type="pct"/>
                  <w:tcBorders>
                    <w:tl2br w:val="nil"/>
                    <w:tr2bl w:val="nil"/>
                  </w:tcBorders>
                  <w:vAlign w:val="center"/>
                </w:tcPr>
                <w:p w14:paraId="30D3F037">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隔油池+化粪池</w:t>
                  </w:r>
                </w:p>
              </w:tc>
              <w:tc>
                <w:tcPr>
                  <w:tcW w:w="914" w:type="pct"/>
                  <w:tcBorders>
                    <w:tl2br w:val="nil"/>
                    <w:tr2bl w:val="nil"/>
                  </w:tcBorders>
                  <w:vAlign w:val="center"/>
                </w:tcPr>
                <w:p w14:paraId="201827AE">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隔油、沉淀</w:t>
                  </w:r>
                </w:p>
              </w:tc>
              <w:tc>
                <w:tcPr>
                  <w:tcW w:w="530" w:type="pct"/>
                  <w:vMerge w:val="continue"/>
                  <w:tcBorders>
                    <w:tl2br w:val="nil"/>
                    <w:tr2bl w:val="nil"/>
                  </w:tcBorders>
                  <w:vAlign w:val="center"/>
                </w:tcPr>
                <w:p w14:paraId="712D04BD">
                  <w:pPr>
                    <w:adjustRightInd w:val="0"/>
                    <w:snapToGrid w:val="0"/>
                    <w:spacing w:line="280" w:lineRule="exact"/>
                    <w:contextualSpacing/>
                    <w:jc w:val="center"/>
                    <w:textAlignment w:val="baseline"/>
                    <w:rPr>
                      <w:rFonts w:hint="default"/>
                      <w:color w:val="auto"/>
                      <w:sz w:val="18"/>
                      <w:szCs w:val="18"/>
                      <w:lang w:val="en-US" w:eastAsia="zh-CN"/>
                    </w:rPr>
                  </w:pPr>
                </w:p>
              </w:tc>
            </w:tr>
            <w:tr w14:paraId="335B482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37" w:type="pct"/>
                  <w:tcBorders>
                    <w:tl2br w:val="nil"/>
                    <w:tr2bl w:val="nil"/>
                  </w:tcBorders>
                  <w:vAlign w:val="center"/>
                </w:tcPr>
                <w:p w14:paraId="0AA3833F">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5</w:t>
                  </w:r>
                </w:p>
              </w:tc>
              <w:tc>
                <w:tcPr>
                  <w:tcW w:w="529" w:type="pct"/>
                  <w:tcBorders>
                    <w:tl2br w:val="nil"/>
                    <w:tr2bl w:val="nil"/>
                  </w:tcBorders>
                  <w:shd w:val="clear" w:color="auto" w:fill="auto"/>
                  <w:vAlign w:val="center"/>
                </w:tcPr>
                <w:p w14:paraId="0ACB0FFA">
                  <w:pPr>
                    <w:adjustRightInd w:val="0"/>
                    <w:snapToGrid w:val="0"/>
                    <w:spacing w:line="280" w:lineRule="exact"/>
                    <w:contextualSpacing/>
                    <w:jc w:val="center"/>
                    <w:textAlignment w:val="baseline"/>
                    <w:rPr>
                      <w:rFonts w:hint="eastAsia"/>
                      <w:color w:val="auto"/>
                      <w:sz w:val="18"/>
                      <w:szCs w:val="18"/>
                      <w:lang w:val="en-US" w:eastAsia="zh-CN"/>
                    </w:rPr>
                  </w:pPr>
                  <w:r>
                    <w:rPr>
                      <w:rFonts w:hint="eastAsia"/>
                      <w:color w:val="auto"/>
                      <w:sz w:val="18"/>
                      <w:szCs w:val="18"/>
                      <w:lang w:val="en-US" w:eastAsia="zh-CN"/>
                    </w:rPr>
                    <w:t>其他</w:t>
                  </w:r>
                </w:p>
                <w:p w14:paraId="4D336594">
                  <w:pPr>
                    <w:adjustRightInd w:val="0"/>
                    <w:snapToGrid w:val="0"/>
                    <w:spacing w:line="280" w:lineRule="exact"/>
                    <w:contextualSpacing/>
                    <w:jc w:val="center"/>
                    <w:textAlignment w:val="baseline"/>
                    <w:rPr>
                      <w:rFonts w:hint="default"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废水</w:t>
                  </w:r>
                </w:p>
              </w:tc>
              <w:tc>
                <w:tcPr>
                  <w:tcW w:w="625" w:type="pct"/>
                  <w:tcBorders>
                    <w:tl2br w:val="nil"/>
                    <w:tr2bl w:val="nil"/>
                  </w:tcBorders>
                  <w:shd w:val="clear" w:color="auto" w:fill="auto"/>
                  <w:vAlign w:val="center"/>
                </w:tcPr>
                <w:p w14:paraId="3DF51B90">
                  <w:pPr>
                    <w:adjustRightInd w:val="0"/>
                    <w:snapToGrid w:val="0"/>
                    <w:spacing w:line="280" w:lineRule="exact"/>
                    <w:contextualSpacing/>
                    <w:jc w:val="center"/>
                    <w:textAlignment w:val="baseline"/>
                    <w:rPr>
                      <w:rFonts w:hint="default"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地面清洁废水</w:t>
                  </w:r>
                </w:p>
              </w:tc>
              <w:tc>
                <w:tcPr>
                  <w:tcW w:w="346" w:type="pct"/>
                  <w:tcBorders>
                    <w:tl2br w:val="nil"/>
                    <w:tr2bl w:val="nil"/>
                  </w:tcBorders>
                  <w:vAlign w:val="center"/>
                </w:tcPr>
                <w:p w14:paraId="1BB9685A">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9.11</w:t>
                  </w:r>
                </w:p>
              </w:tc>
              <w:tc>
                <w:tcPr>
                  <w:tcW w:w="993" w:type="pct"/>
                  <w:tcBorders>
                    <w:tl2br w:val="nil"/>
                    <w:tr2bl w:val="nil"/>
                  </w:tcBorders>
                  <w:vAlign w:val="center"/>
                </w:tcPr>
                <w:p w14:paraId="08B3E4E8">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pH值、化学需氧量、五日生化需氧量、悬浮物、氨氮</w:t>
                  </w:r>
                </w:p>
              </w:tc>
              <w:tc>
                <w:tcPr>
                  <w:tcW w:w="722" w:type="pct"/>
                  <w:tcBorders>
                    <w:tl2br w:val="nil"/>
                    <w:tr2bl w:val="nil"/>
                  </w:tcBorders>
                  <w:vAlign w:val="center"/>
                </w:tcPr>
                <w:p w14:paraId="3CB34756">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化粪池</w:t>
                  </w:r>
                </w:p>
              </w:tc>
              <w:tc>
                <w:tcPr>
                  <w:tcW w:w="914" w:type="pct"/>
                  <w:tcBorders>
                    <w:tl2br w:val="nil"/>
                    <w:tr2bl w:val="nil"/>
                  </w:tcBorders>
                  <w:vAlign w:val="center"/>
                </w:tcPr>
                <w:p w14:paraId="3953304A">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沉淀</w:t>
                  </w:r>
                </w:p>
              </w:tc>
              <w:tc>
                <w:tcPr>
                  <w:tcW w:w="530" w:type="pct"/>
                  <w:vMerge w:val="continue"/>
                  <w:tcBorders>
                    <w:tl2br w:val="nil"/>
                    <w:tr2bl w:val="nil"/>
                  </w:tcBorders>
                  <w:vAlign w:val="center"/>
                </w:tcPr>
                <w:p w14:paraId="1F916976">
                  <w:pPr>
                    <w:adjustRightInd w:val="0"/>
                    <w:snapToGrid w:val="0"/>
                    <w:spacing w:line="280" w:lineRule="exact"/>
                    <w:contextualSpacing/>
                    <w:jc w:val="center"/>
                    <w:textAlignment w:val="baseline"/>
                    <w:rPr>
                      <w:rFonts w:hint="default"/>
                      <w:color w:val="auto"/>
                      <w:sz w:val="18"/>
                      <w:szCs w:val="18"/>
                      <w:lang w:val="en-US" w:eastAsia="zh-CN"/>
                    </w:rPr>
                  </w:pPr>
                </w:p>
              </w:tc>
            </w:tr>
          </w:tbl>
          <w:p w14:paraId="2E38BE37">
            <w:pPr>
              <w:widowControl/>
              <w:spacing w:line="360" w:lineRule="auto"/>
              <w:ind w:firstLine="420" w:firstLineChars="200"/>
              <w:rPr>
                <w:rFonts w:hint="eastAsia"/>
                <w:color w:val="auto"/>
                <w:szCs w:val="21"/>
              </w:rPr>
            </w:pPr>
            <w:r>
              <w:rPr>
                <w:rFonts w:hint="eastAsia"/>
                <w:color w:val="auto"/>
                <w:szCs w:val="21"/>
              </w:rPr>
              <w:t>由上分析可知，项目无废水直接外排</w:t>
            </w:r>
            <w:r>
              <w:rPr>
                <w:rFonts w:hint="eastAsia"/>
                <w:color w:val="auto"/>
                <w:szCs w:val="21"/>
                <w:lang w:val="en-US" w:eastAsia="zh-CN"/>
              </w:rPr>
              <w:t>地表水环境</w:t>
            </w:r>
            <w:r>
              <w:rPr>
                <w:rFonts w:hint="eastAsia"/>
                <w:color w:val="auto"/>
                <w:szCs w:val="21"/>
              </w:rPr>
              <w:t>，对地表水环境影响</w:t>
            </w:r>
            <w:r>
              <w:rPr>
                <w:rFonts w:hint="eastAsia"/>
                <w:color w:val="auto"/>
                <w:szCs w:val="21"/>
                <w:lang w:val="en-US" w:eastAsia="zh-CN"/>
              </w:rPr>
              <w:t>较</w:t>
            </w:r>
            <w:r>
              <w:rPr>
                <w:rFonts w:hint="eastAsia"/>
                <w:color w:val="auto"/>
                <w:szCs w:val="21"/>
              </w:rPr>
              <w:t>小。</w:t>
            </w:r>
          </w:p>
          <w:p w14:paraId="1208664C">
            <w:pPr>
              <w:widowControl/>
              <w:spacing w:line="360" w:lineRule="auto"/>
              <w:ind w:firstLine="420" w:firstLineChars="200"/>
              <w:rPr>
                <w:rFonts w:hint="eastAsia"/>
                <w:color w:val="auto"/>
                <w:szCs w:val="21"/>
                <w:lang w:val="en-US" w:eastAsia="zh-CN"/>
              </w:rPr>
            </w:pPr>
            <w:r>
              <w:rPr>
                <w:rFonts w:hint="eastAsia"/>
                <w:color w:val="auto"/>
                <w:szCs w:val="21"/>
                <w:lang w:eastAsia="zh-CN"/>
              </w:rPr>
              <w:t>（</w:t>
            </w:r>
            <w:r>
              <w:rPr>
                <w:rFonts w:hint="eastAsia"/>
                <w:color w:val="auto"/>
                <w:szCs w:val="21"/>
                <w:lang w:val="en-US" w:eastAsia="zh-CN"/>
              </w:rPr>
              <w:t>2</w:t>
            </w:r>
            <w:r>
              <w:rPr>
                <w:rFonts w:hint="eastAsia"/>
                <w:color w:val="auto"/>
                <w:szCs w:val="21"/>
                <w:lang w:eastAsia="zh-CN"/>
              </w:rPr>
              <w:t>）</w:t>
            </w:r>
            <w:r>
              <w:rPr>
                <w:rFonts w:hint="eastAsia"/>
                <w:color w:val="auto"/>
                <w:szCs w:val="21"/>
                <w:lang w:val="en-US" w:eastAsia="zh-CN"/>
              </w:rPr>
              <w:t>项目废水污染物产生情况</w:t>
            </w:r>
          </w:p>
          <w:p w14:paraId="2BC5EC3E">
            <w:pPr>
              <w:widowControl/>
              <w:spacing w:line="360" w:lineRule="auto"/>
              <w:ind w:firstLine="420" w:firstLineChars="200"/>
              <w:rPr>
                <w:rFonts w:hint="eastAsia"/>
                <w:color w:val="auto"/>
                <w:szCs w:val="21"/>
              </w:rPr>
            </w:pPr>
            <w:r>
              <w:rPr>
                <w:rFonts w:hint="eastAsia"/>
                <w:color w:val="auto"/>
                <w:szCs w:val="21"/>
                <w:lang w:val="en-US" w:eastAsia="zh-CN"/>
              </w:rPr>
              <w:t>参考《医院污水处理技术指南》（环发</w:t>
            </w:r>
            <w:r>
              <w:rPr>
                <w:rFonts w:hint="default"/>
                <w:color w:val="auto"/>
                <w:szCs w:val="21"/>
                <w:lang w:val="en-US" w:eastAsia="zh-CN"/>
              </w:rPr>
              <w:t xml:space="preserve">[2003]197 </w:t>
            </w:r>
            <w:r>
              <w:rPr>
                <w:rFonts w:hint="eastAsia"/>
                <w:color w:val="auto"/>
                <w:szCs w:val="21"/>
                <w:lang w:val="en-US" w:eastAsia="zh-CN"/>
              </w:rPr>
              <w:t xml:space="preserve">号）数据，类比同类项目，项目废水中主要污染物产生量和产生浓度见表 </w:t>
            </w:r>
            <w:r>
              <w:rPr>
                <w:rFonts w:hint="default"/>
                <w:color w:val="auto"/>
                <w:szCs w:val="21"/>
                <w:lang w:val="en-US" w:eastAsia="zh-CN"/>
              </w:rPr>
              <w:t>4-</w:t>
            </w:r>
            <w:r>
              <w:rPr>
                <w:rFonts w:hint="eastAsia"/>
                <w:color w:val="auto"/>
                <w:szCs w:val="21"/>
                <w:lang w:val="en-US" w:eastAsia="zh-CN"/>
              </w:rPr>
              <w:t>5。</w:t>
            </w:r>
          </w:p>
          <w:p w14:paraId="169D699F">
            <w:pPr>
              <w:snapToGrid w:val="0"/>
              <w:spacing w:line="240" w:lineRule="exact"/>
              <w:ind w:firstLine="361" w:firstLineChars="200"/>
              <w:jc w:val="center"/>
              <w:rPr>
                <w:b/>
                <w:bCs/>
                <w:color w:val="auto"/>
                <w:sz w:val="18"/>
                <w:szCs w:val="18"/>
              </w:rPr>
            </w:pPr>
            <w:r>
              <w:rPr>
                <w:b/>
                <w:bCs/>
                <w:color w:val="auto"/>
                <w:sz w:val="18"/>
                <w:szCs w:val="18"/>
              </w:rPr>
              <w:t>表</w:t>
            </w:r>
            <w:r>
              <w:rPr>
                <w:rFonts w:hint="eastAsia"/>
                <w:b/>
                <w:bCs/>
                <w:color w:val="auto"/>
                <w:sz w:val="18"/>
                <w:szCs w:val="18"/>
              </w:rPr>
              <w:t>4-</w:t>
            </w:r>
            <w:r>
              <w:rPr>
                <w:rFonts w:hint="eastAsia"/>
                <w:b/>
                <w:bCs/>
                <w:color w:val="auto"/>
                <w:sz w:val="18"/>
                <w:szCs w:val="18"/>
                <w:lang w:val="en-US" w:eastAsia="zh-CN"/>
              </w:rPr>
              <w:t xml:space="preserve">5 </w:t>
            </w:r>
            <w:r>
              <w:rPr>
                <w:b/>
                <w:bCs/>
                <w:color w:val="auto"/>
                <w:sz w:val="18"/>
                <w:szCs w:val="18"/>
              </w:rPr>
              <w:t xml:space="preserve">   </w:t>
            </w:r>
            <w:r>
              <w:rPr>
                <w:rFonts w:hint="eastAsia"/>
                <w:b/>
                <w:bCs/>
                <w:color w:val="auto"/>
                <w:sz w:val="18"/>
                <w:szCs w:val="18"/>
                <w:lang w:val="en-US" w:eastAsia="zh-CN"/>
              </w:rPr>
              <w:t>废水中主要污染物产生量及产生浓度一览</w:t>
            </w:r>
            <w:r>
              <w:rPr>
                <w:b/>
                <w:bCs/>
                <w:color w:val="auto"/>
                <w:sz w:val="18"/>
                <w:szCs w:val="18"/>
              </w:rPr>
              <w:t>表</w:t>
            </w:r>
          </w:p>
          <w:tbl>
            <w:tblPr>
              <w:tblStyle w:val="48"/>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91"/>
              <w:gridCol w:w="610"/>
              <w:gridCol w:w="711"/>
              <w:gridCol w:w="610"/>
              <w:gridCol w:w="627"/>
              <w:gridCol w:w="611"/>
              <w:gridCol w:w="627"/>
              <w:gridCol w:w="611"/>
              <w:gridCol w:w="627"/>
              <w:gridCol w:w="860"/>
              <w:gridCol w:w="611"/>
              <w:gridCol w:w="627"/>
            </w:tblGrid>
            <w:tr w14:paraId="564F3E2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04" w:type="pct"/>
                  <w:vMerge w:val="restart"/>
                  <w:tcBorders>
                    <w:tl2br w:val="nil"/>
                    <w:tr2bl w:val="nil"/>
                  </w:tcBorders>
                  <w:vAlign w:val="center"/>
                </w:tcPr>
                <w:p w14:paraId="4BAE484F">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废水量m</w:t>
                  </w:r>
                  <w:r>
                    <w:rPr>
                      <w:rFonts w:hint="eastAsia"/>
                      <w:color w:val="auto"/>
                      <w:sz w:val="18"/>
                      <w:szCs w:val="18"/>
                      <w:vertAlign w:val="superscript"/>
                      <w:lang w:val="en-US" w:eastAsia="zh-CN"/>
                    </w:rPr>
                    <w:t>3</w:t>
                  </w:r>
                  <w:r>
                    <w:rPr>
                      <w:rFonts w:hint="eastAsia"/>
                      <w:color w:val="auto"/>
                      <w:sz w:val="18"/>
                      <w:szCs w:val="18"/>
                      <w:lang w:val="en-US" w:eastAsia="zh-CN"/>
                    </w:rPr>
                    <w:t>/a</w:t>
                  </w:r>
                </w:p>
              </w:tc>
              <w:tc>
                <w:tcPr>
                  <w:tcW w:w="833" w:type="pct"/>
                  <w:gridSpan w:val="2"/>
                  <w:tcBorders>
                    <w:tl2br w:val="nil"/>
                    <w:tr2bl w:val="nil"/>
                  </w:tcBorders>
                  <w:vAlign w:val="center"/>
                </w:tcPr>
                <w:p w14:paraId="08252417">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COD</w:t>
                  </w:r>
                  <w:r>
                    <w:rPr>
                      <w:rFonts w:hint="eastAsia"/>
                      <w:color w:val="auto"/>
                      <w:sz w:val="18"/>
                      <w:szCs w:val="18"/>
                      <w:vertAlign w:val="subscript"/>
                      <w:lang w:val="en-US" w:eastAsia="zh-CN"/>
                    </w:rPr>
                    <w:t>cr</w:t>
                  </w:r>
                </w:p>
              </w:tc>
              <w:tc>
                <w:tcPr>
                  <w:tcW w:w="780" w:type="pct"/>
                  <w:gridSpan w:val="2"/>
                  <w:tcBorders>
                    <w:tl2br w:val="nil"/>
                    <w:tr2bl w:val="nil"/>
                  </w:tcBorders>
                  <w:vAlign w:val="center"/>
                </w:tcPr>
                <w:p w14:paraId="2485F57E">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BOD</w:t>
                  </w:r>
                  <w:r>
                    <w:rPr>
                      <w:rFonts w:hint="eastAsia"/>
                      <w:color w:val="auto"/>
                      <w:sz w:val="18"/>
                      <w:szCs w:val="18"/>
                      <w:vertAlign w:val="subscript"/>
                      <w:lang w:val="en-US" w:eastAsia="zh-CN"/>
                    </w:rPr>
                    <w:t>5</w:t>
                  </w:r>
                </w:p>
              </w:tc>
              <w:tc>
                <w:tcPr>
                  <w:tcW w:w="780" w:type="pct"/>
                  <w:gridSpan w:val="2"/>
                  <w:tcBorders>
                    <w:tl2br w:val="nil"/>
                    <w:tr2bl w:val="nil"/>
                  </w:tcBorders>
                  <w:vAlign w:val="center"/>
                </w:tcPr>
                <w:p w14:paraId="78D6801B">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SS</w:t>
                  </w:r>
                </w:p>
              </w:tc>
              <w:tc>
                <w:tcPr>
                  <w:tcW w:w="780" w:type="pct"/>
                  <w:gridSpan w:val="2"/>
                  <w:tcBorders>
                    <w:tl2br w:val="nil"/>
                    <w:tr2bl w:val="nil"/>
                  </w:tcBorders>
                  <w:vAlign w:val="center"/>
                </w:tcPr>
                <w:p w14:paraId="75265BC2">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氨氮</w:t>
                  </w:r>
                </w:p>
              </w:tc>
              <w:tc>
                <w:tcPr>
                  <w:tcW w:w="540" w:type="pct"/>
                  <w:tcBorders>
                    <w:tl2br w:val="nil"/>
                    <w:tr2bl w:val="nil"/>
                  </w:tcBorders>
                  <w:vAlign w:val="center"/>
                </w:tcPr>
                <w:p w14:paraId="3887165C">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粪大肠杆菌</w:t>
                  </w:r>
                </w:p>
              </w:tc>
              <w:tc>
                <w:tcPr>
                  <w:tcW w:w="780" w:type="pct"/>
                  <w:gridSpan w:val="2"/>
                  <w:tcBorders>
                    <w:tl2br w:val="nil"/>
                    <w:tr2bl w:val="nil"/>
                  </w:tcBorders>
                  <w:vAlign w:val="center"/>
                </w:tcPr>
                <w:p w14:paraId="73D4EC5A">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动植物油</w:t>
                  </w:r>
                </w:p>
              </w:tc>
            </w:tr>
            <w:tr w14:paraId="5A06DD6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04" w:type="pct"/>
                  <w:vMerge w:val="continue"/>
                  <w:tcBorders>
                    <w:tl2br w:val="nil"/>
                    <w:tr2bl w:val="nil"/>
                  </w:tcBorders>
                  <w:vAlign w:val="center"/>
                </w:tcPr>
                <w:p w14:paraId="0FC163A1">
                  <w:pPr>
                    <w:adjustRightInd w:val="0"/>
                    <w:snapToGrid w:val="0"/>
                    <w:spacing w:line="280" w:lineRule="exact"/>
                    <w:contextualSpacing/>
                    <w:jc w:val="center"/>
                    <w:textAlignment w:val="baseline"/>
                    <w:rPr>
                      <w:rFonts w:hint="default"/>
                      <w:color w:val="auto"/>
                      <w:sz w:val="18"/>
                      <w:szCs w:val="18"/>
                      <w:lang w:val="en-US" w:eastAsia="zh-CN"/>
                    </w:rPr>
                  </w:pPr>
                </w:p>
              </w:tc>
              <w:tc>
                <w:tcPr>
                  <w:tcW w:w="385" w:type="pct"/>
                  <w:tcBorders>
                    <w:tl2br w:val="nil"/>
                    <w:tr2bl w:val="nil"/>
                  </w:tcBorders>
                  <w:vAlign w:val="center"/>
                </w:tcPr>
                <w:p w14:paraId="5D1FE024">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浓度mg/L</w:t>
                  </w:r>
                </w:p>
              </w:tc>
              <w:tc>
                <w:tcPr>
                  <w:tcW w:w="448" w:type="pct"/>
                  <w:tcBorders>
                    <w:tl2br w:val="nil"/>
                    <w:tr2bl w:val="nil"/>
                  </w:tcBorders>
                  <w:vAlign w:val="center"/>
                </w:tcPr>
                <w:p w14:paraId="71ECF190">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产生量t/a</w:t>
                  </w:r>
                </w:p>
              </w:tc>
              <w:tc>
                <w:tcPr>
                  <w:tcW w:w="385" w:type="pct"/>
                  <w:tcBorders>
                    <w:tl2br w:val="nil"/>
                    <w:tr2bl w:val="nil"/>
                  </w:tcBorders>
                  <w:vAlign w:val="center"/>
                </w:tcPr>
                <w:p w14:paraId="596F8AD5">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浓度mg/L</w:t>
                  </w:r>
                </w:p>
              </w:tc>
              <w:tc>
                <w:tcPr>
                  <w:tcW w:w="394" w:type="pct"/>
                  <w:tcBorders>
                    <w:tl2br w:val="nil"/>
                    <w:tr2bl w:val="nil"/>
                  </w:tcBorders>
                  <w:vAlign w:val="center"/>
                </w:tcPr>
                <w:p w14:paraId="24C1F402">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产生量t/a</w:t>
                  </w:r>
                </w:p>
              </w:tc>
              <w:tc>
                <w:tcPr>
                  <w:tcW w:w="385" w:type="pct"/>
                  <w:tcBorders>
                    <w:tl2br w:val="nil"/>
                    <w:tr2bl w:val="nil"/>
                  </w:tcBorders>
                  <w:vAlign w:val="center"/>
                </w:tcPr>
                <w:p w14:paraId="7D6BFEE6">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浓度mg/L</w:t>
                  </w:r>
                </w:p>
              </w:tc>
              <w:tc>
                <w:tcPr>
                  <w:tcW w:w="394" w:type="pct"/>
                  <w:tcBorders>
                    <w:tl2br w:val="nil"/>
                    <w:tr2bl w:val="nil"/>
                  </w:tcBorders>
                  <w:vAlign w:val="center"/>
                </w:tcPr>
                <w:p w14:paraId="32CBE822">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产生量t/a</w:t>
                  </w:r>
                </w:p>
              </w:tc>
              <w:tc>
                <w:tcPr>
                  <w:tcW w:w="385" w:type="pct"/>
                  <w:tcBorders>
                    <w:tl2br w:val="nil"/>
                    <w:tr2bl w:val="nil"/>
                  </w:tcBorders>
                  <w:vAlign w:val="center"/>
                </w:tcPr>
                <w:p w14:paraId="086BACAB">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浓度mg/L</w:t>
                  </w:r>
                </w:p>
              </w:tc>
              <w:tc>
                <w:tcPr>
                  <w:tcW w:w="394" w:type="pct"/>
                  <w:tcBorders>
                    <w:tl2br w:val="nil"/>
                    <w:tr2bl w:val="nil"/>
                  </w:tcBorders>
                  <w:vAlign w:val="center"/>
                </w:tcPr>
                <w:p w14:paraId="2A963427">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产生量t/a</w:t>
                  </w:r>
                </w:p>
              </w:tc>
              <w:tc>
                <w:tcPr>
                  <w:tcW w:w="540" w:type="pct"/>
                  <w:tcBorders>
                    <w:tl2br w:val="nil"/>
                    <w:tr2bl w:val="nil"/>
                  </w:tcBorders>
                  <w:vAlign w:val="center"/>
                </w:tcPr>
                <w:p w14:paraId="30467362">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个/L</w:t>
                  </w:r>
                </w:p>
              </w:tc>
              <w:tc>
                <w:tcPr>
                  <w:tcW w:w="385" w:type="pct"/>
                  <w:tcBorders>
                    <w:tl2br w:val="nil"/>
                    <w:tr2bl w:val="nil"/>
                  </w:tcBorders>
                  <w:vAlign w:val="center"/>
                </w:tcPr>
                <w:p w14:paraId="35F188E7">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浓度mg/L</w:t>
                  </w:r>
                </w:p>
              </w:tc>
              <w:tc>
                <w:tcPr>
                  <w:tcW w:w="394" w:type="pct"/>
                  <w:tcBorders>
                    <w:tl2br w:val="nil"/>
                    <w:tr2bl w:val="nil"/>
                  </w:tcBorders>
                  <w:vAlign w:val="center"/>
                </w:tcPr>
                <w:p w14:paraId="602620B8">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产生量t/a</w:t>
                  </w:r>
                </w:p>
              </w:tc>
            </w:tr>
            <w:tr w14:paraId="3E4047E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34" w:hRule="atLeast"/>
              </w:trPr>
              <w:tc>
                <w:tcPr>
                  <w:tcW w:w="504" w:type="pct"/>
                  <w:tcBorders>
                    <w:tl2br w:val="nil"/>
                    <w:tr2bl w:val="nil"/>
                  </w:tcBorders>
                  <w:vAlign w:val="center"/>
                </w:tcPr>
                <w:p w14:paraId="08A3A2DA">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64012.04</w:t>
                  </w:r>
                </w:p>
              </w:tc>
              <w:tc>
                <w:tcPr>
                  <w:tcW w:w="385" w:type="pct"/>
                  <w:tcBorders>
                    <w:tl2br w:val="nil"/>
                    <w:tr2bl w:val="nil"/>
                  </w:tcBorders>
                  <w:vAlign w:val="center"/>
                </w:tcPr>
                <w:p w14:paraId="4FF76302">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300</w:t>
                  </w:r>
                </w:p>
              </w:tc>
              <w:tc>
                <w:tcPr>
                  <w:tcW w:w="448" w:type="pct"/>
                  <w:tcBorders>
                    <w:tl2br w:val="nil"/>
                    <w:tr2bl w:val="nil"/>
                  </w:tcBorders>
                  <w:vAlign w:val="center"/>
                </w:tcPr>
                <w:p w14:paraId="7301EB26">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19.204</w:t>
                  </w:r>
                </w:p>
              </w:tc>
              <w:tc>
                <w:tcPr>
                  <w:tcW w:w="385" w:type="pct"/>
                  <w:tcBorders>
                    <w:tl2br w:val="nil"/>
                    <w:tr2bl w:val="nil"/>
                  </w:tcBorders>
                  <w:vAlign w:val="center"/>
                </w:tcPr>
                <w:p w14:paraId="79758631">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150</w:t>
                  </w:r>
                </w:p>
              </w:tc>
              <w:tc>
                <w:tcPr>
                  <w:tcW w:w="394" w:type="pct"/>
                  <w:tcBorders>
                    <w:tl2br w:val="nil"/>
                    <w:tr2bl w:val="nil"/>
                  </w:tcBorders>
                  <w:vAlign w:val="center"/>
                </w:tcPr>
                <w:p w14:paraId="472561D2">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9.602</w:t>
                  </w:r>
                </w:p>
              </w:tc>
              <w:tc>
                <w:tcPr>
                  <w:tcW w:w="385" w:type="pct"/>
                  <w:tcBorders>
                    <w:tl2br w:val="nil"/>
                    <w:tr2bl w:val="nil"/>
                  </w:tcBorders>
                  <w:vAlign w:val="center"/>
                </w:tcPr>
                <w:p w14:paraId="7285DEE5">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120</w:t>
                  </w:r>
                </w:p>
              </w:tc>
              <w:tc>
                <w:tcPr>
                  <w:tcW w:w="394" w:type="pct"/>
                  <w:tcBorders>
                    <w:tl2br w:val="nil"/>
                    <w:tr2bl w:val="nil"/>
                  </w:tcBorders>
                  <w:vAlign w:val="center"/>
                </w:tcPr>
                <w:p w14:paraId="1028C974">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7.681</w:t>
                  </w:r>
                </w:p>
              </w:tc>
              <w:tc>
                <w:tcPr>
                  <w:tcW w:w="385" w:type="pct"/>
                  <w:tcBorders>
                    <w:tl2br w:val="nil"/>
                    <w:tr2bl w:val="nil"/>
                  </w:tcBorders>
                  <w:vAlign w:val="center"/>
                </w:tcPr>
                <w:p w14:paraId="37B0B3A4">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50</w:t>
                  </w:r>
                </w:p>
              </w:tc>
              <w:tc>
                <w:tcPr>
                  <w:tcW w:w="394" w:type="pct"/>
                  <w:tcBorders>
                    <w:tl2br w:val="nil"/>
                    <w:tr2bl w:val="nil"/>
                  </w:tcBorders>
                  <w:vAlign w:val="center"/>
                </w:tcPr>
                <w:p w14:paraId="1E77D08D">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3.201</w:t>
                  </w:r>
                </w:p>
              </w:tc>
              <w:tc>
                <w:tcPr>
                  <w:tcW w:w="540" w:type="pct"/>
                  <w:tcBorders>
                    <w:tl2br w:val="nil"/>
                    <w:tr2bl w:val="nil"/>
                  </w:tcBorders>
                  <w:vAlign w:val="center"/>
                </w:tcPr>
                <w:p w14:paraId="6D7DFE10">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3.0×10</w:t>
                  </w:r>
                  <w:r>
                    <w:rPr>
                      <w:rFonts w:hint="eastAsia"/>
                      <w:color w:val="auto"/>
                      <w:sz w:val="18"/>
                      <w:szCs w:val="18"/>
                      <w:vertAlign w:val="superscript"/>
                      <w:lang w:val="en-US" w:eastAsia="zh-CN"/>
                    </w:rPr>
                    <w:t>8</w:t>
                  </w:r>
                </w:p>
              </w:tc>
              <w:tc>
                <w:tcPr>
                  <w:tcW w:w="385" w:type="pct"/>
                  <w:tcBorders>
                    <w:tl2br w:val="nil"/>
                    <w:tr2bl w:val="nil"/>
                  </w:tcBorders>
                  <w:vAlign w:val="center"/>
                </w:tcPr>
                <w:p w14:paraId="16053C97">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40</w:t>
                  </w:r>
                </w:p>
              </w:tc>
              <w:tc>
                <w:tcPr>
                  <w:tcW w:w="394" w:type="pct"/>
                  <w:tcBorders>
                    <w:tl2br w:val="nil"/>
                    <w:tr2bl w:val="nil"/>
                  </w:tcBorders>
                  <w:vAlign w:val="center"/>
                </w:tcPr>
                <w:p w14:paraId="5B459F20">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2.560</w:t>
                  </w:r>
                </w:p>
              </w:tc>
            </w:tr>
          </w:tbl>
          <w:p w14:paraId="632B2715">
            <w:pPr>
              <w:widowControl/>
              <w:spacing w:line="360" w:lineRule="auto"/>
              <w:ind w:firstLine="422" w:firstLineChars="200"/>
              <w:rPr>
                <w:rFonts w:hint="eastAsia"/>
                <w:b/>
                <w:bCs/>
                <w:color w:val="auto"/>
                <w:szCs w:val="21"/>
                <w:lang w:val="en-US" w:eastAsia="zh-CN"/>
              </w:rPr>
            </w:pPr>
            <w:r>
              <w:rPr>
                <w:rFonts w:hint="eastAsia"/>
                <w:b/>
                <w:bCs/>
                <w:color w:val="auto"/>
                <w:szCs w:val="21"/>
                <w:lang w:val="en-US" w:eastAsia="zh-CN"/>
              </w:rPr>
              <w:t>（</w:t>
            </w:r>
            <w:r>
              <w:rPr>
                <w:rFonts w:hint="default"/>
                <w:b/>
                <w:bCs/>
                <w:color w:val="auto"/>
                <w:szCs w:val="21"/>
                <w:lang w:val="en-US" w:eastAsia="zh-CN"/>
              </w:rPr>
              <w:t>3</w:t>
            </w:r>
            <w:r>
              <w:rPr>
                <w:rFonts w:hint="eastAsia"/>
                <w:b/>
                <w:bCs/>
                <w:color w:val="auto"/>
                <w:szCs w:val="21"/>
                <w:lang w:val="en-US" w:eastAsia="zh-CN"/>
              </w:rPr>
              <w:t xml:space="preserve">）污水处理措施 </w:t>
            </w:r>
          </w:p>
          <w:p w14:paraId="6C1B4C7C">
            <w:pPr>
              <w:widowControl/>
              <w:spacing w:line="360" w:lineRule="auto"/>
              <w:ind w:firstLine="420" w:firstLineChars="200"/>
              <w:rPr>
                <w:rFonts w:hint="eastAsia"/>
                <w:color w:val="auto"/>
                <w:szCs w:val="21"/>
                <w:lang w:val="en-US" w:eastAsia="zh-CN"/>
              </w:rPr>
            </w:pPr>
            <w:r>
              <w:rPr>
                <w:rFonts w:hint="eastAsia"/>
                <w:color w:val="auto"/>
                <w:szCs w:val="21"/>
                <w:lang w:val="en-US" w:eastAsia="zh-CN"/>
              </w:rPr>
              <w:t xml:space="preserve">为保证项目废水能够达标外排，环评提出以下措施： </w:t>
            </w:r>
          </w:p>
          <w:p w14:paraId="1B5B0793">
            <w:pPr>
              <w:widowControl/>
              <w:spacing w:line="360" w:lineRule="auto"/>
              <w:ind w:firstLine="420" w:firstLineChars="200"/>
              <w:rPr>
                <w:rFonts w:hint="eastAsia"/>
                <w:color w:val="auto"/>
                <w:szCs w:val="21"/>
                <w:lang w:val="en-US" w:eastAsia="zh-CN"/>
              </w:rPr>
            </w:pPr>
            <w:r>
              <w:rPr>
                <w:rFonts w:hint="eastAsia"/>
                <w:color w:val="auto"/>
                <w:szCs w:val="21"/>
                <w:lang w:val="en-US" w:eastAsia="zh-CN"/>
              </w:rPr>
              <w:t xml:space="preserve">①普通医疗废水、职工生活污水：门诊、病房、办公室等产生废水经管道排入化粪池，经化粪池处理后排入院区污水处理站； </w:t>
            </w:r>
          </w:p>
          <w:p w14:paraId="338BDB17">
            <w:pPr>
              <w:widowControl/>
              <w:spacing w:line="360" w:lineRule="auto"/>
              <w:ind w:firstLine="420" w:firstLineChars="200"/>
              <w:rPr>
                <w:rFonts w:hint="eastAsia"/>
                <w:color w:val="auto"/>
                <w:szCs w:val="21"/>
                <w:lang w:val="en-US" w:eastAsia="zh-CN"/>
              </w:rPr>
            </w:pPr>
            <w:r>
              <w:rPr>
                <w:rFonts w:hint="eastAsia"/>
                <w:color w:val="auto"/>
                <w:szCs w:val="21"/>
                <w:lang w:val="en-US" w:eastAsia="zh-CN"/>
              </w:rPr>
              <w:t xml:space="preserve">②特殊性质医疗废水：本项目放射科 </w:t>
            </w:r>
            <w:r>
              <w:rPr>
                <w:rFonts w:hint="default"/>
                <w:color w:val="auto"/>
                <w:szCs w:val="21"/>
                <w:lang w:val="en-US" w:eastAsia="zh-CN"/>
              </w:rPr>
              <w:t xml:space="preserve">X </w:t>
            </w:r>
            <w:r>
              <w:rPr>
                <w:rFonts w:hint="eastAsia"/>
                <w:color w:val="auto"/>
                <w:szCs w:val="21"/>
                <w:lang w:val="en-US" w:eastAsia="zh-CN"/>
              </w:rPr>
              <w:t>光片采用干式胶片，</w:t>
            </w:r>
            <w:r>
              <w:rPr>
                <w:rFonts w:hint="default"/>
                <w:color w:val="auto"/>
                <w:szCs w:val="21"/>
                <w:lang w:val="en-US" w:eastAsia="zh-CN"/>
              </w:rPr>
              <w:t xml:space="preserve">X </w:t>
            </w:r>
            <w:r>
              <w:rPr>
                <w:rFonts w:hint="eastAsia"/>
                <w:color w:val="auto"/>
                <w:szCs w:val="21"/>
                <w:lang w:val="en-US" w:eastAsia="zh-CN"/>
              </w:rPr>
              <w:t>光透视结果由干式数字胶片打印机直接打印成像，不需要进行传统的洗片、定影，没有洗印废水及废显影液；根据建设单位提供资料，项目采用外购的成品检测试剂，特殊性质医疗废水主要为酸性废水。根据《医院污水处理工程技术规范》（</w:t>
            </w:r>
            <w:r>
              <w:rPr>
                <w:rFonts w:hint="default"/>
                <w:color w:val="auto"/>
                <w:szCs w:val="21"/>
                <w:lang w:val="en-US" w:eastAsia="zh-CN"/>
              </w:rPr>
              <w:t>HJ2029-2013</w:t>
            </w:r>
            <w:r>
              <w:rPr>
                <w:rFonts w:hint="eastAsia"/>
                <w:color w:val="auto"/>
                <w:szCs w:val="21"/>
                <w:lang w:val="en-US" w:eastAsia="zh-CN"/>
              </w:rPr>
              <w:t xml:space="preserve">）要求，特殊性质的污水应单独收集，经预处理后与医院污水合并处理，不得将特殊性质污水随意排入下水道。 </w:t>
            </w:r>
          </w:p>
          <w:p w14:paraId="54240E09">
            <w:pPr>
              <w:widowControl/>
              <w:spacing w:line="360" w:lineRule="auto"/>
              <w:ind w:firstLine="420" w:firstLineChars="200"/>
              <w:rPr>
                <w:rFonts w:hint="eastAsia"/>
                <w:color w:val="auto"/>
                <w:szCs w:val="21"/>
                <w:lang w:val="en-US" w:eastAsia="zh-CN"/>
              </w:rPr>
            </w:pPr>
            <w:r>
              <w:rPr>
                <w:rFonts w:hint="eastAsia"/>
                <w:color w:val="auto"/>
                <w:szCs w:val="21"/>
                <w:lang w:val="en-US" w:eastAsia="zh-CN"/>
              </w:rPr>
              <w:t xml:space="preserve">特殊性质污水的预处理方法分别如下： </w:t>
            </w:r>
          </w:p>
          <w:p w14:paraId="2AA97F19">
            <w:pPr>
              <w:widowControl/>
              <w:spacing w:line="360" w:lineRule="auto"/>
              <w:ind w:firstLine="420" w:firstLineChars="200"/>
              <w:rPr>
                <w:rFonts w:hint="eastAsia"/>
                <w:color w:val="auto"/>
                <w:szCs w:val="21"/>
                <w:lang w:val="en-US" w:eastAsia="zh-CN"/>
              </w:rPr>
            </w:pPr>
            <w:r>
              <w:rPr>
                <w:rFonts w:hint="eastAsia"/>
                <w:color w:val="auto"/>
                <w:szCs w:val="21"/>
                <w:lang w:val="en-US" w:eastAsia="zh-CN"/>
              </w:rPr>
              <w:t xml:space="preserve">酸性废水：主要为医院检验或化学清洗剂时使用硝酸、硫酸、过氯酸等酸性物质而产生的污水；应采取中和法处理，中和剂可选用氢氧化钠、石灰等，中和至 </w:t>
            </w:r>
            <w:r>
              <w:rPr>
                <w:rFonts w:hint="default"/>
                <w:color w:val="auto"/>
                <w:szCs w:val="21"/>
                <w:lang w:val="en-US" w:eastAsia="zh-CN"/>
              </w:rPr>
              <w:t>pH7</w:t>
            </w:r>
            <w:r>
              <w:rPr>
                <w:rFonts w:hint="eastAsia"/>
                <w:color w:val="auto"/>
                <w:szCs w:val="21"/>
                <w:lang w:val="en-US" w:eastAsia="zh-CN"/>
              </w:rPr>
              <w:t>～</w:t>
            </w:r>
            <w:r>
              <w:rPr>
                <w:rFonts w:hint="default"/>
                <w:color w:val="auto"/>
                <w:szCs w:val="21"/>
                <w:lang w:val="en-US" w:eastAsia="zh-CN"/>
              </w:rPr>
              <w:t>8</w:t>
            </w:r>
            <w:r>
              <w:rPr>
                <w:rFonts w:hint="eastAsia"/>
                <w:color w:val="auto"/>
                <w:szCs w:val="21"/>
                <w:lang w:val="en-US" w:eastAsia="zh-CN"/>
              </w:rPr>
              <w:t xml:space="preserve">后排入医院废水处理系统； </w:t>
            </w:r>
          </w:p>
          <w:p w14:paraId="6F036173">
            <w:pPr>
              <w:widowControl/>
              <w:spacing w:line="360" w:lineRule="auto"/>
              <w:ind w:firstLine="420" w:firstLineChars="200"/>
              <w:rPr>
                <w:rFonts w:hint="eastAsia"/>
                <w:color w:val="auto"/>
                <w:szCs w:val="21"/>
                <w:lang w:val="en-US" w:eastAsia="zh-CN"/>
              </w:rPr>
            </w:pPr>
            <w:r>
              <w:rPr>
                <w:rFonts w:hint="eastAsia"/>
                <w:color w:val="auto"/>
                <w:szCs w:val="21"/>
                <w:lang w:val="en-US" w:eastAsia="zh-CN"/>
              </w:rPr>
              <w:t xml:space="preserve">采取以上预处理后，特殊性质医疗废水经管道排入院区污水处理站。 </w:t>
            </w:r>
          </w:p>
          <w:p w14:paraId="6710E371">
            <w:pPr>
              <w:widowControl/>
              <w:spacing w:line="360" w:lineRule="auto"/>
              <w:ind w:firstLine="420" w:firstLineChars="200"/>
              <w:rPr>
                <w:rFonts w:hint="eastAsia"/>
                <w:color w:val="auto"/>
                <w:szCs w:val="21"/>
                <w:lang w:val="en-US" w:eastAsia="zh-CN"/>
              </w:rPr>
            </w:pPr>
            <w:r>
              <w:rPr>
                <w:rFonts w:hint="eastAsia"/>
                <w:color w:val="auto"/>
                <w:szCs w:val="21"/>
                <w:lang w:val="en-US" w:eastAsia="zh-CN"/>
              </w:rPr>
              <w:t>③食堂废水：食堂设置隔油池，食堂废水经隔油处理后，排入化粪池，经处理后排入院区污水处理站。</w:t>
            </w:r>
          </w:p>
          <w:p w14:paraId="168FEF58">
            <w:pPr>
              <w:widowControl/>
              <w:spacing w:line="360" w:lineRule="auto"/>
              <w:ind w:firstLine="422" w:firstLineChars="200"/>
              <w:rPr>
                <w:rFonts w:hint="eastAsia"/>
                <w:b/>
                <w:bCs/>
                <w:color w:val="auto"/>
                <w:szCs w:val="21"/>
                <w:lang w:val="en-US" w:eastAsia="zh-CN"/>
              </w:rPr>
            </w:pPr>
            <w:r>
              <w:rPr>
                <w:rFonts w:hint="eastAsia"/>
                <w:b/>
                <w:bCs/>
                <w:color w:val="auto"/>
                <w:szCs w:val="21"/>
                <w:lang w:val="en-US" w:eastAsia="zh-CN"/>
              </w:rPr>
              <w:t>（</w:t>
            </w:r>
            <w:r>
              <w:rPr>
                <w:rFonts w:hint="default"/>
                <w:b/>
                <w:bCs/>
                <w:color w:val="auto"/>
                <w:szCs w:val="21"/>
                <w:lang w:val="en-US" w:eastAsia="zh-CN"/>
              </w:rPr>
              <w:t>4</w:t>
            </w:r>
            <w:r>
              <w:rPr>
                <w:rFonts w:hint="eastAsia"/>
                <w:b/>
                <w:bCs/>
                <w:color w:val="auto"/>
                <w:szCs w:val="21"/>
                <w:lang w:val="en-US" w:eastAsia="zh-CN"/>
              </w:rPr>
              <w:t xml:space="preserve">）污水处理站处理规模、工艺及废水去向 </w:t>
            </w:r>
          </w:p>
          <w:p w14:paraId="555015D6">
            <w:pPr>
              <w:widowControl/>
              <w:spacing w:line="360" w:lineRule="auto"/>
              <w:ind w:firstLine="420" w:firstLineChars="200"/>
              <w:rPr>
                <w:rFonts w:hint="eastAsia"/>
                <w:color w:val="auto"/>
                <w:szCs w:val="21"/>
                <w:lang w:val="en-US" w:eastAsia="zh-CN"/>
              </w:rPr>
            </w:pPr>
            <w:r>
              <w:rPr>
                <w:rFonts w:hint="eastAsia"/>
                <w:color w:val="auto"/>
                <w:szCs w:val="21"/>
                <w:lang w:val="en-US" w:eastAsia="zh-CN"/>
              </w:rPr>
              <w:t>①处理规模：根据《医院污水处理工程技术规范》（</w:t>
            </w:r>
            <w:r>
              <w:rPr>
                <w:rFonts w:hint="default"/>
                <w:color w:val="auto"/>
                <w:szCs w:val="21"/>
                <w:lang w:val="en-US" w:eastAsia="zh-CN"/>
              </w:rPr>
              <w:t>HJ2029-2013</w:t>
            </w:r>
            <w:r>
              <w:rPr>
                <w:rFonts w:hint="eastAsia"/>
                <w:color w:val="auto"/>
                <w:szCs w:val="21"/>
                <w:lang w:val="en-US" w:eastAsia="zh-CN"/>
              </w:rPr>
              <w:t>）中的相关内容，医院污水处理工程设计水量应在实测或测算的基础上留有设计裕量，设计裕量宜取实测值或者测算值的</w:t>
            </w:r>
            <w:r>
              <w:rPr>
                <w:rFonts w:hint="default"/>
                <w:color w:val="auto"/>
                <w:szCs w:val="21"/>
                <w:lang w:val="en-US" w:eastAsia="zh-CN"/>
              </w:rPr>
              <w:t>10%-20%</w:t>
            </w:r>
            <w:r>
              <w:rPr>
                <w:rFonts w:hint="eastAsia"/>
                <w:color w:val="auto"/>
                <w:szCs w:val="21"/>
                <w:lang w:val="en-US" w:eastAsia="zh-CN"/>
              </w:rPr>
              <w:t>。根据估算，运营期项目废水产生量为64012.04</w:t>
            </w:r>
            <w:r>
              <w:rPr>
                <w:rFonts w:hint="default"/>
                <w:color w:val="auto"/>
                <w:szCs w:val="21"/>
                <w:lang w:val="en-US" w:eastAsia="zh-CN"/>
              </w:rPr>
              <w:t>m</w:t>
            </w:r>
            <w:r>
              <w:rPr>
                <w:rFonts w:hint="default"/>
                <w:color w:val="auto"/>
                <w:szCs w:val="21"/>
                <w:vertAlign w:val="superscript"/>
                <w:lang w:val="en-US" w:eastAsia="zh-CN"/>
              </w:rPr>
              <w:t>3</w:t>
            </w:r>
            <w:r>
              <w:rPr>
                <w:rFonts w:hint="default"/>
                <w:color w:val="auto"/>
                <w:szCs w:val="21"/>
                <w:lang w:val="en-US" w:eastAsia="zh-CN"/>
              </w:rPr>
              <w:t>/a</w:t>
            </w:r>
            <w:r>
              <w:rPr>
                <w:rFonts w:hint="eastAsia"/>
                <w:color w:val="auto"/>
                <w:szCs w:val="21"/>
                <w:lang w:val="en-US" w:eastAsia="zh-CN"/>
              </w:rPr>
              <w:t>（176.47</w:t>
            </w:r>
            <w:r>
              <w:rPr>
                <w:rFonts w:hint="default"/>
                <w:color w:val="auto"/>
                <w:szCs w:val="21"/>
                <w:lang w:val="en-US" w:eastAsia="zh-CN"/>
              </w:rPr>
              <w:t>m</w:t>
            </w:r>
            <w:r>
              <w:rPr>
                <w:rFonts w:hint="default"/>
                <w:color w:val="auto"/>
                <w:szCs w:val="21"/>
                <w:vertAlign w:val="superscript"/>
                <w:lang w:val="en-US" w:eastAsia="zh-CN"/>
              </w:rPr>
              <w:t>3</w:t>
            </w:r>
            <w:r>
              <w:rPr>
                <w:rFonts w:hint="default"/>
                <w:color w:val="auto"/>
                <w:szCs w:val="21"/>
                <w:lang w:val="en-US" w:eastAsia="zh-CN"/>
              </w:rPr>
              <w:t>/d</w:t>
            </w:r>
            <w:r>
              <w:rPr>
                <w:rFonts w:hint="eastAsia"/>
                <w:color w:val="auto"/>
                <w:szCs w:val="21"/>
                <w:lang w:val="en-US" w:eastAsia="zh-CN"/>
              </w:rPr>
              <w:t xml:space="preserve">）。 </w:t>
            </w:r>
          </w:p>
          <w:p w14:paraId="2CDAF2AA">
            <w:pPr>
              <w:widowControl/>
              <w:spacing w:line="360" w:lineRule="auto"/>
              <w:ind w:firstLine="420" w:firstLineChars="200"/>
              <w:rPr>
                <w:rFonts w:hint="eastAsia"/>
                <w:color w:val="auto"/>
                <w:szCs w:val="21"/>
                <w:lang w:val="en-US" w:eastAsia="zh-CN"/>
              </w:rPr>
            </w:pPr>
            <w:r>
              <w:rPr>
                <w:rFonts w:hint="eastAsia"/>
                <w:color w:val="auto"/>
                <w:szCs w:val="21"/>
                <w:lang w:val="en-US" w:eastAsia="zh-CN"/>
              </w:rPr>
              <w:t>本项目按照裕量</w:t>
            </w:r>
            <w:r>
              <w:rPr>
                <w:rFonts w:hint="default"/>
                <w:color w:val="auto"/>
                <w:szCs w:val="21"/>
                <w:lang w:val="en-US" w:eastAsia="zh-CN"/>
              </w:rPr>
              <w:t>10%-</w:t>
            </w:r>
            <w:r>
              <w:rPr>
                <w:rFonts w:hint="eastAsia"/>
                <w:color w:val="auto"/>
                <w:szCs w:val="21"/>
                <w:lang w:val="en-US" w:eastAsia="zh-CN"/>
              </w:rPr>
              <w:t xml:space="preserve"> 2</w:t>
            </w:r>
            <w:r>
              <w:rPr>
                <w:rFonts w:hint="default"/>
                <w:color w:val="auto"/>
                <w:szCs w:val="21"/>
                <w:lang w:val="en-US" w:eastAsia="zh-CN"/>
              </w:rPr>
              <w:t>0%</w:t>
            </w:r>
            <w:r>
              <w:rPr>
                <w:rFonts w:hint="eastAsia"/>
                <w:color w:val="auto"/>
                <w:szCs w:val="21"/>
                <w:lang w:val="en-US" w:eastAsia="zh-CN"/>
              </w:rPr>
              <w:t>计，则本项目污水处理站处理能力设置为 200</w:t>
            </w:r>
            <w:r>
              <w:rPr>
                <w:rFonts w:hint="default"/>
                <w:color w:val="auto"/>
                <w:szCs w:val="21"/>
                <w:lang w:val="en-US" w:eastAsia="zh-CN"/>
              </w:rPr>
              <w:t>m</w:t>
            </w:r>
            <w:r>
              <w:rPr>
                <w:rFonts w:hint="default"/>
                <w:color w:val="auto"/>
                <w:szCs w:val="21"/>
                <w:vertAlign w:val="superscript"/>
                <w:lang w:val="en-US" w:eastAsia="zh-CN"/>
              </w:rPr>
              <w:t>3</w:t>
            </w:r>
            <w:r>
              <w:rPr>
                <w:rFonts w:hint="default"/>
                <w:color w:val="auto"/>
                <w:szCs w:val="21"/>
                <w:lang w:val="en-US" w:eastAsia="zh-CN"/>
              </w:rPr>
              <w:t>/d</w:t>
            </w:r>
            <w:r>
              <w:rPr>
                <w:rFonts w:hint="eastAsia"/>
                <w:color w:val="auto"/>
                <w:szCs w:val="21"/>
                <w:lang w:val="en-US" w:eastAsia="zh-CN"/>
              </w:rPr>
              <w:t xml:space="preserve">。 </w:t>
            </w:r>
          </w:p>
          <w:p w14:paraId="0A2F4E79">
            <w:pPr>
              <w:widowControl/>
              <w:spacing w:line="360" w:lineRule="auto"/>
              <w:ind w:firstLine="420" w:firstLineChars="200"/>
              <w:rPr>
                <w:rFonts w:hint="eastAsia"/>
                <w:color w:val="auto"/>
                <w:szCs w:val="21"/>
                <w:lang w:val="en-US" w:eastAsia="zh-CN"/>
              </w:rPr>
            </w:pPr>
            <w:r>
              <w:rPr>
                <w:rFonts w:hint="eastAsia"/>
                <w:color w:val="auto"/>
                <w:szCs w:val="21"/>
                <w:lang w:val="en-US" w:eastAsia="zh-CN"/>
              </w:rPr>
              <w:t>②处理工艺及效果：据《医院污水处理工程技术规范》（</w:t>
            </w:r>
            <w:r>
              <w:rPr>
                <w:rFonts w:hint="default"/>
                <w:color w:val="auto"/>
                <w:szCs w:val="21"/>
                <w:lang w:val="en-US" w:eastAsia="zh-CN"/>
              </w:rPr>
              <w:t>HJ2029-2013</w:t>
            </w:r>
            <w:r>
              <w:rPr>
                <w:rFonts w:hint="eastAsia"/>
                <w:color w:val="auto"/>
                <w:szCs w:val="21"/>
                <w:lang w:val="en-US" w:eastAsia="zh-CN"/>
              </w:rPr>
              <w:t>）中的规定，项目各类废水经预处理后排入污水处理站，污水处理站采用“接触氧化</w:t>
            </w:r>
            <w:r>
              <w:rPr>
                <w:rFonts w:hint="default"/>
                <w:color w:val="auto"/>
                <w:szCs w:val="21"/>
                <w:lang w:val="en-US" w:eastAsia="zh-CN"/>
              </w:rPr>
              <w:t>+</w:t>
            </w:r>
            <w:r>
              <w:rPr>
                <w:rFonts w:hint="eastAsia"/>
                <w:color w:val="auto"/>
                <w:szCs w:val="21"/>
                <w:lang w:val="en-US" w:eastAsia="zh-CN"/>
              </w:rPr>
              <w:t xml:space="preserve">消毒”工艺。 </w:t>
            </w:r>
          </w:p>
          <w:p w14:paraId="7901FCCA">
            <w:pPr>
              <w:widowControl/>
              <w:spacing w:line="360" w:lineRule="auto"/>
              <w:ind w:firstLine="420" w:firstLineChars="200"/>
              <w:rPr>
                <w:rFonts w:hint="eastAsia"/>
                <w:color w:val="auto"/>
                <w:szCs w:val="21"/>
                <w:lang w:val="en-US" w:eastAsia="zh-CN"/>
              </w:rPr>
            </w:pPr>
            <w:r>
              <w:rPr>
                <w:rFonts w:hint="eastAsia"/>
                <w:color w:val="auto"/>
                <w:szCs w:val="21"/>
                <w:lang w:val="en-US" w:eastAsia="zh-CN"/>
              </w:rPr>
              <w:t xml:space="preserve">本项目污水处理工艺流程图见图 </w:t>
            </w:r>
            <w:r>
              <w:rPr>
                <w:rFonts w:hint="default"/>
                <w:color w:val="auto"/>
                <w:szCs w:val="21"/>
                <w:lang w:val="en-US" w:eastAsia="zh-CN"/>
              </w:rPr>
              <w:t>4-1</w:t>
            </w:r>
            <w:r>
              <w:rPr>
                <w:rFonts w:hint="eastAsia"/>
                <w:color w:val="auto"/>
                <w:szCs w:val="21"/>
                <w:lang w:val="en-US" w:eastAsia="zh-CN"/>
              </w:rPr>
              <w:t>。</w:t>
            </w:r>
          </w:p>
          <w:p w14:paraId="1ECD003B">
            <w:pPr>
              <w:widowControl/>
              <w:snapToGrid w:val="0"/>
              <w:spacing w:line="360" w:lineRule="auto"/>
              <w:ind w:firstLine="428" w:firstLineChars="204"/>
              <w:rPr>
                <w:rFonts w:hint="eastAsia"/>
                <w:bCs/>
                <w:color w:val="auto"/>
                <w:sz w:val="21"/>
                <w:szCs w:val="21"/>
                <w:lang w:val="en-US" w:eastAsia="zh-CN"/>
              </w:rPr>
            </w:pPr>
            <w:r>
              <w:rPr>
                <w:sz w:val="21"/>
              </w:rPr>
              <w:pict>
                <v:group id="_x0000_s2480" o:spid="_x0000_s2480" o:spt="203" style="position:absolute;left:0pt;margin-left:-8.75pt;margin-top:0.7pt;height:175.65pt;width:405.65pt;z-index:251673600;mso-width-relative:page;mso-height-relative:page;" coordorigin="2391,445871" coordsize="8113,3513">
                  <o:lock v:ext="edit" aspectratio="f"/>
                  <v:shape id="_x0000_s2437" o:spid="_x0000_s2437" o:spt="202" type="#_x0000_t202" style="position:absolute;left:4461;top:445871;height:386;width:1092;" fillcolor="#FFFFFF" filled="t" stroked="t" coordsize="21600,21600">
                    <v:path/>
                    <v:fill on="t" color2="#FFFFFF" focussize="0,0"/>
                    <v:stroke color="#000000"/>
                    <v:imagedata o:title=""/>
                    <o:lock v:ext="edit" aspectratio="f"/>
                    <v:textbox>
                      <w:txbxContent>
                        <w:p w14:paraId="357D2561">
                          <w:pPr>
                            <w:jc w:val="center"/>
                            <w:rPr>
                              <w:rFonts w:hint="eastAsia" w:eastAsia="宋体"/>
                              <w:lang w:val="en-US" w:eastAsia="zh-CN"/>
                            </w:rPr>
                          </w:pPr>
                          <w:r>
                            <w:rPr>
                              <w:rFonts w:hint="eastAsia"/>
                              <w:lang w:val="en-US" w:eastAsia="zh-CN"/>
                            </w:rPr>
                            <w:t>隔油</w:t>
                          </w:r>
                        </w:p>
                      </w:txbxContent>
                    </v:textbox>
                  </v:shape>
                  <v:line id="_x0000_s2450" o:spid="_x0000_s2450" o:spt="20" style="position:absolute;left:6092;top:446063;height:1285;width:11;" fillcolor="#FFFFFF" filled="t" stroked="t" coordsize="21600,21600">
                    <v:path arrowok="t"/>
                    <v:fill on="t" color2="#FFFFFF" focussize="0,0"/>
                    <v:stroke color="#000000"/>
                    <v:imagedata o:title=""/>
                    <o:lock v:ext="edit" aspectratio="f"/>
                  </v:line>
                  <v:line id="_x0000_s2438" o:spid="_x0000_s2438" o:spt="20" style="position:absolute;left:3943;top:446064;height:1;width:507;" fillcolor="#FFFFFF" filled="t" stroked="t" coordsize="21600,21600">
                    <v:path arrowok="t"/>
                    <v:fill on="t" color2="#FFFFFF" focussize="0,0"/>
                    <v:stroke color="#000000" endarrow="block"/>
                    <v:imagedata o:title=""/>
                    <o:lock v:ext="edit" aspectratio="f"/>
                  </v:line>
                  <v:shape id="_x0000_s2439" o:spid="_x0000_s2439" o:spt="202" type="#_x0000_t202" style="position:absolute;left:2668;top:445872;height:386;width:1273;" fillcolor="#FFFFFF" filled="t" stroked="t" coordsize="21600,21600">
                    <v:path/>
                    <v:fill on="t" color2="#FFFFFF" focussize="0,0"/>
                    <v:stroke color="#000000" joinstyle="miter"/>
                    <v:imagedata o:title=""/>
                    <o:lock v:ext="edit" aspectratio="f"/>
                    <v:textbox>
                      <w:txbxContent>
                        <w:p w14:paraId="7CAC8584">
                          <w:pPr>
                            <w:jc w:val="center"/>
                            <w:rPr>
                              <w:rFonts w:hint="default" w:eastAsia="宋体"/>
                              <w:lang w:val="en-US" w:eastAsia="zh-CN"/>
                            </w:rPr>
                          </w:pPr>
                          <w:r>
                            <w:rPr>
                              <w:rFonts w:hint="eastAsia"/>
                              <w:lang w:val="en-US" w:eastAsia="zh-CN"/>
                            </w:rPr>
                            <w:t>食堂污水</w:t>
                          </w:r>
                        </w:p>
                      </w:txbxContent>
                    </v:textbox>
                  </v:shape>
                  <v:shape id="_x0000_s2441" o:spid="_x0000_s2441" o:spt="202" type="#_x0000_t202" style="position:absolute;left:4461;top:446502;height:386;width:1092;" fillcolor="#FFFFFF" filled="t" stroked="t" coordsize="21600,21600">
                    <v:path/>
                    <v:fill on="t" color2="#FFFFFF" focussize="0,0"/>
                    <v:stroke color="#000000" joinstyle="miter"/>
                    <v:imagedata o:title=""/>
                    <o:lock v:ext="edit" aspectratio="f"/>
                    <v:textbox>
                      <w:txbxContent>
                        <w:p w14:paraId="73B7E7F0">
                          <w:pPr>
                            <w:jc w:val="center"/>
                            <w:rPr>
                              <w:rFonts w:hint="default" w:eastAsia="宋体"/>
                              <w:lang w:val="en-US" w:eastAsia="zh-CN"/>
                            </w:rPr>
                          </w:pPr>
                          <w:r>
                            <w:rPr>
                              <w:rFonts w:hint="eastAsia"/>
                              <w:lang w:val="en-US" w:eastAsia="zh-CN"/>
                            </w:rPr>
                            <w:t>预处理</w:t>
                          </w:r>
                        </w:p>
                      </w:txbxContent>
                    </v:textbox>
                  </v:shape>
                  <v:line id="_x0000_s2442" o:spid="_x0000_s2442" o:spt="20" style="position:absolute;left:3930;top:446696;flip:y;height:10;width:520;" filled="f" stroked="t" coordsize="21600,21600">
                    <v:path arrowok="t"/>
                    <v:fill on="f" focussize="0,0"/>
                    <v:stroke color="#000000" endarrow="block"/>
                    <v:imagedata o:title=""/>
                    <o:lock v:ext="edit" aspectratio="f"/>
                  </v:line>
                  <v:shape id="_x0000_s2440" o:spid="_x0000_s2440" o:spt="202" type="#_x0000_t202" style="position:absolute;left:2668;top:446391;height:656;width:1273;" fillcolor="#FFFFFF" filled="t" stroked="t" coordsize="21600,21600">
                    <v:path/>
                    <v:fill on="t" color2="#FFFFFF" focussize="0,0"/>
                    <v:stroke color="#000000" joinstyle="miter"/>
                    <v:imagedata o:title=""/>
                    <o:lock v:ext="edit" aspectratio="f"/>
                    <v:textbox>
                      <w:txbxContent>
                        <w:p w14:paraId="739E4D74">
                          <w:pPr>
                            <w:jc w:val="center"/>
                            <w:rPr>
                              <w:rFonts w:hint="default" w:eastAsia="宋体"/>
                              <w:lang w:val="en-US" w:eastAsia="zh-CN"/>
                            </w:rPr>
                          </w:pPr>
                          <w:r>
                            <w:rPr>
                              <w:rFonts w:hint="eastAsia"/>
                              <w:lang w:val="en-US" w:eastAsia="zh-CN"/>
                            </w:rPr>
                            <w:t>特殊医疗污水</w:t>
                          </w:r>
                        </w:p>
                      </w:txbxContent>
                    </v:textbox>
                  </v:shape>
                  <v:shape id="_x0000_s2443" o:spid="_x0000_s2443" o:spt="202" type="#_x0000_t202" style="position:absolute;left:4483;top:447157;height:386;width:1092;" fillcolor="#FFFFFF" filled="t" stroked="t" coordsize="21600,21600">
                    <v:path/>
                    <v:fill on="t" color2="#FFFFFF" focussize="0,0"/>
                    <v:stroke color="#000000" joinstyle="miter"/>
                    <v:imagedata o:title=""/>
                    <o:lock v:ext="edit" aspectratio="f"/>
                    <v:textbox>
                      <w:txbxContent>
                        <w:p w14:paraId="20298073">
                          <w:pPr>
                            <w:jc w:val="center"/>
                            <w:rPr>
                              <w:rFonts w:hint="default" w:eastAsia="宋体"/>
                              <w:lang w:val="en-US" w:eastAsia="zh-CN"/>
                            </w:rPr>
                          </w:pPr>
                          <w:r>
                            <w:rPr>
                              <w:rFonts w:hint="eastAsia"/>
                              <w:lang w:val="en-US" w:eastAsia="zh-CN"/>
                            </w:rPr>
                            <w:t>化粪池</w:t>
                          </w:r>
                        </w:p>
                      </w:txbxContent>
                    </v:textbox>
                  </v:shape>
                  <v:line id="_x0000_s2445" o:spid="_x0000_s2445" o:spt="20" style="position:absolute;left:3952;top:447350;height:1;width:520;" filled="f" stroked="t" coordsize="21600,21600">
                    <v:path arrowok="t"/>
                    <v:fill on="f" focussize="0,0"/>
                    <v:stroke color="#000000" endarrow="block"/>
                    <v:imagedata o:title=""/>
                    <o:lock v:ext="edit" aspectratio="f"/>
                  </v:line>
                  <v:shape id="_x0000_s2444" o:spid="_x0000_s2444" o:spt="202" type="#_x0000_t202" style="position:absolute;left:2690;top:447158;height:386;width:1273;" fillcolor="#FFFFFF" filled="t" stroked="t" coordsize="21600,21600">
                    <v:path/>
                    <v:fill on="t" color2="#FFFFFF" focussize="0,0"/>
                    <v:stroke color="#000000" joinstyle="miter"/>
                    <v:imagedata o:title=""/>
                    <o:lock v:ext="edit" aspectratio="f"/>
                    <v:textbox>
                      <w:txbxContent>
                        <w:p w14:paraId="05E978B0">
                          <w:pPr>
                            <w:jc w:val="center"/>
                            <w:rPr>
                              <w:rFonts w:hint="default" w:eastAsia="宋体"/>
                              <w:lang w:val="en-US" w:eastAsia="zh-CN"/>
                            </w:rPr>
                          </w:pPr>
                          <w:r>
                            <w:rPr>
                              <w:rFonts w:hint="eastAsia"/>
                              <w:lang w:val="en-US" w:eastAsia="zh-CN"/>
                            </w:rPr>
                            <w:t>生活污水</w:t>
                          </w:r>
                        </w:p>
                      </w:txbxContent>
                    </v:textbox>
                  </v:shape>
                  <v:line id="_x0000_s2446" o:spid="_x0000_s2446" o:spt="20" style="position:absolute;left:5567;top:446064;height:1;width:507;" filled="f" stroked="t" coordsize="21600,21600">
                    <v:path arrowok="t"/>
                    <v:fill on="f" focussize="0,0"/>
                    <v:stroke color="#000000" endarrow="block"/>
                    <v:imagedata o:title=""/>
                    <o:lock v:ext="edit" aspectratio="f"/>
                  </v:line>
                  <v:line id="_x0000_s2447" o:spid="_x0000_s2447" o:spt="20" style="position:absolute;left:5554;top:446696;flip:y;height:10;width:520;" filled="f" stroked="t" coordsize="21600,21600">
                    <v:path arrowok="t"/>
                    <v:fill on="f" focussize="0,0"/>
                    <v:stroke color="#000000" endarrow="block"/>
                    <v:imagedata o:title=""/>
                    <o:lock v:ext="edit" aspectratio="f"/>
                  </v:line>
                  <v:line id="_x0000_s2448" o:spid="_x0000_s2448" o:spt="20" style="position:absolute;left:5576;top:447350;height:1;width:520;" filled="f" stroked="t" coordsize="21600,21600">
                    <v:path arrowok="t"/>
                    <v:fill on="f" focussize="0,0"/>
                    <v:stroke color="#000000" endarrow="block"/>
                    <v:imagedata o:title=""/>
                    <o:lock v:ext="edit" aspectratio="f"/>
                  </v:line>
                  <v:line id="_x0000_s2449" o:spid="_x0000_s2449" o:spt="20" style="position:absolute;left:6131;top:446707;height:1;width:507;" filled="f" stroked="t" coordsize="21600,21600">
                    <v:path arrowok="t"/>
                    <v:fill on="f" focussize="0,0"/>
                    <v:stroke color="#000000" endarrow="block"/>
                    <v:imagedata o:title=""/>
                    <o:lock v:ext="edit" aspectratio="f"/>
                  </v:line>
                  <v:shape id="_x0000_s2451" o:spid="_x0000_s2451" o:spt="202" type="#_x0000_t202" style="position:absolute;left:6661;top:446525;height:386;width:1092;" fillcolor="#FFFFFF" filled="t" stroked="t" coordsize="21600,21600">
                    <v:path/>
                    <v:fill on="t" color2="#FFFFFF" focussize="0,0"/>
                    <v:stroke color="#000000" joinstyle="miter"/>
                    <v:imagedata o:title=""/>
                    <o:lock v:ext="edit" aspectratio="f"/>
                    <v:textbox>
                      <w:txbxContent>
                        <w:p w14:paraId="09E454B6">
                          <w:pPr>
                            <w:jc w:val="center"/>
                            <w:rPr>
                              <w:rFonts w:hint="default" w:eastAsia="宋体"/>
                              <w:lang w:val="en-US" w:eastAsia="zh-CN"/>
                            </w:rPr>
                          </w:pPr>
                          <w:r>
                            <w:rPr>
                              <w:rFonts w:hint="eastAsia"/>
                              <w:lang w:val="en-US" w:eastAsia="zh-CN"/>
                            </w:rPr>
                            <w:t>格栅</w:t>
                          </w:r>
                        </w:p>
                      </w:txbxContent>
                    </v:textbox>
                  </v:shape>
                  <v:line id="_x0000_s2452" o:spid="_x0000_s2452" o:spt="20" style="position:absolute;left:7744;top:446707;height:1;width:507;" filled="f" stroked="t" coordsize="21600,21600">
                    <v:path arrowok="t"/>
                    <v:fill on="f" focussize="0,0"/>
                    <v:stroke color="#000000" endarrow="block"/>
                    <v:imagedata o:title=""/>
                    <o:lock v:ext="edit" aspectratio="f"/>
                  </v:line>
                  <v:shape id="_x0000_s2453" o:spid="_x0000_s2453" o:spt="202" type="#_x0000_t202" style="position:absolute;left:8263;top:446515;height:386;width:1092;" fillcolor="#FFFFFF" filled="t" stroked="t" coordsize="21600,21600">
                    <v:path/>
                    <v:fill on="t" color2="#FFFFFF" focussize="0,0"/>
                    <v:stroke color="#000000" joinstyle="miter"/>
                    <v:imagedata o:title=""/>
                    <o:lock v:ext="edit" aspectratio="f"/>
                    <v:textbox>
                      <w:txbxContent>
                        <w:p w14:paraId="0E6F2658">
                          <w:pPr>
                            <w:jc w:val="center"/>
                            <w:rPr>
                              <w:rFonts w:hint="default" w:eastAsia="宋体"/>
                              <w:lang w:val="en-US" w:eastAsia="zh-CN"/>
                            </w:rPr>
                          </w:pPr>
                          <w:r>
                            <w:rPr>
                              <w:rFonts w:hint="eastAsia"/>
                              <w:lang w:val="en-US" w:eastAsia="zh-CN"/>
                            </w:rPr>
                            <w:t>调节池</w:t>
                          </w:r>
                        </w:p>
                      </w:txbxContent>
                    </v:textbox>
                  </v:shape>
                  <v:line id="_x0000_s2454" o:spid="_x0000_s2454" o:spt="20" style="position:absolute;left:9402;top:446729;height:1;width:507;" filled="f" stroked="t" coordsize="21600,21600">
                    <v:path arrowok="t"/>
                    <v:fill on="f" focussize="0,0"/>
                    <v:stroke color="#000000"/>
                    <v:imagedata o:title=""/>
                    <o:lock v:ext="edit" aspectratio="f"/>
                  </v:line>
                  <v:line id="_x0000_s2455" o:spid="_x0000_s2455" o:spt="20" style="position:absolute;left:9943;top:446740;flip:x;height:1875;width:1;" filled="f" stroked="t" coordsize="21600,21600">
                    <v:path arrowok="t"/>
                    <v:fill on="f" focussize="0,0"/>
                    <v:stroke color="#000000" endarrow="block"/>
                    <v:imagedata o:title=""/>
                    <o:lock v:ext="edit" aspectratio="f"/>
                  </v:line>
                  <v:shape id="_x0000_s2456" o:spid="_x0000_s2456" o:spt="202" type="#_x0000_t202" style="position:absolute;left:9052;top:448603;height:386;width:1452;" fillcolor="#FFFFFF" filled="t" stroked="t" coordsize="21600,21600">
                    <v:path/>
                    <v:fill on="t" color2="#FFFFFF" focussize="0,0"/>
                    <v:stroke color="#000000" joinstyle="miter"/>
                    <v:imagedata o:title=""/>
                    <o:lock v:ext="edit" aspectratio="f"/>
                    <v:textbox>
                      <w:txbxContent>
                        <w:p w14:paraId="3EE5FB86">
                          <w:pPr>
                            <w:jc w:val="center"/>
                            <w:rPr>
                              <w:rFonts w:hint="default" w:eastAsia="宋体"/>
                              <w:lang w:val="en-US" w:eastAsia="zh-CN"/>
                            </w:rPr>
                          </w:pPr>
                          <w:r>
                            <w:rPr>
                              <w:rFonts w:hint="eastAsia"/>
                              <w:lang w:val="en-US" w:eastAsia="zh-CN"/>
                            </w:rPr>
                            <w:t>接触氧化池</w:t>
                          </w:r>
                        </w:p>
                      </w:txbxContent>
                    </v:textbox>
                  </v:shape>
                  <v:line id="_x0000_s2457" o:spid="_x0000_s2457" o:spt="20" style="position:absolute;left:8523;top:448807;height:1;width:507;" filled="f" stroked="t" coordsize="21600,21600">
                    <v:path arrowok="t"/>
                    <v:fill on="f" focussize="0,0"/>
                    <v:stroke color="#000000" startarrow="block"/>
                    <v:imagedata o:title=""/>
                    <o:lock v:ext="edit" aspectratio="f"/>
                  </v:line>
                  <v:shape id="_x0000_s2458" o:spid="_x0000_s2458" o:spt="202" type="#_x0000_t202" style="position:absolute;left:7430;top:448614;height:386;width:1092;" fillcolor="#FFFFFF" filled="t" stroked="t" coordsize="21600,21600">
                    <v:path/>
                    <v:fill on="t" color2="#FFFFFF" focussize="0,0"/>
                    <v:stroke color="#000000" joinstyle="miter"/>
                    <v:imagedata o:title=""/>
                    <o:lock v:ext="edit" aspectratio="f"/>
                    <v:textbox>
                      <w:txbxContent>
                        <w:p w14:paraId="7757DF3F">
                          <w:pPr>
                            <w:jc w:val="center"/>
                            <w:rPr>
                              <w:rFonts w:hint="default" w:eastAsia="宋体"/>
                              <w:lang w:val="en-US" w:eastAsia="zh-CN"/>
                            </w:rPr>
                          </w:pPr>
                          <w:r>
                            <w:rPr>
                              <w:rFonts w:hint="eastAsia"/>
                              <w:lang w:val="en-US" w:eastAsia="zh-CN"/>
                            </w:rPr>
                            <w:t>沉淀池</w:t>
                          </w:r>
                        </w:p>
                      </w:txbxContent>
                    </v:textbox>
                  </v:shape>
                  <v:line id="_x0000_s2460" o:spid="_x0000_s2460" o:spt="20" style="position:absolute;left:6910;top:448819;height:1;width:507;" filled="f" stroked="t" coordsize="21600,21600">
                    <v:path arrowok="t"/>
                    <v:fill on="f" focussize="0,0"/>
                    <v:stroke color="#000000" startarrow="block"/>
                    <v:imagedata o:title=""/>
                    <o:lock v:ext="edit" aspectratio="f"/>
                  </v:line>
                  <v:shape id="_x0000_s2459" o:spid="_x0000_s2459" o:spt="202" type="#_x0000_t202" style="position:absolute;left:5817;top:448626;height:386;width:1092;" fillcolor="#FFFFFF" filled="t" stroked="t" coordsize="21600,21600">
                    <v:path/>
                    <v:fill on="t" color2="#FFFFFF" focussize="0,0"/>
                    <v:stroke color="#000000" joinstyle="miter"/>
                    <v:imagedata o:title=""/>
                    <o:lock v:ext="edit" aspectratio="f"/>
                    <v:textbox>
                      <w:txbxContent>
                        <w:p w14:paraId="6D2D9B7A">
                          <w:pPr>
                            <w:jc w:val="center"/>
                            <w:rPr>
                              <w:rFonts w:hint="default" w:eastAsia="宋体"/>
                              <w:lang w:val="en-US" w:eastAsia="zh-CN"/>
                            </w:rPr>
                          </w:pPr>
                          <w:r>
                            <w:rPr>
                              <w:rFonts w:hint="eastAsia"/>
                              <w:lang w:val="en-US" w:eastAsia="zh-CN"/>
                            </w:rPr>
                            <w:t>消毒池</w:t>
                          </w:r>
                        </w:p>
                      </w:txbxContent>
                    </v:textbox>
                  </v:shape>
                  <v:line id="_x0000_s2461" o:spid="_x0000_s2461" o:spt="20" style="position:absolute;left:5297;top:448841;height:1;width:507;" filled="f" stroked="t" coordsize="21600,21600">
                    <v:path arrowok="t"/>
                    <v:fill on="f" focussize="0,0"/>
                    <v:stroke color="#000000" startarrow="block"/>
                    <v:imagedata o:title=""/>
                    <o:lock v:ext="edit" aspectratio="f"/>
                  </v:line>
                  <v:shape id="_x0000_s2462" o:spid="_x0000_s2462" o:spt="202" type="#_x0000_t202" style="position:absolute;left:4032;top:448524;height:656;width:1273;" filled="f" stroked="f" coordsize="21600,21600">
                    <v:path/>
                    <v:fill on="f" focussize="0,0"/>
                    <v:stroke on="f" joinstyle="miter"/>
                    <v:imagedata o:title=""/>
                    <o:lock v:ext="edit" aspectratio="f"/>
                    <v:textbox>
                      <w:txbxContent>
                        <w:p w14:paraId="19C4EE12">
                          <w:pPr>
                            <w:jc w:val="center"/>
                            <w:rPr>
                              <w:rFonts w:hint="eastAsia"/>
                              <w:lang w:val="en-US" w:eastAsia="zh-CN"/>
                            </w:rPr>
                          </w:pPr>
                          <w:r>
                            <w:rPr>
                              <w:rFonts w:hint="eastAsia"/>
                              <w:lang w:val="en-US" w:eastAsia="zh-CN"/>
                            </w:rPr>
                            <w:t>园区污</w:t>
                          </w:r>
                        </w:p>
                        <w:p w14:paraId="0E935B29">
                          <w:pPr>
                            <w:jc w:val="center"/>
                            <w:rPr>
                              <w:rFonts w:hint="default" w:eastAsia="宋体"/>
                              <w:lang w:val="en-US" w:eastAsia="zh-CN"/>
                            </w:rPr>
                          </w:pPr>
                          <w:r>
                            <w:rPr>
                              <w:rFonts w:hint="eastAsia"/>
                              <w:lang w:val="en-US" w:eastAsia="zh-CN"/>
                            </w:rPr>
                            <w:t>水管网</w:t>
                          </w:r>
                        </w:p>
                      </w:txbxContent>
                    </v:textbox>
                  </v:shape>
                  <v:line id="_x0000_s2464" o:spid="_x0000_s2464" o:spt="20" style="position:absolute;left:3700;top:448875;height:1;width:507;" filled="f" stroked="t" coordsize="21600,21600">
                    <v:path arrowok="t"/>
                    <v:fill on="f" focussize="0,0"/>
                    <v:stroke color="#000000" startarrow="block"/>
                    <v:imagedata o:title=""/>
                    <o:lock v:ext="edit" aspectratio="f"/>
                  </v:line>
                  <v:shape id="_x0000_s2463" o:spid="_x0000_s2463" o:spt="202" type="#_x0000_t202" style="position:absolute;left:2391;top:448424;height:960;width:1273;" filled="f" stroked="f" coordsize="21600,21600">
                    <v:path/>
                    <v:fill on="f" focussize="0,0"/>
                    <v:stroke on="f" joinstyle="miter"/>
                    <v:imagedata o:title=""/>
                    <o:lock v:ext="edit" aspectratio="f"/>
                    <v:textbox>
                      <w:txbxContent>
                        <w:p w14:paraId="10173DAD">
                          <w:pPr>
                            <w:jc w:val="center"/>
                            <w:rPr>
                              <w:rFonts w:hint="default" w:eastAsia="宋体"/>
                              <w:lang w:val="en-US" w:eastAsia="zh-CN"/>
                            </w:rPr>
                          </w:pPr>
                          <w:r>
                            <w:rPr>
                              <w:rFonts w:hint="eastAsia"/>
                              <w:lang w:val="en-US" w:eastAsia="zh-CN"/>
                            </w:rPr>
                            <w:t>大同市开发区污水处理厂</w:t>
                          </w:r>
                        </w:p>
                      </w:txbxContent>
                    </v:textbox>
                  </v:shape>
                  <v:line id="_x0000_s2465" o:spid="_x0000_s2465" o:spt="20" style="position:absolute;left:8827;top:446898;flip:x;height:815;width:11;" filled="f" stroked="t" coordsize="21600,21600">
                    <v:path arrowok="t"/>
                    <v:fill on="f" focussize="0,0"/>
                    <v:stroke color="#000000" dashstyle="dash" endarrow="block"/>
                    <v:imagedata o:title=""/>
                    <o:lock v:ext="edit" aspectratio="f"/>
                  </v:line>
                  <v:shape id="_x0000_s2466" o:spid="_x0000_s2466" o:spt="202" type="#_x0000_t202" style="position:absolute;left:8070;top:447710;height:386;width:1680;" fillcolor="#FFFFFF" filled="t" stroked="t" coordsize="21600,21600">
                    <v:path/>
                    <v:fill on="t" color2="#FFFFFF" focussize="0,0"/>
                    <v:stroke color="#000000" joinstyle="miter"/>
                    <v:imagedata o:title=""/>
                    <o:lock v:ext="edit" aspectratio="f"/>
                    <v:textbox>
                      <w:txbxContent>
                        <w:p w14:paraId="2101BC15">
                          <w:pPr>
                            <w:jc w:val="center"/>
                            <w:rPr>
                              <w:rFonts w:hint="default" w:eastAsia="宋体"/>
                              <w:lang w:val="en-US" w:eastAsia="zh-CN"/>
                            </w:rPr>
                          </w:pPr>
                          <w:r>
                            <w:rPr>
                              <w:rFonts w:hint="eastAsia"/>
                              <w:lang w:val="en-US" w:eastAsia="zh-CN"/>
                            </w:rPr>
                            <w:t>污泥浓缩脱水</w:t>
                          </w:r>
                        </w:p>
                      </w:txbxContent>
                    </v:textbox>
                  </v:shape>
                  <v:shape id="_x0000_s2467" o:spid="_x0000_s2467" o:spt="202" type="#_x0000_t202" style="position:absolute;left:8023;top:446968;height:488;width:925;" filled="f" stroked="f" coordsize="21600,21600">
                    <v:path/>
                    <v:fill on="f" focussize="0,0"/>
                    <v:stroke on="f"/>
                    <v:imagedata o:title=""/>
                    <o:lock v:ext="edit" aspectratio="f"/>
                    <v:textbox>
                      <w:txbxContent>
                        <w:p w14:paraId="58FB6263">
                          <w:pPr>
                            <w:jc w:val="center"/>
                            <w:rPr>
                              <w:rFonts w:hint="default" w:eastAsia="宋体"/>
                              <w:lang w:val="en-US" w:eastAsia="zh-CN"/>
                            </w:rPr>
                          </w:pPr>
                          <w:r>
                            <w:rPr>
                              <w:rFonts w:hint="eastAsia"/>
                              <w:lang w:val="en-US" w:eastAsia="zh-CN"/>
                            </w:rPr>
                            <w:t>污泥</w:t>
                          </w:r>
                        </w:p>
                      </w:txbxContent>
                    </v:textbox>
                  </v:shape>
                  <v:line id="_x0000_s2468" o:spid="_x0000_s2468" o:spt="20" style="position:absolute;left:7665;top:447904;flip:x y;height:1;width:387;" filled="f" stroked="t" coordsize="21600,21600">
                    <v:path arrowok="t"/>
                    <v:fill on="f" focussize="0,0"/>
                    <v:stroke color="#000000" dashstyle="dash" endarrow="block"/>
                    <v:imagedata o:title=""/>
                    <o:lock v:ext="edit" aspectratio="f"/>
                  </v:line>
                  <v:shape id="_x0000_s2470" o:spid="_x0000_s2470" o:spt="202" type="#_x0000_t202" style="position:absolute;left:5751;top:447740;height:386;width:1882;" fillcolor="#FFFFFF" filled="t" stroked="t" coordsize="21600,21600">
                    <v:path/>
                    <v:fill on="t" color2="#FFFFFF" focussize="0,0"/>
                    <v:stroke color="#000000" joinstyle="miter"/>
                    <v:imagedata o:title=""/>
                    <o:lock v:ext="edit" aspectratio="f"/>
                    <v:textbox>
                      <w:txbxContent>
                        <w:p w14:paraId="4D79CD4A">
                          <w:pPr>
                            <w:jc w:val="center"/>
                            <w:rPr>
                              <w:rFonts w:hint="default" w:eastAsia="宋体"/>
                              <w:lang w:val="en-US" w:eastAsia="zh-CN"/>
                            </w:rPr>
                          </w:pPr>
                          <w:r>
                            <w:rPr>
                              <w:rFonts w:hint="eastAsia"/>
                              <w:lang w:val="en-US" w:eastAsia="zh-CN"/>
                            </w:rPr>
                            <w:t>医疗废物贮存库</w:t>
                          </w:r>
                        </w:p>
                      </w:txbxContent>
                    </v:textbox>
                  </v:shape>
                  <v:line id="_x0000_s2472" o:spid="_x0000_s2472" o:spt="20" style="position:absolute;left:5025;top:447561;flip:x;height:419;width:3;" filled="f" stroked="t" coordsize="21600,21600">
                    <v:path arrowok="t"/>
                    <v:fill on="f" focussize="0,0"/>
                    <v:stroke color="#000000" dashstyle="dash" startarrowlength="short"/>
                    <v:imagedata o:title=""/>
                    <o:lock v:ext="edit" aspectratio="f"/>
                  </v:line>
                  <v:shape id="_x0000_s2471" o:spid="_x0000_s2471" o:spt="202" type="#_x0000_t202" style="position:absolute;left:4213;top:447631;height:488;width:925;" filled="f" stroked="f" coordsize="21600,21600">
                    <v:path/>
                    <v:fill on="f" focussize="0,0"/>
                    <v:stroke on="f"/>
                    <v:imagedata o:title=""/>
                    <o:lock v:ext="edit" aspectratio="f"/>
                    <v:textbox>
                      <w:txbxContent>
                        <w:p w14:paraId="5BD4CB8D">
                          <w:pPr>
                            <w:jc w:val="center"/>
                            <w:rPr>
                              <w:rFonts w:hint="default" w:eastAsia="宋体"/>
                              <w:lang w:val="en-US" w:eastAsia="zh-CN"/>
                            </w:rPr>
                          </w:pPr>
                          <w:r>
                            <w:rPr>
                              <w:rFonts w:hint="eastAsia"/>
                              <w:lang w:val="en-US" w:eastAsia="zh-CN"/>
                            </w:rPr>
                            <w:t>污泥</w:t>
                          </w:r>
                        </w:p>
                      </w:txbxContent>
                    </v:textbox>
                  </v:shape>
                  <v:line id="_x0000_s2477" o:spid="_x0000_s2477" o:spt="20" style="position:absolute;left:5038;top:447958;height:6;width:707;" filled="f" stroked="t" coordsize="21600,21600">
                    <v:path arrowok="t"/>
                    <v:fill on="f" focussize="0,0"/>
                    <v:stroke color="#000000" dashstyle="dash" endarrow="block"/>
                    <v:imagedata o:title=""/>
                    <o:lock v:ext="edit" aspectratio="f"/>
                  </v:line>
                  <v:line id="_x0000_s2479" o:spid="_x0000_s2479" o:spt="20" style="position:absolute;left:7217;top:446926;flip:x;height:815;width:11;" filled="f" stroked="t" coordsize="21600,21600">
                    <v:path arrowok="t"/>
                    <v:fill on="f" focussize="0,0"/>
                    <v:stroke color="#000000" dashstyle="dash" endarrow="block"/>
                    <v:imagedata o:title=""/>
                    <o:lock v:ext="edit" aspectratio="f"/>
                  </v:line>
                  <v:shape id="_x0000_s2478" o:spid="_x0000_s2478" o:spt="202" type="#_x0000_t202" style="position:absolute;left:6413;top:446996;height:488;width:925;" filled="f" stroked="f" coordsize="21600,21600">
                    <v:path/>
                    <v:fill on="f" focussize="0,0"/>
                    <v:stroke on="f"/>
                    <v:imagedata o:title=""/>
                    <o:lock v:ext="edit" aspectratio="f"/>
                    <v:textbox>
                      <w:txbxContent>
                        <w:p w14:paraId="5349DEA1">
                          <w:pPr>
                            <w:jc w:val="center"/>
                            <w:rPr>
                              <w:rFonts w:hint="default" w:eastAsia="宋体"/>
                              <w:lang w:val="en-US" w:eastAsia="zh-CN"/>
                            </w:rPr>
                          </w:pPr>
                          <w:r>
                            <w:rPr>
                              <w:rFonts w:hint="eastAsia"/>
                              <w:lang w:val="en-US" w:eastAsia="zh-CN"/>
                            </w:rPr>
                            <w:t>栅渣</w:t>
                          </w:r>
                        </w:p>
                      </w:txbxContent>
                    </v:textbox>
                  </v:shape>
                </v:group>
              </w:pict>
            </w:r>
          </w:p>
          <w:p w14:paraId="6F49B06A">
            <w:pPr>
              <w:widowControl/>
              <w:snapToGrid w:val="0"/>
              <w:spacing w:line="360" w:lineRule="auto"/>
              <w:ind w:firstLine="428" w:firstLineChars="204"/>
              <w:rPr>
                <w:rFonts w:hint="eastAsia"/>
                <w:bCs/>
                <w:color w:val="auto"/>
                <w:sz w:val="21"/>
                <w:szCs w:val="21"/>
                <w:lang w:val="en-US" w:eastAsia="zh-CN"/>
              </w:rPr>
            </w:pPr>
          </w:p>
          <w:p w14:paraId="2F9B23F0">
            <w:pPr>
              <w:widowControl/>
              <w:snapToGrid w:val="0"/>
              <w:spacing w:line="360" w:lineRule="auto"/>
              <w:ind w:firstLine="428" w:firstLineChars="204"/>
              <w:rPr>
                <w:rFonts w:hint="eastAsia"/>
                <w:bCs/>
                <w:color w:val="auto"/>
                <w:sz w:val="21"/>
                <w:szCs w:val="21"/>
                <w:lang w:val="en-US" w:eastAsia="zh-CN"/>
              </w:rPr>
            </w:pPr>
          </w:p>
          <w:p w14:paraId="5391239E">
            <w:pPr>
              <w:widowControl/>
              <w:snapToGrid w:val="0"/>
              <w:spacing w:line="360" w:lineRule="auto"/>
              <w:ind w:firstLine="428" w:firstLineChars="204"/>
              <w:rPr>
                <w:rFonts w:hint="eastAsia"/>
                <w:bCs/>
                <w:color w:val="auto"/>
                <w:sz w:val="21"/>
                <w:szCs w:val="21"/>
                <w:lang w:val="en-US" w:eastAsia="zh-CN"/>
              </w:rPr>
            </w:pPr>
          </w:p>
          <w:p w14:paraId="386213F6">
            <w:pPr>
              <w:widowControl/>
              <w:snapToGrid w:val="0"/>
              <w:spacing w:line="360" w:lineRule="auto"/>
              <w:ind w:firstLine="428" w:firstLineChars="204"/>
              <w:rPr>
                <w:rFonts w:hint="eastAsia"/>
                <w:bCs/>
                <w:color w:val="auto"/>
                <w:sz w:val="21"/>
                <w:szCs w:val="21"/>
                <w:lang w:val="en-US" w:eastAsia="zh-CN"/>
              </w:rPr>
            </w:pPr>
          </w:p>
          <w:p w14:paraId="0B22F341">
            <w:pPr>
              <w:widowControl/>
              <w:snapToGrid w:val="0"/>
              <w:spacing w:line="360" w:lineRule="auto"/>
              <w:ind w:firstLine="428" w:firstLineChars="204"/>
              <w:rPr>
                <w:rFonts w:hint="eastAsia"/>
                <w:bCs/>
                <w:color w:val="auto"/>
                <w:sz w:val="21"/>
                <w:szCs w:val="21"/>
                <w:lang w:val="en-US" w:eastAsia="zh-CN"/>
              </w:rPr>
            </w:pPr>
          </w:p>
          <w:p w14:paraId="767A9021">
            <w:pPr>
              <w:widowControl/>
              <w:snapToGrid w:val="0"/>
              <w:spacing w:line="360" w:lineRule="auto"/>
              <w:ind w:firstLine="428" w:firstLineChars="204"/>
              <w:rPr>
                <w:rFonts w:hint="eastAsia"/>
                <w:bCs/>
                <w:color w:val="auto"/>
                <w:sz w:val="21"/>
                <w:szCs w:val="21"/>
                <w:lang w:val="en-US" w:eastAsia="zh-CN"/>
              </w:rPr>
            </w:pPr>
          </w:p>
          <w:p w14:paraId="04B7B8FF">
            <w:pPr>
              <w:widowControl/>
              <w:snapToGrid w:val="0"/>
              <w:spacing w:line="360" w:lineRule="auto"/>
              <w:ind w:firstLine="428" w:firstLineChars="204"/>
              <w:rPr>
                <w:rFonts w:hint="eastAsia"/>
                <w:bCs/>
                <w:color w:val="auto"/>
                <w:sz w:val="21"/>
                <w:szCs w:val="21"/>
                <w:lang w:val="en-US" w:eastAsia="zh-CN"/>
              </w:rPr>
            </w:pPr>
          </w:p>
          <w:p w14:paraId="2F3283B7">
            <w:pPr>
              <w:widowControl/>
              <w:snapToGrid w:val="0"/>
              <w:spacing w:line="360" w:lineRule="auto"/>
              <w:ind w:firstLine="428" w:firstLineChars="204"/>
              <w:rPr>
                <w:rFonts w:hint="eastAsia"/>
                <w:bCs/>
                <w:color w:val="auto"/>
                <w:sz w:val="21"/>
                <w:szCs w:val="21"/>
                <w:lang w:val="en-US" w:eastAsia="zh-CN"/>
              </w:rPr>
            </w:pPr>
          </w:p>
          <w:p w14:paraId="264C1F58">
            <w:pPr>
              <w:widowControl/>
              <w:snapToGrid w:val="0"/>
              <w:spacing w:line="360" w:lineRule="auto"/>
              <w:ind w:firstLine="428" w:firstLineChars="204"/>
              <w:rPr>
                <w:rFonts w:hint="eastAsia"/>
                <w:bCs/>
                <w:color w:val="auto"/>
                <w:sz w:val="21"/>
                <w:szCs w:val="21"/>
                <w:lang w:val="en-US" w:eastAsia="zh-CN"/>
              </w:rPr>
            </w:pPr>
          </w:p>
          <w:p w14:paraId="541B4BCE">
            <w:pPr>
              <w:widowControl/>
              <w:snapToGrid w:val="0"/>
              <w:spacing w:line="360" w:lineRule="auto"/>
              <w:ind w:firstLine="369" w:firstLineChars="204"/>
              <w:jc w:val="center"/>
              <w:rPr>
                <w:rFonts w:hint="default"/>
                <w:bCs/>
                <w:color w:val="auto"/>
                <w:sz w:val="21"/>
                <w:szCs w:val="21"/>
                <w:lang w:val="en-US" w:eastAsia="zh-CN"/>
              </w:rPr>
            </w:pPr>
            <w:r>
              <w:rPr>
                <w:rFonts w:hint="eastAsia"/>
                <w:b/>
                <w:bCs w:val="0"/>
                <w:color w:val="auto"/>
                <w:sz w:val="18"/>
                <w:szCs w:val="18"/>
                <w:lang w:val="en-US" w:eastAsia="zh-CN"/>
              </w:rPr>
              <w:t>图4-1    污水处理站工艺流程图</w:t>
            </w:r>
          </w:p>
          <w:p w14:paraId="50DF9BD4">
            <w:pPr>
              <w:widowControl/>
              <w:spacing w:line="360" w:lineRule="auto"/>
              <w:ind w:firstLine="420" w:firstLineChars="200"/>
              <w:rPr>
                <w:rFonts w:hint="eastAsia"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 xml:space="preserve">根据设备厂家提供的参数，同时类比同类污水处理设施运行情况，在规范日常污水处理设施管理的情况下，废水中 </w:t>
            </w:r>
            <w:r>
              <w:rPr>
                <w:rFonts w:hint="default" w:ascii="Times New Roman" w:hAnsi="Times New Roman" w:cs="Times New Roman"/>
                <w:color w:val="auto"/>
                <w:szCs w:val="21"/>
                <w:lang w:val="en-US" w:eastAsia="zh-CN"/>
              </w:rPr>
              <w:t>CODcr</w:t>
            </w:r>
            <w:r>
              <w:rPr>
                <w:rFonts w:hint="eastAsia" w:ascii="Times New Roman" w:hAnsi="Times New Roman" w:cs="Times New Roman"/>
                <w:color w:val="auto"/>
                <w:szCs w:val="21"/>
                <w:lang w:val="en-US" w:eastAsia="zh-CN"/>
              </w:rPr>
              <w:t>去除效率可达</w:t>
            </w:r>
            <w:r>
              <w:rPr>
                <w:rFonts w:hint="default" w:ascii="Times New Roman" w:hAnsi="Times New Roman" w:cs="Times New Roman"/>
                <w:color w:val="auto"/>
                <w:szCs w:val="21"/>
                <w:lang w:val="en-US" w:eastAsia="zh-CN"/>
              </w:rPr>
              <w:t>85%</w:t>
            </w:r>
            <w:r>
              <w:rPr>
                <w:rFonts w:hint="eastAsia" w:ascii="Times New Roman" w:hAnsi="Times New Roman" w:cs="Times New Roman"/>
                <w:color w:val="auto"/>
                <w:szCs w:val="21"/>
                <w:lang w:val="en-US" w:eastAsia="zh-CN"/>
              </w:rPr>
              <w:t>以上，</w:t>
            </w:r>
            <w:r>
              <w:rPr>
                <w:rFonts w:hint="default" w:ascii="Times New Roman" w:hAnsi="Times New Roman" w:cs="Times New Roman"/>
                <w:color w:val="auto"/>
                <w:szCs w:val="21"/>
                <w:lang w:val="en-US" w:eastAsia="zh-CN"/>
              </w:rPr>
              <w:t>BOD</w:t>
            </w:r>
            <w:r>
              <w:rPr>
                <w:rFonts w:hint="default" w:ascii="Times New Roman" w:hAnsi="Times New Roman" w:cs="Times New Roman"/>
                <w:color w:val="auto"/>
                <w:szCs w:val="21"/>
                <w:vertAlign w:val="subscript"/>
                <w:lang w:val="en-US" w:eastAsia="zh-CN"/>
              </w:rPr>
              <w:t>5</w:t>
            </w:r>
            <w:r>
              <w:rPr>
                <w:rFonts w:hint="eastAsia" w:ascii="Times New Roman" w:hAnsi="Times New Roman" w:cs="Times New Roman"/>
                <w:color w:val="auto"/>
                <w:szCs w:val="21"/>
                <w:lang w:val="en-US" w:eastAsia="zh-CN"/>
              </w:rPr>
              <w:t xml:space="preserve">去除率可达到 </w:t>
            </w:r>
            <w:r>
              <w:rPr>
                <w:rFonts w:hint="default" w:ascii="Times New Roman" w:hAnsi="Times New Roman" w:cs="Times New Roman"/>
                <w:color w:val="auto"/>
                <w:szCs w:val="21"/>
                <w:lang w:val="en-US" w:eastAsia="zh-CN"/>
              </w:rPr>
              <w:t>90%</w:t>
            </w:r>
            <w:r>
              <w:rPr>
                <w:rFonts w:hint="eastAsia" w:ascii="Times New Roman" w:hAnsi="Times New Roman" w:cs="Times New Roman"/>
                <w:color w:val="auto"/>
                <w:szCs w:val="21"/>
                <w:lang w:val="en-US" w:eastAsia="zh-CN"/>
              </w:rPr>
              <w:t>以上，</w:t>
            </w:r>
            <w:r>
              <w:rPr>
                <w:rFonts w:hint="default" w:ascii="Times New Roman" w:hAnsi="Times New Roman" w:cs="Times New Roman"/>
                <w:color w:val="auto"/>
                <w:szCs w:val="21"/>
                <w:lang w:val="en-US" w:eastAsia="zh-CN"/>
              </w:rPr>
              <w:t xml:space="preserve">SS </w:t>
            </w:r>
            <w:r>
              <w:rPr>
                <w:rFonts w:hint="eastAsia" w:ascii="Times New Roman" w:hAnsi="Times New Roman" w:cs="Times New Roman"/>
                <w:color w:val="auto"/>
                <w:szCs w:val="21"/>
                <w:lang w:val="en-US" w:eastAsia="zh-CN"/>
              </w:rPr>
              <w:t xml:space="preserve">去除率 </w:t>
            </w:r>
            <w:r>
              <w:rPr>
                <w:rFonts w:hint="default" w:ascii="Times New Roman" w:hAnsi="Times New Roman" w:cs="Times New Roman"/>
                <w:color w:val="auto"/>
                <w:szCs w:val="21"/>
                <w:lang w:val="en-US" w:eastAsia="zh-CN"/>
              </w:rPr>
              <w:t>90%</w:t>
            </w:r>
            <w:r>
              <w:rPr>
                <w:rFonts w:hint="eastAsia" w:ascii="Times New Roman" w:hAnsi="Times New Roman" w:cs="Times New Roman"/>
                <w:color w:val="auto"/>
                <w:szCs w:val="21"/>
                <w:lang w:val="en-US" w:eastAsia="zh-CN"/>
              </w:rPr>
              <w:t xml:space="preserve">可达到以上，氨氮去除率可达到 </w:t>
            </w:r>
            <w:r>
              <w:rPr>
                <w:rFonts w:hint="default" w:ascii="Times New Roman" w:hAnsi="Times New Roman" w:cs="Times New Roman"/>
                <w:color w:val="auto"/>
                <w:szCs w:val="21"/>
                <w:lang w:val="en-US" w:eastAsia="zh-CN"/>
              </w:rPr>
              <w:t>80%</w:t>
            </w:r>
            <w:r>
              <w:rPr>
                <w:rFonts w:hint="eastAsia" w:ascii="Times New Roman" w:hAnsi="Times New Roman" w:cs="Times New Roman"/>
                <w:color w:val="auto"/>
                <w:szCs w:val="21"/>
                <w:lang w:val="en-US" w:eastAsia="zh-CN"/>
              </w:rPr>
              <w:t>以上，动植物油去除率可达</w:t>
            </w:r>
            <w:r>
              <w:rPr>
                <w:rFonts w:hint="default" w:ascii="Times New Roman" w:hAnsi="Times New Roman" w:cs="Times New Roman"/>
                <w:color w:val="auto"/>
                <w:szCs w:val="21"/>
                <w:lang w:val="en-US" w:eastAsia="zh-CN"/>
              </w:rPr>
              <w:t>90%</w:t>
            </w:r>
            <w:r>
              <w:rPr>
                <w:rFonts w:hint="eastAsia" w:ascii="Times New Roman" w:hAnsi="Times New Roman" w:cs="Times New Roman"/>
                <w:color w:val="auto"/>
                <w:szCs w:val="21"/>
                <w:lang w:val="en-US" w:eastAsia="zh-CN"/>
              </w:rPr>
              <w:t xml:space="preserve">以上。经处理后，废水水质见表 </w:t>
            </w:r>
            <w:r>
              <w:rPr>
                <w:rFonts w:hint="default" w:ascii="Times New Roman" w:hAnsi="Times New Roman" w:cs="Times New Roman"/>
                <w:color w:val="auto"/>
                <w:szCs w:val="21"/>
                <w:lang w:val="en-US" w:eastAsia="zh-CN"/>
              </w:rPr>
              <w:t>4-</w:t>
            </w:r>
            <w:r>
              <w:rPr>
                <w:rFonts w:hint="eastAsia" w:cs="Times New Roman"/>
                <w:color w:val="auto"/>
                <w:szCs w:val="21"/>
                <w:lang w:val="en-US" w:eastAsia="zh-CN"/>
              </w:rPr>
              <w:t>6</w:t>
            </w:r>
            <w:r>
              <w:rPr>
                <w:rFonts w:hint="eastAsia" w:ascii="Times New Roman" w:hAnsi="Times New Roman" w:cs="Times New Roman"/>
                <w:color w:val="auto"/>
                <w:szCs w:val="21"/>
                <w:lang w:val="en-US" w:eastAsia="zh-CN"/>
              </w:rPr>
              <w:t>。</w:t>
            </w:r>
          </w:p>
          <w:p w14:paraId="68AE356F">
            <w:pPr>
              <w:snapToGrid w:val="0"/>
              <w:spacing w:line="240" w:lineRule="exact"/>
              <w:ind w:firstLine="361" w:firstLineChars="200"/>
              <w:jc w:val="center"/>
              <w:rPr>
                <w:b/>
                <w:bCs/>
                <w:color w:val="auto"/>
                <w:sz w:val="18"/>
                <w:szCs w:val="18"/>
              </w:rPr>
            </w:pPr>
            <w:r>
              <w:rPr>
                <w:b/>
                <w:bCs/>
                <w:color w:val="auto"/>
                <w:sz w:val="18"/>
                <w:szCs w:val="18"/>
              </w:rPr>
              <w:t>表</w:t>
            </w:r>
            <w:r>
              <w:rPr>
                <w:rFonts w:hint="eastAsia"/>
                <w:b/>
                <w:bCs/>
                <w:color w:val="auto"/>
                <w:sz w:val="18"/>
                <w:szCs w:val="18"/>
              </w:rPr>
              <w:t>4-</w:t>
            </w:r>
            <w:r>
              <w:rPr>
                <w:rFonts w:hint="eastAsia"/>
                <w:b/>
                <w:bCs/>
                <w:color w:val="auto"/>
                <w:sz w:val="18"/>
                <w:szCs w:val="18"/>
                <w:lang w:val="en-US" w:eastAsia="zh-CN"/>
              </w:rPr>
              <w:t>6</w:t>
            </w:r>
            <w:r>
              <w:rPr>
                <w:b/>
                <w:bCs/>
                <w:color w:val="auto"/>
                <w:sz w:val="18"/>
                <w:szCs w:val="18"/>
              </w:rPr>
              <w:t xml:space="preserve">    </w:t>
            </w:r>
            <w:r>
              <w:rPr>
                <w:rFonts w:hint="eastAsia"/>
                <w:b/>
                <w:bCs/>
                <w:color w:val="auto"/>
                <w:sz w:val="18"/>
                <w:szCs w:val="18"/>
                <w:lang w:val="en-US" w:eastAsia="zh-CN"/>
              </w:rPr>
              <w:t>污水处理站废水出水情况一览</w:t>
            </w:r>
            <w:r>
              <w:rPr>
                <w:b/>
                <w:bCs/>
                <w:color w:val="auto"/>
                <w:sz w:val="18"/>
                <w:szCs w:val="18"/>
              </w:rPr>
              <w:t>表</w:t>
            </w:r>
          </w:p>
          <w:tbl>
            <w:tblPr>
              <w:tblStyle w:val="48"/>
              <w:tblW w:w="4997"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219"/>
              <w:gridCol w:w="1137"/>
              <w:gridCol w:w="1137"/>
              <w:gridCol w:w="1593"/>
              <w:gridCol w:w="767"/>
              <w:gridCol w:w="1397"/>
              <w:gridCol w:w="768"/>
            </w:tblGrid>
            <w:tr w14:paraId="2A26585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5" w:hRule="atLeast"/>
              </w:trPr>
              <w:tc>
                <w:tcPr>
                  <w:tcW w:w="723" w:type="pct"/>
                  <w:vMerge w:val="restart"/>
                  <w:tcBorders>
                    <w:tl2br w:val="nil"/>
                    <w:tr2bl w:val="nil"/>
                  </w:tcBorders>
                  <w:vAlign w:val="center"/>
                </w:tcPr>
                <w:p w14:paraId="7C1DA33E">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废水量</w:t>
                  </w:r>
                </w:p>
              </w:tc>
              <w:tc>
                <w:tcPr>
                  <w:tcW w:w="715" w:type="pct"/>
                  <w:vMerge w:val="restart"/>
                  <w:tcBorders>
                    <w:tl2br w:val="nil"/>
                    <w:tr2bl w:val="nil"/>
                  </w:tcBorders>
                  <w:vAlign w:val="center"/>
                </w:tcPr>
                <w:p w14:paraId="3FF0A656">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出水口编号</w:t>
                  </w:r>
                </w:p>
              </w:tc>
              <w:tc>
                <w:tcPr>
                  <w:tcW w:w="715" w:type="pct"/>
                  <w:vMerge w:val="restart"/>
                  <w:tcBorders>
                    <w:tl2br w:val="nil"/>
                    <w:tr2bl w:val="nil"/>
                  </w:tcBorders>
                  <w:vAlign w:val="center"/>
                </w:tcPr>
                <w:p w14:paraId="2BF925FF">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污染物</w:t>
                  </w:r>
                </w:p>
              </w:tc>
              <w:tc>
                <w:tcPr>
                  <w:tcW w:w="999" w:type="pct"/>
                  <w:tcBorders>
                    <w:tl2br w:val="nil"/>
                    <w:tr2bl w:val="nil"/>
                  </w:tcBorders>
                  <w:vAlign w:val="center"/>
                </w:tcPr>
                <w:p w14:paraId="7E40BA24">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进水浓度</w:t>
                  </w:r>
                </w:p>
              </w:tc>
              <w:tc>
                <w:tcPr>
                  <w:tcW w:w="484" w:type="pct"/>
                  <w:tcBorders>
                    <w:tl2br w:val="nil"/>
                    <w:tr2bl w:val="nil"/>
                  </w:tcBorders>
                  <w:vAlign w:val="center"/>
                </w:tcPr>
                <w:p w14:paraId="6FAD69FE">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去除率</w:t>
                  </w:r>
                </w:p>
              </w:tc>
              <w:tc>
                <w:tcPr>
                  <w:tcW w:w="876" w:type="pct"/>
                  <w:tcBorders>
                    <w:tl2br w:val="nil"/>
                    <w:tr2bl w:val="nil"/>
                  </w:tcBorders>
                  <w:vAlign w:val="center"/>
                </w:tcPr>
                <w:p w14:paraId="65BF54A6">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排放浓度</w:t>
                  </w:r>
                </w:p>
              </w:tc>
              <w:tc>
                <w:tcPr>
                  <w:tcW w:w="484" w:type="pct"/>
                  <w:tcBorders>
                    <w:tl2br w:val="nil"/>
                    <w:tr2bl w:val="nil"/>
                  </w:tcBorders>
                  <w:vAlign w:val="center"/>
                </w:tcPr>
                <w:p w14:paraId="5A9CCA4F">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排放量</w:t>
                  </w:r>
                </w:p>
              </w:tc>
            </w:tr>
            <w:tr w14:paraId="42068C3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723" w:type="pct"/>
                  <w:vMerge w:val="continue"/>
                  <w:tcBorders>
                    <w:tl2br w:val="nil"/>
                    <w:tr2bl w:val="nil"/>
                  </w:tcBorders>
                  <w:vAlign w:val="center"/>
                </w:tcPr>
                <w:p w14:paraId="25EF2598">
                  <w:pPr>
                    <w:adjustRightInd w:val="0"/>
                    <w:snapToGrid w:val="0"/>
                    <w:spacing w:line="280" w:lineRule="exact"/>
                    <w:contextualSpacing/>
                    <w:jc w:val="center"/>
                    <w:textAlignment w:val="baseline"/>
                    <w:rPr>
                      <w:rFonts w:hint="eastAsia"/>
                      <w:color w:val="auto"/>
                      <w:sz w:val="18"/>
                      <w:szCs w:val="18"/>
                      <w:lang w:val="en-US" w:eastAsia="zh-CN"/>
                    </w:rPr>
                  </w:pPr>
                </w:p>
              </w:tc>
              <w:tc>
                <w:tcPr>
                  <w:tcW w:w="715" w:type="pct"/>
                  <w:vMerge w:val="continue"/>
                  <w:tcBorders>
                    <w:tl2br w:val="nil"/>
                    <w:tr2bl w:val="nil"/>
                  </w:tcBorders>
                  <w:vAlign w:val="center"/>
                </w:tcPr>
                <w:p w14:paraId="6F63D6B9">
                  <w:pPr>
                    <w:adjustRightInd w:val="0"/>
                    <w:snapToGrid w:val="0"/>
                    <w:spacing w:line="280" w:lineRule="exact"/>
                    <w:contextualSpacing/>
                    <w:jc w:val="center"/>
                    <w:textAlignment w:val="baseline"/>
                    <w:rPr>
                      <w:rFonts w:hint="eastAsia"/>
                      <w:color w:val="auto"/>
                      <w:sz w:val="18"/>
                      <w:szCs w:val="18"/>
                      <w:lang w:val="en-US" w:eastAsia="zh-CN"/>
                    </w:rPr>
                  </w:pPr>
                </w:p>
              </w:tc>
              <w:tc>
                <w:tcPr>
                  <w:tcW w:w="715" w:type="pct"/>
                  <w:vMerge w:val="continue"/>
                  <w:tcBorders>
                    <w:tl2br w:val="nil"/>
                    <w:tr2bl w:val="nil"/>
                  </w:tcBorders>
                  <w:vAlign w:val="center"/>
                </w:tcPr>
                <w:p w14:paraId="158C5C4D">
                  <w:pPr>
                    <w:adjustRightInd w:val="0"/>
                    <w:snapToGrid w:val="0"/>
                    <w:spacing w:line="280" w:lineRule="exact"/>
                    <w:contextualSpacing/>
                    <w:jc w:val="center"/>
                    <w:textAlignment w:val="baseline"/>
                    <w:rPr>
                      <w:rFonts w:hint="eastAsia"/>
                      <w:color w:val="auto"/>
                      <w:sz w:val="18"/>
                      <w:szCs w:val="18"/>
                      <w:lang w:val="en-US" w:eastAsia="zh-CN"/>
                    </w:rPr>
                  </w:pPr>
                </w:p>
              </w:tc>
              <w:tc>
                <w:tcPr>
                  <w:tcW w:w="999" w:type="pct"/>
                  <w:tcBorders>
                    <w:tl2br w:val="nil"/>
                    <w:tr2bl w:val="nil"/>
                  </w:tcBorders>
                  <w:vAlign w:val="center"/>
                </w:tcPr>
                <w:p w14:paraId="19381135">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mg/L</w:t>
                  </w:r>
                </w:p>
              </w:tc>
              <w:tc>
                <w:tcPr>
                  <w:tcW w:w="484" w:type="pct"/>
                  <w:tcBorders>
                    <w:tl2br w:val="nil"/>
                    <w:tr2bl w:val="nil"/>
                  </w:tcBorders>
                  <w:vAlign w:val="center"/>
                </w:tcPr>
                <w:p w14:paraId="389C4CB7">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w:t>
                  </w:r>
                </w:p>
              </w:tc>
              <w:tc>
                <w:tcPr>
                  <w:tcW w:w="876" w:type="pct"/>
                  <w:tcBorders>
                    <w:tl2br w:val="nil"/>
                    <w:tr2bl w:val="nil"/>
                  </w:tcBorders>
                  <w:vAlign w:val="center"/>
                </w:tcPr>
                <w:p w14:paraId="2582971F">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mg/L</w:t>
                  </w:r>
                </w:p>
              </w:tc>
              <w:tc>
                <w:tcPr>
                  <w:tcW w:w="484" w:type="pct"/>
                  <w:tcBorders>
                    <w:tl2br w:val="nil"/>
                    <w:tr2bl w:val="nil"/>
                  </w:tcBorders>
                  <w:vAlign w:val="center"/>
                </w:tcPr>
                <w:p w14:paraId="42B8A32C">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t/a</w:t>
                  </w:r>
                </w:p>
              </w:tc>
            </w:tr>
            <w:tr w14:paraId="1EC879A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31" w:hRule="atLeast"/>
              </w:trPr>
              <w:tc>
                <w:tcPr>
                  <w:tcW w:w="723" w:type="pct"/>
                  <w:vMerge w:val="restart"/>
                  <w:tcBorders>
                    <w:tl2br w:val="nil"/>
                    <w:tr2bl w:val="nil"/>
                  </w:tcBorders>
                  <w:vAlign w:val="center"/>
                </w:tcPr>
                <w:p w14:paraId="677AB9AF">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64012.04m</w:t>
                  </w:r>
                  <w:r>
                    <w:rPr>
                      <w:rFonts w:hint="eastAsia"/>
                      <w:color w:val="auto"/>
                      <w:sz w:val="18"/>
                      <w:szCs w:val="18"/>
                      <w:vertAlign w:val="superscript"/>
                      <w:lang w:val="en-US" w:eastAsia="zh-CN"/>
                    </w:rPr>
                    <w:t>3</w:t>
                  </w:r>
                  <w:r>
                    <w:rPr>
                      <w:rFonts w:hint="eastAsia"/>
                      <w:color w:val="auto"/>
                      <w:sz w:val="18"/>
                      <w:szCs w:val="18"/>
                      <w:lang w:val="en-US" w:eastAsia="zh-CN"/>
                    </w:rPr>
                    <w:t>/a</w:t>
                  </w:r>
                </w:p>
              </w:tc>
              <w:tc>
                <w:tcPr>
                  <w:tcW w:w="715" w:type="pct"/>
                  <w:vMerge w:val="restart"/>
                  <w:tcBorders>
                    <w:tl2br w:val="nil"/>
                    <w:tr2bl w:val="nil"/>
                  </w:tcBorders>
                  <w:vAlign w:val="center"/>
                </w:tcPr>
                <w:p w14:paraId="61FD2A09">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DW001</w:t>
                  </w:r>
                </w:p>
              </w:tc>
              <w:tc>
                <w:tcPr>
                  <w:tcW w:w="715" w:type="pct"/>
                  <w:tcBorders>
                    <w:tl2br w:val="nil"/>
                    <w:tr2bl w:val="nil"/>
                  </w:tcBorders>
                  <w:vAlign w:val="center"/>
                </w:tcPr>
                <w:p w14:paraId="093F0DD4">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CODcr</w:t>
                  </w:r>
                </w:p>
              </w:tc>
              <w:tc>
                <w:tcPr>
                  <w:tcW w:w="999" w:type="pct"/>
                  <w:tcBorders>
                    <w:tl2br w:val="nil"/>
                    <w:tr2bl w:val="nil"/>
                  </w:tcBorders>
                  <w:vAlign w:val="center"/>
                </w:tcPr>
                <w:p w14:paraId="5132B9D6">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300</w:t>
                  </w:r>
                </w:p>
              </w:tc>
              <w:tc>
                <w:tcPr>
                  <w:tcW w:w="484" w:type="pct"/>
                  <w:tcBorders>
                    <w:tl2br w:val="nil"/>
                    <w:tr2bl w:val="nil"/>
                  </w:tcBorders>
                  <w:vAlign w:val="center"/>
                </w:tcPr>
                <w:p w14:paraId="488994DA">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85</w:t>
                  </w:r>
                </w:p>
              </w:tc>
              <w:tc>
                <w:tcPr>
                  <w:tcW w:w="876" w:type="pct"/>
                  <w:tcBorders>
                    <w:tl2br w:val="nil"/>
                    <w:tr2bl w:val="nil"/>
                  </w:tcBorders>
                  <w:vAlign w:val="center"/>
                </w:tcPr>
                <w:p w14:paraId="6FA5A39E">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45</w:t>
                  </w:r>
                </w:p>
              </w:tc>
              <w:tc>
                <w:tcPr>
                  <w:tcW w:w="768" w:type="dxa"/>
                  <w:tcBorders>
                    <w:tl2br w:val="nil"/>
                    <w:tr2bl w:val="nil"/>
                  </w:tcBorders>
                  <w:vAlign w:val="center"/>
                </w:tcPr>
                <w:p w14:paraId="313F0E3E">
                  <w:pPr>
                    <w:keepNext w:val="0"/>
                    <w:keepLines w:val="0"/>
                    <w:widowControl/>
                    <w:suppressLineNumbers w:val="0"/>
                    <w:jc w:val="center"/>
                    <w:textAlignment w:val="center"/>
                    <w:rPr>
                      <w:rFonts w:hint="default"/>
                      <w:color w:val="auto"/>
                      <w:sz w:val="18"/>
                      <w:szCs w:val="18"/>
                      <w:lang w:val="en-US" w:eastAsia="zh-CN"/>
                    </w:rPr>
                  </w:pPr>
                  <w:r>
                    <w:rPr>
                      <w:rFonts w:hint="default" w:ascii="Times New Roman" w:hAnsi="Times New Roman" w:eastAsia="宋体" w:cs="Times New Roman"/>
                      <w:i w:val="0"/>
                      <w:iCs w:val="0"/>
                      <w:color w:val="000000"/>
                      <w:kern w:val="0"/>
                      <w:sz w:val="18"/>
                      <w:szCs w:val="18"/>
                      <w:u w:val="none"/>
                      <w:lang w:val="en-US" w:eastAsia="zh-CN" w:bidi="ar"/>
                    </w:rPr>
                    <w:t xml:space="preserve">2.881 </w:t>
                  </w:r>
                </w:p>
              </w:tc>
            </w:tr>
            <w:tr w14:paraId="1B9F5D9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57" w:hRule="atLeast"/>
              </w:trPr>
              <w:tc>
                <w:tcPr>
                  <w:tcW w:w="723" w:type="pct"/>
                  <w:vMerge w:val="continue"/>
                  <w:tcBorders>
                    <w:tl2br w:val="nil"/>
                    <w:tr2bl w:val="nil"/>
                  </w:tcBorders>
                  <w:vAlign w:val="center"/>
                </w:tcPr>
                <w:p w14:paraId="7223D8B1">
                  <w:pPr>
                    <w:adjustRightInd w:val="0"/>
                    <w:snapToGrid w:val="0"/>
                    <w:spacing w:line="280" w:lineRule="exact"/>
                    <w:contextualSpacing/>
                    <w:jc w:val="center"/>
                    <w:textAlignment w:val="baseline"/>
                    <w:rPr>
                      <w:rFonts w:hint="default"/>
                      <w:color w:val="auto"/>
                      <w:sz w:val="18"/>
                      <w:szCs w:val="18"/>
                      <w:lang w:val="en-US" w:eastAsia="zh-CN"/>
                    </w:rPr>
                  </w:pPr>
                </w:p>
              </w:tc>
              <w:tc>
                <w:tcPr>
                  <w:tcW w:w="715" w:type="pct"/>
                  <w:vMerge w:val="continue"/>
                  <w:tcBorders>
                    <w:tl2br w:val="nil"/>
                    <w:tr2bl w:val="nil"/>
                  </w:tcBorders>
                  <w:vAlign w:val="center"/>
                </w:tcPr>
                <w:p w14:paraId="0396243C">
                  <w:pPr>
                    <w:adjustRightInd w:val="0"/>
                    <w:snapToGrid w:val="0"/>
                    <w:spacing w:line="280" w:lineRule="exact"/>
                    <w:contextualSpacing/>
                    <w:jc w:val="center"/>
                    <w:textAlignment w:val="baseline"/>
                    <w:rPr>
                      <w:rFonts w:hint="default"/>
                      <w:color w:val="auto"/>
                      <w:sz w:val="18"/>
                      <w:szCs w:val="18"/>
                      <w:lang w:val="en-US" w:eastAsia="zh-CN"/>
                    </w:rPr>
                  </w:pPr>
                </w:p>
              </w:tc>
              <w:tc>
                <w:tcPr>
                  <w:tcW w:w="715" w:type="pct"/>
                  <w:tcBorders>
                    <w:tl2br w:val="nil"/>
                    <w:tr2bl w:val="nil"/>
                  </w:tcBorders>
                  <w:vAlign w:val="center"/>
                </w:tcPr>
                <w:p w14:paraId="70F8B300">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BOD</w:t>
                  </w:r>
                  <w:r>
                    <w:rPr>
                      <w:rFonts w:hint="eastAsia"/>
                      <w:color w:val="auto"/>
                      <w:sz w:val="18"/>
                      <w:szCs w:val="18"/>
                      <w:vertAlign w:val="subscript"/>
                      <w:lang w:val="en-US" w:eastAsia="zh-CN"/>
                    </w:rPr>
                    <w:t>5</w:t>
                  </w:r>
                </w:p>
              </w:tc>
              <w:tc>
                <w:tcPr>
                  <w:tcW w:w="999" w:type="pct"/>
                  <w:tcBorders>
                    <w:tl2br w:val="nil"/>
                    <w:tr2bl w:val="nil"/>
                  </w:tcBorders>
                  <w:vAlign w:val="center"/>
                </w:tcPr>
                <w:p w14:paraId="66680DA2">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150</w:t>
                  </w:r>
                </w:p>
              </w:tc>
              <w:tc>
                <w:tcPr>
                  <w:tcW w:w="484" w:type="pct"/>
                  <w:tcBorders>
                    <w:tl2br w:val="nil"/>
                    <w:tr2bl w:val="nil"/>
                  </w:tcBorders>
                  <w:vAlign w:val="center"/>
                </w:tcPr>
                <w:p w14:paraId="2240C376">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90</w:t>
                  </w:r>
                </w:p>
              </w:tc>
              <w:tc>
                <w:tcPr>
                  <w:tcW w:w="876" w:type="pct"/>
                  <w:tcBorders>
                    <w:tl2br w:val="nil"/>
                    <w:tr2bl w:val="nil"/>
                  </w:tcBorders>
                  <w:vAlign w:val="center"/>
                </w:tcPr>
                <w:p w14:paraId="3B7A9EA1">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15</w:t>
                  </w:r>
                </w:p>
              </w:tc>
              <w:tc>
                <w:tcPr>
                  <w:tcW w:w="768" w:type="dxa"/>
                  <w:tcBorders>
                    <w:tl2br w:val="nil"/>
                    <w:tr2bl w:val="nil"/>
                  </w:tcBorders>
                  <w:vAlign w:val="center"/>
                </w:tcPr>
                <w:p w14:paraId="4195687F">
                  <w:pPr>
                    <w:keepNext w:val="0"/>
                    <w:keepLines w:val="0"/>
                    <w:widowControl/>
                    <w:suppressLineNumbers w:val="0"/>
                    <w:jc w:val="center"/>
                    <w:textAlignment w:val="center"/>
                    <w:rPr>
                      <w:rFonts w:hint="default"/>
                      <w:color w:val="auto"/>
                      <w:sz w:val="18"/>
                      <w:szCs w:val="18"/>
                      <w:lang w:val="en-US" w:eastAsia="zh-CN"/>
                    </w:rPr>
                  </w:pPr>
                  <w:r>
                    <w:rPr>
                      <w:rFonts w:hint="default" w:ascii="Times New Roman" w:hAnsi="Times New Roman" w:eastAsia="宋体" w:cs="Times New Roman"/>
                      <w:i w:val="0"/>
                      <w:iCs w:val="0"/>
                      <w:color w:val="000000"/>
                      <w:kern w:val="0"/>
                      <w:sz w:val="18"/>
                      <w:szCs w:val="18"/>
                      <w:u w:val="none"/>
                      <w:lang w:val="en-US" w:eastAsia="zh-CN" w:bidi="ar"/>
                    </w:rPr>
                    <w:t xml:space="preserve">0.960 </w:t>
                  </w:r>
                </w:p>
              </w:tc>
            </w:tr>
            <w:tr w14:paraId="5411BE0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5" w:hRule="atLeast"/>
              </w:trPr>
              <w:tc>
                <w:tcPr>
                  <w:tcW w:w="723" w:type="pct"/>
                  <w:vMerge w:val="continue"/>
                  <w:tcBorders>
                    <w:tl2br w:val="nil"/>
                    <w:tr2bl w:val="nil"/>
                  </w:tcBorders>
                  <w:vAlign w:val="center"/>
                </w:tcPr>
                <w:p w14:paraId="4D5B45E7">
                  <w:pPr>
                    <w:adjustRightInd w:val="0"/>
                    <w:snapToGrid w:val="0"/>
                    <w:spacing w:line="280" w:lineRule="exact"/>
                    <w:contextualSpacing/>
                    <w:jc w:val="center"/>
                    <w:textAlignment w:val="baseline"/>
                    <w:rPr>
                      <w:rFonts w:hint="default"/>
                      <w:color w:val="auto"/>
                      <w:sz w:val="18"/>
                      <w:szCs w:val="18"/>
                      <w:lang w:val="en-US" w:eastAsia="zh-CN"/>
                    </w:rPr>
                  </w:pPr>
                </w:p>
              </w:tc>
              <w:tc>
                <w:tcPr>
                  <w:tcW w:w="715" w:type="pct"/>
                  <w:vMerge w:val="continue"/>
                  <w:tcBorders>
                    <w:tl2br w:val="nil"/>
                    <w:tr2bl w:val="nil"/>
                  </w:tcBorders>
                  <w:vAlign w:val="center"/>
                </w:tcPr>
                <w:p w14:paraId="144F51F6">
                  <w:pPr>
                    <w:adjustRightInd w:val="0"/>
                    <w:snapToGrid w:val="0"/>
                    <w:spacing w:line="280" w:lineRule="exact"/>
                    <w:contextualSpacing/>
                    <w:jc w:val="center"/>
                    <w:textAlignment w:val="baseline"/>
                    <w:rPr>
                      <w:rFonts w:hint="default"/>
                      <w:color w:val="auto"/>
                      <w:sz w:val="18"/>
                      <w:szCs w:val="18"/>
                      <w:lang w:val="en-US" w:eastAsia="zh-CN"/>
                    </w:rPr>
                  </w:pPr>
                </w:p>
              </w:tc>
              <w:tc>
                <w:tcPr>
                  <w:tcW w:w="715" w:type="pct"/>
                  <w:tcBorders>
                    <w:tl2br w:val="nil"/>
                    <w:tr2bl w:val="nil"/>
                  </w:tcBorders>
                  <w:vAlign w:val="center"/>
                </w:tcPr>
                <w:p w14:paraId="3B8D4D50">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SS</w:t>
                  </w:r>
                </w:p>
              </w:tc>
              <w:tc>
                <w:tcPr>
                  <w:tcW w:w="999" w:type="pct"/>
                  <w:tcBorders>
                    <w:tl2br w:val="nil"/>
                    <w:tr2bl w:val="nil"/>
                  </w:tcBorders>
                  <w:vAlign w:val="center"/>
                </w:tcPr>
                <w:p w14:paraId="2C9EA2E2">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120</w:t>
                  </w:r>
                </w:p>
              </w:tc>
              <w:tc>
                <w:tcPr>
                  <w:tcW w:w="484" w:type="pct"/>
                  <w:tcBorders>
                    <w:tl2br w:val="nil"/>
                    <w:tr2bl w:val="nil"/>
                  </w:tcBorders>
                  <w:vAlign w:val="center"/>
                </w:tcPr>
                <w:p w14:paraId="556CDE51">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90</w:t>
                  </w:r>
                </w:p>
              </w:tc>
              <w:tc>
                <w:tcPr>
                  <w:tcW w:w="876" w:type="pct"/>
                  <w:tcBorders>
                    <w:tl2br w:val="nil"/>
                    <w:tr2bl w:val="nil"/>
                  </w:tcBorders>
                  <w:vAlign w:val="center"/>
                </w:tcPr>
                <w:p w14:paraId="578B9D51">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12</w:t>
                  </w:r>
                </w:p>
              </w:tc>
              <w:tc>
                <w:tcPr>
                  <w:tcW w:w="768" w:type="dxa"/>
                  <w:tcBorders>
                    <w:tl2br w:val="nil"/>
                    <w:tr2bl w:val="nil"/>
                  </w:tcBorders>
                  <w:vAlign w:val="center"/>
                </w:tcPr>
                <w:p w14:paraId="47A5ABB1">
                  <w:pPr>
                    <w:keepNext w:val="0"/>
                    <w:keepLines w:val="0"/>
                    <w:widowControl/>
                    <w:suppressLineNumbers w:val="0"/>
                    <w:jc w:val="center"/>
                    <w:textAlignment w:val="center"/>
                    <w:rPr>
                      <w:rFonts w:hint="default"/>
                      <w:color w:val="auto"/>
                      <w:sz w:val="18"/>
                      <w:szCs w:val="18"/>
                      <w:lang w:val="en-US" w:eastAsia="zh-CN"/>
                    </w:rPr>
                  </w:pPr>
                  <w:r>
                    <w:rPr>
                      <w:rFonts w:hint="default" w:ascii="Times New Roman" w:hAnsi="Times New Roman" w:eastAsia="宋体" w:cs="Times New Roman"/>
                      <w:i w:val="0"/>
                      <w:iCs w:val="0"/>
                      <w:color w:val="000000"/>
                      <w:kern w:val="0"/>
                      <w:sz w:val="18"/>
                      <w:szCs w:val="18"/>
                      <w:u w:val="none"/>
                      <w:lang w:val="en-US" w:eastAsia="zh-CN" w:bidi="ar"/>
                    </w:rPr>
                    <w:t xml:space="preserve">0.768 </w:t>
                  </w:r>
                </w:p>
              </w:tc>
            </w:tr>
            <w:tr w14:paraId="353515D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8" w:hRule="atLeast"/>
              </w:trPr>
              <w:tc>
                <w:tcPr>
                  <w:tcW w:w="723" w:type="pct"/>
                  <w:vMerge w:val="continue"/>
                  <w:tcBorders>
                    <w:tl2br w:val="nil"/>
                    <w:tr2bl w:val="nil"/>
                  </w:tcBorders>
                  <w:vAlign w:val="center"/>
                </w:tcPr>
                <w:p w14:paraId="101E5C8A">
                  <w:pPr>
                    <w:adjustRightInd w:val="0"/>
                    <w:snapToGrid w:val="0"/>
                    <w:spacing w:line="280" w:lineRule="exact"/>
                    <w:contextualSpacing/>
                    <w:jc w:val="center"/>
                    <w:textAlignment w:val="baseline"/>
                    <w:rPr>
                      <w:rFonts w:hint="default"/>
                      <w:color w:val="auto"/>
                      <w:sz w:val="18"/>
                      <w:szCs w:val="18"/>
                      <w:lang w:val="en-US" w:eastAsia="zh-CN"/>
                    </w:rPr>
                  </w:pPr>
                </w:p>
              </w:tc>
              <w:tc>
                <w:tcPr>
                  <w:tcW w:w="715" w:type="pct"/>
                  <w:vMerge w:val="continue"/>
                  <w:tcBorders>
                    <w:tl2br w:val="nil"/>
                    <w:tr2bl w:val="nil"/>
                  </w:tcBorders>
                  <w:vAlign w:val="center"/>
                </w:tcPr>
                <w:p w14:paraId="1CF7AA3F">
                  <w:pPr>
                    <w:adjustRightInd w:val="0"/>
                    <w:snapToGrid w:val="0"/>
                    <w:spacing w:line="280" w:lineRule="exact"/>
                    <w:contextualSpacing/>
                    <w:jc w:val="center"/>
                    <w:textAlignment w:val="baseline"/>
                    <w:rPr>
                      <w:rFonts w:hint="default"/>
                      <w:color w:val="auto"/>
                      <w:sz w:val="18"/>
                      <w:szCs w:val="18"/>
                      <w:lang w:val="en-US" w:eastAsia="zh-CN"/>
                    </w:rPr>
                  </w:pPr>
                </w:p>
              </w:tc>
              <w:tc>
                <w:tcPr>
                  <w:tcW w:w="715" w:type="pct"/>
                  <w:tcBorders>
                    <w:tl2br w:val="nil"/>
                    <w:tr2bl w:val="nil"/>
                  </w:tcBorders>
                  <w:vAlign w:val="center"/>
                </w:tcPr>
                <w:p w14:paraId="2D99CEC2">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氨氮</w:t>
                  </w:r>
                </w:p>
              </w:tc>
              <w:tc>
                <w:tcPr>
                  <w:tcW w:w="999" w:type="pct"/>
                  <w:tcBorders>
                    <w:tl2br w:val="nil"/>
                    <w:tr2bl w:val="nil"/>
                  </w:tcBorders>
                  <w:vAlign w:val="center"/>
                </w:tcPr>
                <w:p w14:paraId="5DAA82B5">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50</w:t>
                  </w:r>
                </w:p>
              </w:tc>
              <w:tc>
                <w:tcPr>
                  <w:tcW w:w="484" w:type="pct"/>
                  <w:tcBorders>
                    <w:tl2br w:val="nil"/>
                    <w:tr2bl w:val="nil"/>
                  </w:tcBorders>
                  <w:vAlign w:val="center"/>
                </w:tcPr>
                <w:p w14:paraId="1D04CEBB">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80</w:t>
                  </w:r>
                </w:p>
              </w:tc>
              <w:tc>
                <w:tcPr>
                  <w:tcW w:w="876" w:type="pct"/>
                  <w:tcBorders>
                    <w:tl2br w:val="nil"/>
                    <w:tr2bl w:val="nil"/>
                  </w:tcBorders>
                  <w:vAlign w:val="center"/>
                </w:tcPr>
                <w:p w14:paraId="043F1BFB">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10</w:t>
                  </w:r>
                </w:p>
              </w:tc>
              <w:tc>
                <w:tcPr>
                  <w:tcW w:w="768" w:type="dxa"/>
                  <w:tcBorders>
                    <w:tl2br w:val="nil"/>
                    <w:tr2bl w:val="nil"/>
                  </w:tcBorders>
                  <w:vAlign w:val="center"/>
                </w:tcPr>
                <w:p w14:paraId="02EA0E2E">
                  <w:pPr>
                    <w:keepNext w:val="0"/>
                    <w:keepLines w:val="0"/>
                    <w:widowControl/>
                    <w:suppressLineNumbers w:val="0"/>
                    <w:jc w:val="center"/>
                    <w:textAlignment w:val="center"/>
                    <w:rPr>
                      <w:rFonts w:hint="default"/>
                      <w:color w:val="auto"/>
                      <w:sz w:val="18"/>
                      <w:szCs w:val="18"/>
                      <w:lang w:val="en-US" w:eastAsia="zh-CN"/>
                    </w:rPr>
                  </w:pPr>
                  <w:r>
                    <w:rPr>
                      <w:rFonts w:hint="default" w:ascii="Times New Roman" w:hAnsi="Times New Roman" w:eastAsia="宋体" w:cs="Times New Roman"/>
                      <w:i w:val="0"/>
                      <w:iCs w:val="0"/>
                      <w:color w:val="000000"/>
                      <w:kern w:val="0"/>
                      <w:sz w:val="18"/>
                      <w:szCs w:val="18"/>
                      <w:u w:val="none"/>
                      <w:lang w:val="en-US" w:eastAsia="zh-CN" w:bidi="ar"/>
                    </w:rPr>
                    <w:t xml:space="preserve">0.640 </w:t>
                  </w:r>
                </w:p>
              </w:tc>
            </w:tr>
            <w:tr w14:paraId="4D3ADE0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2" w:hRule="atLeast"/>
              </w:trPr>
              <w:tc>
                <w:tcPr>
                  <w:tcW w:w="723" w:type="pct"/>
                  <w:vMerge w:val="continue"/>
                  <w:tcBorders>
                    <w:tl2br w:val="nil"/>
                    <w:tr2bl w:val="nil"/>
                  </w:tcBorders>
                  <w:vAlign w:val="center"/>
                </w:tcPr>
                <w:p w14:paraId="0F475BC0">
                  <w:pPr>
                    <w:adjustRightInd w:val="0"/>
                    <w:snapToGrid w:val="0"/>
                    <w:spacing w:line="280" w:lineRule="exact"/>
                    <w:contextualSpacing/>
                    <w:jc w:val="center"/>
                    <w:textAlignment w:val="baseline"/>
                    <w:rPr>
                      <w:rFonts w:hint="default"/>
                      <w:color w:val="auto"/>
                      <w:sz w:val="18"/>
                      <w:szCs w:val="18"/>
                      <w:lang w:val="en-US" w:eastAsia="zh-CN"/>
                    </w:rPr>
                  </w:pPr>
                </w:p>
              </w:tc>
              <w:tc>
                <w:tcPr>
                  <w:tcW w:w="715" w:type="pct"/>
                  <w:vMerge w:val="continue"/>
                  <w:tcBorders>
                    <w:tl2br w:val="nil"/>
                    <w:tr2bl w:val="nil"/>
                  </w:tcBorders>
                  <w:vAlign w:val="center"/>
                </w:tcPr>
                <w:p w14:paraId="11B10EB8">
                  <w:pPr>
                    <w:adjustRightInd w:val="0"/>
                    <w:snapToGrid w:val="0"/>
                    <w:spacing w:line="280" w:lineRule="exact"/>
                    <w:contextualSpacing/>
                    <w:jc w:val="center"/>
                    <w:textAlignment w:val="baseline"/>
                    <w:rPr>
                      <w:rFonts w:hint="default"/>
                      <w:color w:val="auto"/>
                      <w:sz w:val="18"/>
                      <w:szCs w:val="18"/>
                      <w:lang w:val="en-US" w:eastAsia="zh-CN"/>
                    </w:rPr>
                  </w:pPr>
                </w:p>
              </w:tc>
              <w:tc>
                <w:tcPr>
                  <w:tcW w:w="715" w:type="pct"/>
                  <w:tcBorders>
                    <w:tl2br w:val="nil"/>
                    <w:tr2bl w:val="nil"/>
                  </w:tcBorders>
                  <w:vAlign w:val="center"/>
                </w:tcPr>
                <w:p w14:paraId="1584C4FC">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动植物油</w:t>
                  </w:r>
                </w:p>
              </w:tc>
              <w:tc>
                <w:tcPr>
                  <w:tcW w:w="999" w:type="pct"/>
                  <w:tcBorders>
                    <w:tl2br w:val="nil"/>
                    <w:tr2bl w:val="nil"/>
                  </w:tcBorders>
                  <w:vAlign w:val="center"/>
                </w:tcPr>
                <w:p w14:paraId="19A3937D">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40</w:t>
                  </w:r>
                </w:p>
              </w:tc>
              <w:tc>
                <w:tcPr>
                  <w:tcW w:w="484" w:type="pct"/>
                  <w:tcBorders>
                    <w:tl2br w:val="nil"/>
                    <w:tr2bl w:val="nil"/>
                  </w:tcBorders>
                  <w:vAlign w:val="center"/>
                </w:tcPr>
                <w:p w14:paraId="4C0E3B00">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90</w:t>
                  </w:r>
                </w:p>
              </w:tc>
              <w:tc>
                <w:tcPr>
                  <w:tcW w:w="876" w:type="pct"/>
                  <w:tcBorders>
                    <w:tl2br w:val="nil"/>
                    <w:tr2bl w:val="nil"/>
                  </w:tcBorders>
                  <w:vAlign w:val="center"/>
                </w:tcPr>
                <w:p w14:paraId="1B940086">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4</w:t>
                  </w:r>
                </w:p>
              </w:tc>
              <w:tc>
                <w:tcPr>
                  <w:tcW w:w="768" w:type="dxa"/>
                  <w:tcBorders>
                    <w:tl2br w:val="nil"/>
                    <w:tr2bl w:val="nil"/>
                  </w:tcBorders>
                  <w:vAlign w:val="center"/>
                </w:tcPr>
                <w:p w14:paraId="4C11BF3D">
                  <w:pPr>
                    <w:keepNext w:val="0"/>
                    <w:keepLines w:val="0"/>
                    <w:widowControl/>
                    <w:suppressLineNumbers w:val="0"/>
                    <w:jc w:val="center"/>
                    <w:textAlignment w:val="center"/>
                    <w:rPr>
                      <w:rFonts w:hint="default"/>
                      <w:color w:val="auto"/>
                      <w:sz w:val="18"/>
                      <w:szCs w:val="18"/>
                      <w:lang w:val="en-US" w:eastAsia="zh-CN"/>
                    </w:rPr>
                  </w:pPr>
                  <w:r>
                    <w:rPr>
                      <w:rFonts w:hint="default" w:ascii="Times New Roman" w:hAnsi="Times New Roman" w:eastAsia="宋体" w:cs="Times New Roman"/>
                      <w:i w:val="0"/>
                      <w:iCs w:val="0"/>
                      <w:color w:val="000000"/>
                      <w:kern w:val="0"/>
                      <w:sz w:val="18"/>
                      <w:szCs w:val="18"/>
                      <w:u w:val="none"/>
                      <w:lang w:val="en-US" w:eastAsia="zh-CN" w:bidi="ar"/>
                    </w:rPr>
                    <w:t xml:space="preserve">0.256 </w:t>
                  </w:r>
                </w:p>
              </w:tc>
            </w:tr>
            <w:tr w14:paraId="414CBE8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2" w:hRule="atLeast"/>
              </w:trPr>
              <w:tc>
                <w:tcPr>
                  <w:tcW w:w="723" w:type="pct"/>
                  <w:vMerge w:val="continue"/>
                  <w:tcBorders>
                    <w:tl2br w:val="nil"/>
                    <w:tr2bl w:val="nil"/>
                  </w:tcBorders>
                  <w:vAlign w:val="center"/>
                </w:tcPr>
                <w:p w14:paraId="06A5B592">
                  <w:pPr>
                    <w:adjustRightInd w:val="0"/>
                    <w:snapToGrid w:val="0"/>
                    <w:spacing w:line="280" w:lineRule="exact"/>
                    <w:contextualSpacing/>
                    <w:jc w:val="center"/>
                    <w:textAlignment w:val="baseline"/>
                    <w:rPr>
                      <w:rFonts w:hint="default"/>
                      <w:color w:val="auto"/>
                      <w:sz w:val="18"/>
                      <w:szCs w:val="18"/>
                      <w:lang w:val="en-US" w:eastAsia="zh-CN"/>
                    </w:rPr>
                  </w:pPr>
                </w:p>
              </w:tc>
              <w:tc>
                <w:tcPr>
                  <w:tcW w:w="715" w:type="pct"/>
                  <w:vMerge w:val="continue"/>
                  <w:tcBorders>
                    <w:tl2br w:val="nil"/>
                    <w:tr2bl w:val="nil"/>
                  </w:tcBorders>
                  <w:vAlign w:val="center"/>
                </w:tcPr>
                <w:p w14:paraId="7DB678FA">
                  <w:pPr>
                    <w:adjustRightInd w:val="0"/>
                    <w:snapToGrid w:val="0"/>
                    <w:spacing w:line="280" w:lineRule="exact"/>
                    <w:contextualSpacing/>
                    <w:jc w:val="center"/>
                    <w:textAlignment w:val="baseline"/>
                    <w:rPr>
                      <w:rFonts w:hint="default"/>
                      <w:color w:val="auto"/>
                      <w:sz w:val="18"/>
                      <w:szCs w:val="18"/>
                      <w:lang w:val="en-US" w:eastAsia="zh-CN"/>
                    </w:rPr>
                  </w:pPr>
                </w:p>
              </w:tc>
              <w:tc>
                <w:tcPr>
                  <w:tcW w:w="715" w:type="pct"/>
                  <w:tcBorders>
                    <w:tl2br w:val="nil"/>
                    <w:tr2bl w:val="nil"/>
                  </w:tcBorders>
                  <w:vAlign w:val="center"/>
                </w:tcPr>
                <w:p w14:paraId="070305A2">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粪大肠杆菌</w:t>
                  </w:r>
                </w:p>
              </w:tc>
              <w:tc>
                <w:tcPr>
                  <w:tcW w:w="999" w:type="pct"/>
                  <w:tcBorders>
                    <w:tl2br w:val="nil"/>
                    <w:tr2bl w:val="nil"/>
                  </w:tcBorders>
                  <w:vAlign w:val="center"/>
                </w:tcPr>
                <w:p w14:paraId="32306003">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3.0×10</w:t>
                  </w:r>
                  <w:r>
                    <w:rPr>
                      <w:rFonts w:hint="eastAsia"/>
                      <w:color w:val="auto"/>
                      <w:sz w:val="18"/>
                      <w:szCs w:val="18"/>
                      <w:vertAlign w:val="superscript"/>
                      <w:lang w:val="en-US" w:eastAsia="zh-CN"/>
                    </w:rPr>
                    <w:t>8</w:t>
                  </w:r>
                  <w:r>
                    <w:rPr>
                      <w:rFonts w:hint="eastAsia"/>
                      <w:color w:val="auto"/>
                      <w:sz w:val="18"/>
                      <w:szCs w:val="18"/>
                      <w:lang w:val="en-US" w:eastAsia="zh-CN"/>
                    </w:rPr>
                    <w:t>（个/L）</w:t>
                  </w:r>
                </w:p>
              </w:tc>
              <w:tc>
                <w:tcPr>
                  <w:tcW w:w="484" w:type="pct"/>
                  <w:tcBorders>
                    <w:tl2br w:val="nil"/>
                    <w:tr2bl w:val="nil"/>
                  </w:tcBorders>
                  <w:vAlign w:val="center"/>
                </w:tcPr>
                <w:p w14:paraId="24EAFA4D">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w:t>
                  </w:r>
                </w:p>
              </w:tc>
              <w:tc>
                <w:tcPr>
                  <w:tcW w:w="876" w:type="pct"/>
                  <w:tcBorders>
                    <w:tl2br w:val="nil"/>
                    <w:tr2bl w:val="nil"/>
                  </w:tcBorders>
                  <w:vAlign w:val="center"/>
                </w:tcPr>
                <w:p w14:paraId="10AF7076">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＜500（个/L）</w:t>
                  </w:r>
                </w:p>
              </w:tc>
              <w:tc>
                <w:tcPr>
                  <w:tcW w:w="484" w:type="pct"/>
                  <w:tcBorders>
                    <w:tl2br w:val="nil"/>
                    <w:tr2bl w:val="nil"/>
                  </w:tcBorders>
                  <w:vAlign w:val="center"/>
                </w:tcPr>
                <w:p w14:paraId="7761D493">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w:t>
                  </w:r>
                </w:p>
              </w:tc>
            </w:tr>
          </w:tbl>
          <w:p w14:paraId="2D7C9491">
            <w:pPr>
              <w:widowControl/>
              <w:spacing w:line="360" w:lineRule="auto"/>
              <w:ind w:firstLine="420" w:firstLineChars="200"/>
              <w:rPr>
                <w:rFonts w:hint="eastAsia"/>
                <w:color w:val="auto"/>
                <w:szCs w:val="21"/>
                <w:lang w:val="en-US" w:eastAsia="zh-CN"/>
              </w:rPr>
            </w:pPr>
            <w:r>
              <w:rPr>
                <w:rFonts w:hint="eastAsia"/>
                <w:color w:val="auto"/>
                <w:szCs w:val="21"/>
                <w:lang w:val="en-US" w:eastAsia="zh-CN"/>
              </w:rPr>
              <w:t>由表</w:t>
            </w:r>
            <w:r>
              <w:rPr>
                <w:rFonts w:hint="default"/>
                <w:color w:val="auto"/>
                <w:szCs w:val="21"/>
                <w:lang w:val="en-US" w:eastAsia="zh-CN"/>
              </w:rPr>
              <w:t>4-</w:t>
            </w:r>
            <w:r>
              <w:rPr>
                <w:rFonts w:hint="eastAsia"/>
                <w:color w:val="auto"/>
                <w:szCs w:val="21"/>
                <w:lang w:val="en-US" w:eastAsia="zh-CN"/>
              </w:rPr>
              <w:t>6可知，经污水处理站处理后，废水水质满足《医疗机构水污染物排放标准》（</w:t>
            </w:r>
            <w:r>
              <w:rPr>
                <w:rFonts w:hint="default"/>
                <w:color w:val="auto"/>
                <w:szCs w:val="21"/>
                <w:lang w:val="en-US" w:eastAsia="zh-CN"/>
              </w:rPr>
              <w:t>GB18466-2005</w:t>
            </w:r>
            <w:r>
              <w:rPr>
                <w:rFonts w:hint="eastAsia"/>
                <w:color w:val="auto"/>
                <w:szCs w:val="21"/>
                <w:lang w:val="en-US" w:eastAsia="zh-CN"/>
              </w:rPr>
              <w:t>）表</w:t>
            </w:r>
            <w:r>
              <w:rPr>
                <w:rFonts w:hint="default"/>
                <w:color w:val="auto"/>
                <w:szCs w:val="21"/>
                <w:lang w:val="en-US" w:eastAsia="zh-CN"/>
              </w:rPr>
              <w:t>2</w:t>
            </w:r>
            <w:r>
              <w:rPr>
                <w:rFonts w:hint="eastAsia"/>
                <w:color w:val="auto"/>
                <w:szCs w:val="21"/>
                <w:lang w:val="en-US" w:eastAsia="zh-CN"/>
              </w:rPr>
              <w:t>中预处理标准限值要求。</w:t>
            </w:r>
          </w:p>
          <w:p w14:paraId="2C533765">
            <w:pPr>
              <w:widowControl/>
              <w:spacing w:line="360" w:lineRule="auto"/>
              <w:ind w:firstLine="422" w:firstLineChars="200"/>
              <w:rPr>
                <w:rFonts w:hint="eastAsia"/>
                <w:color w:val="auto"/>
                <w:szCs w:val="21"/>
                <w:lang w:val="en-US" w:eastAsia="zh-CN"/>
              </w:rPr>
            </w:pPr>
            <w:r>
              <w:rPr>
                <w:rFonts w:hint="eastAsia"/>
                <w:b/>
                <w:bCs/>
                <w:color w:val="auto"/>
                <w:szCs w:val="21"/>
                <w:lang w:val="en-US" w:eastAsia="zh-CN"/>
              </w:rPr>
              <w:t>（</w:t>
            </w:r>
            <w:r>
              <w:rPr>
                <w:rFonts w:hint="default"/>
                <w:b/>
                <w:bCs/>
                <w:color w:val="auto"/>
                <w:szCs w:val="21"/>
                <w:lang w:val="en-US" w:eastAsia="zh-CN"/>
              </w:rPr>
              <w:t>5</w:t>
            </w:r>
            <w:r>
              <w:rPr>
                <w:rFonts w:hint="eastAsia"/>
                <w:b/>
                <w:bCs/>
                <w:color w:val="auto"/>
                <w:szCs w:val="21"/>
                <w:lang w:val="en-US" w:eastAsia="zh-CN"/>
              </w:rPr>
              <w:t>）废水处理规模、处理工艺可行性分析</w:t>
            </w:r>
            <w:r>
              <w:rPr>
                <w:rFonts w:hint="eastAsia"/>
                <w:color w:val="auto"/>
                <w:szCs w:val="21"/>
                <w:lang w:val="en-US" w:eastAsia="zh-CN"/>
              </w:rPr>
              <w:t xml:space="preserve"> </w:t>
            </w:r>
          </w:p>
          <w:p w14:paraId="01F5302A">
            <w:pPr>
              <w:widowControl/>
              <w:spacing w:line="360" w:lineRule="auto"/>
              <w:ind w:firstLine="420" w:firstLineChars="200"/>
              <w:rPr>
                <w:rFonts w:hint="eastAsia"/>
                <w:color w:val="auto"/>
                <w:szCs w:val="21"/>
                <w:lang w:val="en-US" w:eastAsia="zh-CN"/>
              </w:rPr>
            </w:pPr>
            <w:r>
              <w:rPr>
                <w:rFonts w:hint="eastAsia"/>
                <w:color w:val="auto"/>
                <w:szCs w:val="21"/>
                <w:lang w:val="en-US" w:eastAsia="zh-CN"/>
              </w:rPr>
              <w:t>本项目医疗废水预处理方式符合《医院污水处理工程技术规范》（</w:t>
            </w:r>
            <w:r>
              <w:rPr>
                <w:rFonts w:hint="default"/>
                <w:color w:val="auto"/>
                <w:szCs w:val="21"/>
                <w:lang w:val="en-US" w:eastAsia="zh-CN"/>
              </w:rPr>
              <w:t>HJ2029</w:t>
            </w:r>
            <w:r>
              <w:rPr>
                <w:rFonts w:hint="eastAsia"/>
                <w:color w:val="auto"/>
                <w:szCs w:val="21"/>
                <w:lang w:val="en-US" w:eastAsia="zh-CN"/>
              </w:rPr>
              <w:t>－</w:t>
            </w:r>
            <w:r>
              <w:rPr>
                <w:rFonts w:hint="default"/>
                <w:color w:val="auto"/>
                <w:szCs w:val="21"/>
                <w:lang w:val="en-US" w:eastAsia="zh-CN"/>
              </w:rPr>
              <w:t>2013</w:t>
            </w:r>
            <w:r>
              <w:rPr>
                <w:rFonts w:hint="eastAsia"/>
                <w:color w:val="auto"/>
                <w:szCs w:val="21"/>
                <w:lang w:val="en-US" w:eastAsia="zh-CN"/>
              </w:rPr>
              <w:t>）、《医院污水处理技术指南》（环发</w:t>
            </w:r>
            <w:r>
              <w:rPr>
                <w:rFonts w:hint="default"/>
                <w:color w:val="auto"/>
                <w:szCs w:val="21"/>
                <w:lang w:val="en-US" w:eastAsia="zh-CN"/>
              </w:rPr>
              <w:t xml:space="preserve">[2003]197 </w:t>
            </w:r>
            <w:r>
              <w:rPr>
                <w:rFonts w:hint="eastAsia"/>
                <w:color w:val="auto"/>
                <w:szCs w:val="21"/>
                <w:lang w:val="en-US" w:eastAsia="zh-CN"/>
              </w:rPr>
              <w:t xml:space="preserve">号）、《排污许可证申请与核发技术规范 医疗机构》 </w:t>
            </w:r>
            <w:r>
              <w:rPr>
                <w:rFonts w:hint="default"/>
                <w:color w:val="auto"/>
                <w:szCs w:val="21"/>
                <w:lang w:val="en-US" w:eastAsia="zh-CN"/>
              </w:rPr>
              <w:t>(HJ1105-2020)</w:t>
            </w:r>
            <w:r>
              <w:rPr>
                <w:rFonts w:hint="eastAsia"/>
                <w:color w:val="auto"/>
                <w:szCs w:val="21"/>
                <w:lang w:val="en-US" w:eastAsia="zh-CN"/>
              </w:rPr>
              <w:t xml:space="preserve">规定要求。 </w:t>
            </w:r>
          </w:p>
          <w:p w14:paraId="77116919">
            <w:pPr>
              <w:widowControl/>
              <w:spacing w:line="360" w:lineRule="auto"/>
              <w:ind w:firstLine="420" w:firstLineChars="200"/>
              <w:rPr>
                <w:rFonts w:hint="eastAsia"/>
                <w:color w:val="auto"/>
                <w:szCs w:val="21"/>
                <w:lang w:val="en-US" w:eastAsia="zh-CN"/>
              </w:rPr>
            </w:pPr>
            <w:r>
              <w:rPr>
                <w:rFonts w:hint="eastAsia"/>
                <w:color w:val="auto"/>
                <w:szCs w:val="21"/>
                <w:lang w:val="en-US" w:eastAsia="zh-CN"/>
              </w:rPr>
              <w:t>①污水处理设施规模核定</w:t>
            </w:r>
          </w:p>
          <w:p w14:paraId="7F20AC93">
            <w:pPr>
              <w:widowControl/>
              <w:spacing w:line="360" w:lineRule="auto"/>
              <w:ind w:firstLine="420" w:firstLineChars="200"/>
              <w:rPr>
                <w:rFonts w:hint="eastAsia"/>
                <w:color w:val="auto"/>
                <w:szCs w:val="21"/>
                <w:lang w:val="en-US" w:eastAsia="zh-CN"/>
              </w:rPr>
            </w:pPr>
            <w:r>
              <w:rPr>
                <w:rFonts w:hint="eastAsia"/>
                <w:color w:val="auto"/>
                <w:szCs w:val="21"/>
                <w:lang w:val="en-US" w:eastAsia="zh-CN"/>
              </w:rPr>
              <w:t>由水平衡计算可知，本项目运营期废水排放量为170.23</w:t>
            </w:r>
            <w:r>
              <w:rPr>
                <w:rFonts w:hint="default"/>
                <w:color w:val="auto"/>
                <w:szCs w:val="21"/>
                <w:lang w:val="en-US" w:eastAsia="zh-CN"/>
              </w:rPr>
              <w:t>m</w:t>
            </w:r>
            <w:r>
              <w:rPr>
                <w:rFonts w:hint="default"/>
                <w:color w:val="auto"/>
                <w:szCs w:val="21"/>
                <w:vertAlign w:val="superscript"/>
                <w:lang w:val="en-US" w:eastAsia="zh-CN"/>
              </w:rPr>
              <w:t>3</w:t>
            </w:r>
            <w:r>
              <w:rPr>
                <w:rFonts w:hint="default"/>
                <w:color w:val="auto"/>
                <w:szCs w:val="21"/>
                <w:lang w:val="en-US" w:eastAsia="zh-CN"/>
              </w:rPr>
              <w:t xml:space="preserve"> /d</w:t>
            </w:r>
            <w:r>
              <w:rPr>
                <w:rFonts w:hint="eastAsia"/>
                <w:color w:val="auto"/>
                <w:szCs w:val="21"/>
                <w:lang w:val="en-US" w:eastAsia="zh-CN"/>
              </w:rPr>
              <w:t>，项目污水处理设施设计处理规模为200</w:t>
            </w:r>
            <w:r>
              <w:rPr>
                <w:rFonts w:hint="default"/>
                <w:color w:val="auto"/>
                <w:szCs w:val="21"/>
                <w:lang w:val="en-US" w:eastAsia="zh-CN"/>
              </w:rPr>
              <w:t>m</w:t>
            </w:r>
            <w:r>
              <w:rPr>
                <w:rFonts w:hint="default"/>
                <w:color w:val="auto"/>
                <w:szCs w:val="21"/>
                <w:vertAlign w:val="superscript"/>
                <w:lang w:val="en-US" w:eastAsia="zh-CN"/>
              </w:rPr>
              <w:t>3</w:t>
            </w:r>
            <w:r>
              <w:rPr>
                <w:rFonts w:hint="default"/>
                <w:color w:val="auto"/>
                <w:szCs w:val="21"/>
                <w:lang w:val="en-US" w:eastAsia="zh-CN"/>
              </w:rPr>
              <w:t xml:space="preserve"> /d</w:t>
            </w:r>
            <w:r>
              <w:rPr>
                <w:rFonts w:hint="eastAsia"/>
                <w:color w:val="auto"/>
                <w:szCs w:val="21"/>
                <w:lang w:val="en-US" w:eastAsia="zh-CN"/>
              </w:rPr>
              <w:t xml:space="preserve">，污水处理设施处理规模大于废水排放量并留有裕量，污水处理设施规模能够满足要求。 </w:t>
            </w:r>
          </w:p>
          <w:p w14:paraId="26AF0974">
            <w:pPr>
              <w:widowControl/>
              <w:spacing w:line="360" w:lineRule="auto"/>
              <w:ind w:firstLine="420" w:firstLineChars="200"/>
              <w:rPr>
                <w:rFonts w:hint="eastAsia"/>
                <w:color w:val="auto"/>
                <w:szCs w:val="21"/>
                <w:lang w:val="en-US" w:eastAsia="zh-CN"/>
              </w:rPr>
            </w:pPr>
            <w:r>
              <w:rPr>
                <w:rFonts w:hint="eastAsia"/>
                <w:color w:val="auto"/>
                <w:szCs w:val="21"/>
                <w:lang w:val="en-US" w:eastAsia="zh-CN"/>
              </w:rPr>
              <w:t xml:space="preserve">②污水处理设施工艺及处理效果分析 </w:t>
            </w:r>
          </w:p>
          <w:p w14:paraId="2FB49852">
            <w:pPr>
              <w:widowControl/>
              <w:spacing w:line="360" w:lineRule="auto"/>
              <w:ind w:firstLine="420" w:firstLineChars="200"/>
              <w:rPr>
                <w:rFonts w:hint="eastAsia"/>
                <w:color w:val="auto"/>
                <w:szCs w:val="21"/>
                <w:lang w:val="en-US" w:eastAsia="zh-CN"/>
              </w:rPr>
            </w:pPr>
            <w:r>
              <w:rPr>
                <w:rFonts w:hint="eastAsia"/>
                <w:color w:val="auto"/>
                <w:szCs w:val="21"/>
                <w:lang w:val="en-US" w:eastAsia="zh-CN"/>
              </w:rPr>
              <w:t>本项目污水处理设施采用生物接触氧化</w:t>
            </w:r>
            <w:r>
              <w:rPr>
                <w:rFonts w:hint="default"/>
                <w:color w:val="auto"/>
                <w:szCs w:val="21"/>
                <w:lang w:val="en-US" w:eastAsia="zh-CN"/>
              </w:rPr>
              <w:t>+</w:t>
            </w:r>
            <w:r>
              <w:rPr>
                <w:rFonts w:hint="eastAsia"/>
                <w:color w:val="auto"/>
                <w:szCs w:val="21"/>
                <w:lang w:val="en-US" w:eastAsia="zh-CN"/>
              </w:rPr>
              <w:t>消毒工艺，消毒工艺采取次氯酸钠消毒，主要设备有格栅、调节池、接触氧化池、沉淀池、消毒池等。项目污水处理设施处理工艺属于生化处理</w:t>
            </w:r>
            <w:r>
              <w:rPr>
                <w:rFonts w:hint="default"/>
                <w:color w:val="auto"/>
                <w:szCs w:val="21"/>
                <w:lang w:val="en-US" w:eastAsia="zh-CN"/>
              </w:rPr>
              <w:t>+</w:t>
            </w:r>
            <w:r>
              <w:rPr>
                <w:rFonts w:hint="eastAsia"/>
                <w:color w:val="auto"/>
                <w:szCs w:val="21"/>
                <w:lang w:val="en-US" w:eastAsia="zh-CN"/>
              </w:rPr>
              <w:t>消毒工艺，该处理工艺已比较成熟，是目前常用污水处理方式。经分析，项目废水经污水处理设施处理后，水质满足《医疗机构水污染物排放标准》（</w:t>
            </w:r>
            <w:r>
              <w:rPr>
                <w:rFonts w:hint="default"/>
                <w:color w:val="auto"/>
                <w:szCs w:val="21"/>
                <w:lang w:val="en-US" w:eastAsia="zh-CN"/>
              </w:rPr>
              <w:t>GB18466-2005</w:t>
            </w:r>
            <w:r>
              <w:rPr>
                <w:rFonts w:hint="eastAsia"/>
                <w:color w:val="auto"/>
                <w:szCs w:val="21"/>
                <w:lang w:val="en-US" w:eastAsia="zh-CN"/>
              </w:rPr>
              <w:t>）表</w:t>
            </w:r>
            <w:r>
              <w:rPr>
                <w:rFonts w:hint="default"/>
                <w:color w:val="auto"/>
                <w:szCs w:val="21"/>
                <w:lang w:val="en-US" w:eastAsia="zh-CN"/>
              </w:rPr>
              <w:t>2</w:t>
            </w:r>
            <w:r>
              <w:rPr>
                <w:rFonts w:hint="eastAsia"/>
                <w:color w:val="auto"/>
                <w:szCs w:val="21"/>
                <w:lang w:val="en-US" w:eastAsia="zh-CN"/>
              </w:rPr>
              <w:t>中预处理标准限值要求。</w:t>
            </w:r>
          </w:p>
          <w:p w14:paraId="15775688">
            <w:pPr>
              <w:widowControl/>
              <w:spacing w:line="360" w:lineRule="auto"/>
              <w:ind w:firstLine="420" w:firstLineChars="200"/>
              <w:rPr>
                <w:rFonts w:hint="eastAsia"/>
                <w:color w:val="auto"/>
                <w:szCs w:val="21"/>
                <w:lang w:val="en-US" w:eastAsia="zh-CN"/>
              </w:rPr>
            </w:pPr>
            <w:r>
              <w:rPr>
                <w:rFonts w:hint="eastAsia"/>
                <w:color w:val="auto"/>
                <w:szCs w:val="21"/>
                <w:lang w:val="en-US" w:eastAsia="zh-CN"/>
              </w:rPr>
              <w:t>③事故状态废水：本项目事故主要污水处理单元出现故障，无法处理运营期废水的情况，此时医疗废水污水先进入化粪池、调节池内暂存，待污水处理设施正常运行后，未处理废水再进入废水处理站进行处理。项目化粪池、调节池容积总容积大于 20</w:t>
            </w:r>
            <w:r>
              <w:rPr>
                <w:rFonts w:hint="default"/>
                <w:color w:val="auto"/>
                <w:szCs w:val="21"/>
                <w:lang w:val="en-US" w:eastAsia="zh-CN"/>
              </w:rPr>
              <w:t>0m</w:t>
            </w:r>
            <w:r>
              <w:rPr>
                <w:rFonts w:hint="default"/>
                <w:color w:val="auto"/>
                <w:szCs w:val="21"/>
                <w:vertAlign w:val="superscript"/>
                <w:lang w:val="en-US" w:eastAsia="zh-CN"/>
              </w:rPr>
              <w:t>3</w:t>
            </w:r>
            <w:r>
              <w:rPr>
                <w:rFonts w:hint="eastAsia"/>
                <w:color w:val="auto"/>
                <w:szCs w:val="21"/>
                <w:lang w:val="en-US" w:eastAsia="zh-CN"/>
              </w:rPr>
              <w:t>，可满足本项目废水</w:t>
            </w:r>
            <w:r>
              <w:rPr>
                <w:rFonts w:hint="default"/>
                <w:color w:val="auto"/>
                <w:szCs w:val="21"/>
                <w:lang w:val="en-US" w:eastAsia="zh-CN"/>
              </w:rPr>
              <w:t>1</w:t>
            </w:r>
            <w:r>
              <w:rPr>
                <w:rFonts w:hint="eastAsia"/>
                <w:color w:val="auto"/>
                <w:szCs w:val="21"/>
                <w:lang w:val="en-US" w:eastAsia="zh-CN"/>
              </w:rPr>
              <w:t>天暂存需求。</w:t>
            </w:r>
          </w:p>
          <w:p w14:paraId="2AFF2863">
            <w:pPr>
              <w:pStyle w:val="153"/>
              <w:spacing w:before="0" w:after="0" w:line="240" w:lineRule="exact"/>
              <w:rPr>
                <w:rFonts w:hint="default" w:eastAsia="宋体"/>
                <w:color w:val="auto"/>
                <w:sz w:val="18"/>
                <w:szCs w:val="18"/>
                <w:vertAlign w:val="baseline"/>
                <w:lang w:val="en-US" w:eastAsia="zh-CN"/>
              </w:rPr>
            </w:pPr>
            <w:r>
              <w:rPr>
                <w:color w:val="auto"/>
                <w:sz w:val="18"/>
                <w:szCs w:val="18"/>
              </w:rPr>
              <w:t>表4-</w:t>
            </w:r>
            <w:r>
              <w:rPr>
                <w:rFonts w:hint="eastAsia"/>
                <w:color w:val="auto"/>
                <w:sz w:val="18"/>
                <w:szCs w:val="18"/>
                <w:lang w:val="en-US" w:eastAsia="zh-CN"/>
              </w:rPr>
              <w:t>7</w:t>
            </w:r>
            <w:r>
              <w:rPr>
                <w:color w:val="auto"/>
                <w:sz w:val="18"/>
                <w:szCs w:val="18"/>
              </w:rPr>
              <w:t xml:space="preserve"> </w:t>
            </w:r>
            <w:r>
              <w:rPr>
                <w:rFonts w:hint="eastAsia"/>
                <w:color w:val="auto"/>
                <w:sz w:val="18"/>
                <w:szCs w:val="18"/>
              </w:rPr>
              <w:t xml:space="preserve">  </w:t>
            </w:r>
            <w:r>
              <w:rPr>
                <w:color w:val="auto"/>
                <w:sz w:val="18"/>
                <w:szCs w:val="18"/>
              </w:rPr>
              <w:t xml:space="preserve"> </w:t>
            </w:r>
            <w:r>
              <w:rPr>
                <w:rFonts w:hint="eastAsia"/>
                <w:color w:val="auto"/>
                <w:sz w:val="18"/>
                <w:szCs w:val="18"/>
                <w:lang w:val="en-US" w:eastAsia="zh-CN"/>
              </w:rPr>
              <w:t>废水污染物防治可行技术参考对照表</w:t>
            </w:r>
          </w:p>
          <w:tbl>
            <w:tblPr>
              <w:tblStyle w:val="48"/>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273"/>
              <w:gridCol w:w="1138"/>
              <w:gridCol w:w="1132"/>
              <w:gridCol w:w="803"/>
              <w:gridCol w:w="1472"/>
              <w:gridCol w:w="1445"/>
              <w:gridCol w:w="760"/>
            </w:tblGrid>
            <w:tr w14:paraId="20A1C21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93" w:type="pct"/>
                  <w:tcBorders>
                    <w:tl2br w:val="nil"/>
                    <w:tr2bl w:val="nil"/>
                  </w:tcBorders>
                  <w:vAlign w:val="center"/>
                </w:tcPr>
                <w:p w14:paraId="089C652F">
                  <w:pPr>
                    <w:pStyle w:val="153"/>
                    <w:spacing w:before="0" w:after="0" w:line="240" w:lineRule="exact"/>
                    <w:jc w:val="center"/>
                    <w:rPr>
                      <w:rFonts w:hint="default" w:eastAsia="宋体"/>
                      <w:b w:val="0"/>
                      <w:bCs/>
                      <w:color w:val="auto"/>
                      <w:sz w:val="18"/>
                      <w:szCs w:val="18"/>
                      <w:vertAlign w:val="baseline"/>
                      <w:lang w:val="en-US" w:eastAsia="zh-CN"/>
                    </w:rPr>
                  </w:pPr>
                  <w:r>
                    <w:rPr>
                      <w:rFonts w:hint="eastAsia"/>
                      <w:b w:val="0"/>
                      <w:bCs/>
                      <w:color w:val="auto"/>
                      <w:sz w:val="18"/>
                      <w:szCs w:val="18"/>
                      <w:vertAlign w:val="baseline"/>
                      <w:lang w:val="en-US" w:eastAsia="zh-CN"/>
                    </w:rPr>
                    <w:t>废水类别</w:t>
                  </w:r>
                </w:p>
              </w:tc>
              <w:tc>
                <w:tcPr>
                  <w:tcW w:w="1414" w:type="pct"/>
                  <w:gridSpan w:val="2"/>
                  <w:tcBorders>
                    <w:tl2br w:val="nil"/>
                    <w:tr2bl w:val="nil"/>
                  </w:tcBorders>
                  <w:vAlign w:val="center"/>
                </w:tcPr>
                <w:p w14:paraId="7A260C9A">
                  <w:pPr>
                    <w:pStyle w:val="153"/>
                    <w:spacing w:before="0" w:after="0" w:line="240" w:lineRule="exact"/>
                    <w:jc w:val="center"/>
                    <w:rPr>
                      <w:rFonts w:hint="default" w:eastAsia="宋体"/>
                      <w:b w:val="0"/>
                      <w:bCs/>
                      <w:color w:val="auto"/>
                      <w:sz w:val="18"/>
                      <w:szCs w:val="18"/>
                      <w:vertAlign w:val="baseline"/>
                      <w:lang w:val="en-US" w:eastAsia="zh-CN"/>
                    </w:rPr>
                  </w:pPr>
                  <w:r>
                    <w:rPr>
                      <w:rFonts w:hint="eastAsia"/>
                      <w:b w:val="0"/>
                      <w:bCs/>
                      <w:color w:val="auto"/>
                      <w:sz w:val="18"/>
                      <w:szCs w:val="18"/>
                      <w:vertAlign w:val="baseline"/>
                      <w:lang w:val="en-US" w:eastAsia="zh-CN"/>
                    </w:rPr>
                    <w:t>污染物种类</w:t>
                  </w:r>
                </w:p>
              </w:tc>
              <w:tc>
                <w:tcPr>
                  <w:tcW w:w="500" w:type="pct"/>
                  <w:tcBorders>
                    <w:tl2br w:val="nil"/>
                    <w:tr2bl w:val="nil"/>
                  </w:tcBorders>
                  <w:vAlign w:val="center"/>
                </w:tcPr>
                <w:p w14:paraId="0931FAEB">
                  <w:pPr>
                    <w:pStyle w:val="153"/>
                    <w:spacing w:before="0" w:after="0" w:line="240" w:lineRule="exact"/>
                    <w:jc w:val="center"/>
                    <w:rPr>
                      <w:rFonts w:hint="eastAsia"/>
                      <w:b w:val="0"/>
                      <w:bCs/>
                      <w:color w:val="auto"/>
                      <w:sz w:val="18"/>
                      <w:szCs w:val="18"/>
                      <w:vertAlign w:val="baseline"/>
                      <w:lang w:val="en-US" w:eastAsia="zh-CN"/>
                    </w:rPr>
                  </w:pPr>
                  <w:r>
                    <w:rPr>
                      <w:rFonts w:hint="eastAsia"/>
                      <w:b w:val="0"/>
                      <w:bCs/>
                      <w:color w:val="auto"/>
                      <w:sz w:val="18"/>
                      <w:szCs w:val="18"/>
                      <w:vertAlign w:val="baseline"/>
                      <w:lang w:val="en-US" w:eastAsia="zh-CN"/>
                    </w:rPr>
                    <w:t>排放</w:t>
                  </w:r>
                </w:p>
                <w:p w14:paraId="40FC7B2D">
                  <w:pPr>
                    <w:pStyle w:val="153"/>
                    <w:spacing w:before="0" w:after="0" w:line="240" w:lineRule="exact"/>
                    <w:jc w:val="center"/>
                    <w:rPr>
                      <w:rFonts w:hint="default" w:eastAsia="宋体"/>
                      <w:b w:val="0"/>
                      <w:bCs/>
                      <w:color w:val="auto"/>
                      <w:sz w:val="18"/>
                      <w:szCs w:val="18"/>
                      <w:vertAlign w:val="baseline"/>
                      <w:lang w:val="en-US" w:eastAsia="zh-CN"/>
                    </w:rPr>
                  </w:pPr>
                  <w:r>
                    <w:rPr>
                      <w:rFonts w:hint="eastAsia"/>
                      <w:b w:val="0"/>
                      <w:bCs/>
                      <w:color w:val="auto"/>
                      <w:sz w:val="18"/>
                      <w:szCs w:val="18"/>
                      <w:vertAlign w:val="baseline"/>
                      <w:lang w:val="en-US" w:eastAsia="zh-CN"/>
                    </w:rPr>
                    <w:t>去向</w:t>
                  </w:r>
                </w:p>
              </w:tc>
              <w:tc>
                <w:tcPr>
                  <w:tcW w:w="917" w:type="pct"/>
                  <w:tcBorders>
                    <w:tl2br w:val="nil"/>
                    <w:tr2bl w:val="nil"/>
                  </w:tcBorders>
                  <w:vAlign w:val="center"/>
                </w:tcPr>
                <w:p w14:paraId="18108FA3">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可行技术</w:t>
                  </w:r>
                </w:p>
              </w:tc>
              <w:tc>
                <w:tcPr>
                  <w:tcW w:w="900" w:type="pct"/>
                  <w:tcBorders>
                    <w:tl2br w:val="nil"/>
                    <w:tr2bl w:val="nil"/>
                  </w:tcBorders>
                  <w:vAlign w:val="center"/>
                </w:tcPr>
                <w:p w14:paraId="1D5D88FB">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本项目</w:t>
                  </w:r>
                </w:p>
              </w:tc>
              <w:tc>
                <w:tcPr>
                  <w:tcW w:w="473" w:type="pct"/>
                  <w:tcBorders>
                    <w:tl2br w:val="nil"/>
                    <w:tr2bl w:val="nil"/>
                  </w:tcBorders>
                  <w:vAlign w:val="center"/>
                </w:tcPr>
                <w:p w14:paraId="36364E73">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符合性分析</w:t>
                  </w:r>
                </w:p>
              </w:tc>
            </w:tr>
            <w:tr w14:paraId="4F3E2D1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93" w:type="pct"/>
                  <w:tcBorders>
                    <w:tl2br w:val="nil"/>
                    <w:tr2bl w:val="nil"/>
                  </w:tcBorders>
                  <w:vAlign w:val="center"/>
                </w:tcPr>
                <w:p w14:paraId="255764DD">
                  <w:pPr>
                    <w:pStyle w:val="153"/>
                    <w:spacing w:before="0" w:after="0" w:line="240" w:lineRule="exact"/>
                    <w:jc w:val="center"/>
                    <w:rPr>
                      <w:rFonts w:hint="default" w:eastAsia="宋体"/>
                      <w:b w:val="0"/>
                      <w:bCs/>
                      <w:color w:val="auto"/>
                      <w:sz w:val="18"/>
                      <w:szCs w:val="18"/>
                      <w:vertAlign w:val="baseline"/>
                      <w:lang w:val="en-US" w:eastAsia="zh-CN"/>
                    </w:rPr>
                  </w:pPr>
                  <w:r>
                    <w:rPr>
                      <w:rFonts w:hint="eastAsia"/>
                      <w:b w:val="0"/>
                      <w:bCs/>
                      <w:color w:val="auto"/>
                      <w:sz w:val="18"/>
                      <w:szCs w:val="18"/>
                      <w:vertAlign w:val="baseline"/>
                      <w:lang w:val="en-US" w:eastAsia="zh-CN"/>
                    </w:rPr>
                    <w:t>医疗污水</w:t>
                  </w:r>
                </w:p>
              </w:tc>
              <w:tc>
                <w:tcPr>
                  <w:tcW w:w="1414" w:type="pct"/>
                  <w:gridSpan w:val="2"/>
                  <w:tcBorders>
                    <w:tl2br w:val="nil"/>
                    <w:tr2bl w:val="nil"/>
                  </w:tcBorders>
                  <w:vAlign w:val="center"/>
                </w:tcPr>
                <w:p w14:paraId="365DB8F2">
                  <w:pPr>
                    <w:pStyle w:val="153"/>
                    <w:spacing w:before="0" w:after="0" w:line="240" w:lineRule="exact"/>
                    <w:jc w:val="center"/>
                    <w:rPr>
                      <w:rFonts w:hint="default" w:eastAsia="宋体"/>
                      <w:b w:val="0"/>
                      <w:bCs/>
                      <w:color w:val="auto"/>
                      <w:sz w:val="18"/>
                      <w:szCs w:val="18"/>
                      <w:vertAlign w:val="baseline"/>
                      <w:lang w:val="en-US" w:eastAsia="zh-CN"/>
                    </w:rPr>
                  </w:pPr>
                  <w:r>
                    <w:rPr>
                      <w:rFonts w:hint="eastAsia"/>
                      <w:b w:val="0"/>
                      <w:bCs/>
                      <w:color w:val="auto"/>
                      <w:sz w:val="18"/>
                      <w:szCs w:val="18"/>
                      <w:lang w:val="en-US" w:eastAsia="zh-CN"/>
                    </w:rPr>
                    <w:t>粪大肠菌群数、肠道致病菌、化学需氧量、氨氮、pH值、悬浮物、五日生化需氧量、动植物油、石油类、阴离子表面活性剂、挥发酚、色度、总氰化物、总余氯</w:t>
                  </w:r>
                </w:p>
              </w:tc>
              <w:tc>
                <w:tcPr>
                  <w:tcW w:w="500" w:type="pct"/>
                  <w:tcBorders>
                    <w:tl2br w:val="nil"/>
                    <w:tr2bl w:val="nil"/>
                  </w:tcBorders>
                  <w:vAlign w:val="center"/>
                </w:tcPr>
                <w:p w14:paraId="5CACC7C8">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排入城镇污水处理厂</w:t>
                  </w:r>
                </w:p>
              </w:tc>
              <w:tc>
                <w:tcPr>
                  <w:tcW w:w="917" w:type="pct"/>
                  <w:tcBorders>
                    <w:tl2br w:val="nil"/>
                    <w:tr2bl w:val="nil"/>
                  </w:tcBorders>
                  <w:vAlign w:val="center"/>
                </w:tcPr>
                <w:p w14:paraId="620EA5BA">
                  <w:pPr>
                    <w:pStyle w:val="153"/>
                    <w:spacing w:before="0" w:after="0" w:line="240" w:lineRule="exact"/>
                    <w:jc w:val="center"/>
                    <w:rPr>
                      <w:rFonts w:hint="eastAsia"/>
                      <w:b w:val="0"/>
                      <w:bCs/>
                      <w:color w:val="auto"/>
                      <w:sz w:val="18"/>
                      <w:szCs w:val="18"/>
                      <w:vertAlign w:val="baseline"/>
                      <w:lang w:val="en-US" w:eastAsia="zh-CN"/>
                    </w:rPr>
                  </w:pPr>
                  <w:r>
                    <w:rPr>
                      <w:rFonts w:hint="eastAsia"/>
                      <w:b w:val="0"/>
                      <w:bCs/>
                      <w:color w:val="auto"/>
                      <w:sz w:val="18"/>
                      <w:szCs w:val="18"/>
                      <w:vertAlign w:val="baseline"/>
                      <w:lang w:val="en-US" w:eastAsia="zh-CN"/>
                    </w:rPr>
                    <w:t>一级处理/一级强化处理+消毒工艺；</w:t>
                  </w:r>
                </w:p>
                <w:p w14:paraId="4C8454AB">
                  <w:pPr>
                    <w:rPr>
                      <w:rFonts w:hint="eastAsia"/>
                      <w:b w:val="0"/>
                      <w:bCs/>
                      <w:color w:val="auto"/>
                      <w:sz w:val="18"/>
                      <w:szCs w:val="18"/>
                      <w:vertAlign w:val="baseline"/>
                      <w:lang w:val="en-US" w:eastAsia="zh-CN"/>
                    </w:rPr>
                  </w:pPr>
                  <w:r>
                    <w:rPr>
                      <w:rFonts w:hint="eastAsia"/>
                      <w:b w:val="0"/>
                      <w:bCs/>
                      <w:color w:val="auto"/>
                      <w:sz w:val="18"/>
                      <w:szCs w:val="18"/>
                      <w:vertAlign w:val="baseline"/>
                      <w:lang w:val="en-US" w:eastAsia="zh-CN"/>
                    </w:rPr>
                    <w:t>一级处理包括：筛滤法；沉淀法；气浮法；预曝气法；</w:t>
                  </w:r>
                </w:p>
                <w:p w14:paraId="1849CA83">
                  <w:pPr>
                    <w:rPr>
                      <w:rFonts w:hint="eastAsia"/>
                      <w:b w:val="0"/>
                      <w:bCs/>
                      <w:color w:val="auto"/>
                      <w:sz w:val="18"/>
                      <w:szCs w:val="18"/>
                      <w:vertAlign w:val="baseline"/>
                      <w:lang w:val="en-US" w:eastAsia="zh-CN"/>
                    </w:rPr>
                  </w:pPr>
                  <w:r>
                    <w:rPr>
                      <w:rFonts w:hint="eastAsia"/>
                      <w:b w:val="0"/>
                      <w:bCs/>
                      <w:color w:val="auto"/>
                      <w:sz w:val="18"/>
                      <w:szCs w:val="18"/>
                      <w:vertAlign w:val="baseline"/>
                      <w:lang w:val="en-US" w:eastAsia="zh-CN"/>
                    </w:rPr>
                    <w:t>一级强化处理包括：化学混凝处理、机械过滤或不完全生物处理；</w:t>
                  </w:r>
                </w:p>
                <w:p w14:paraId="77BC448A">
                  <w:pP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消毒工艺：加氯消毒，臭氧法消毒，次氯酸钠法、二氧化氯消毒、紫外线消毒等</w:t>
                  </w:r>
                </w:p>
              </w:tc>
              <w:tc>
                <w:tcPr>
                  <w:tcW w:w="900" w:type="pct"/>
                  <w:tcBorders>
                    <w:tl2br w:val="nil"/>
                    <w:tr2bl w:val="nil"/>
                  </w:tcBorders>
                  <w:vAlign w:val="center"/>
                </w:tcPr>
                <w:p w14:paraId="7299785D">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本项目医疗污水经管道排入污水处理站，采用格栅+调节+接触氧化池+沉淀池+消毒，属于一级筛滤、沉淀+生物氧化+二氧化氯消毒</w:t>
                  </w:r>
                </w:p>
              </w:tc>
              <w:tc>
                <w:tcPr>
                  <w:tcW w:w="473" w:type="pct"/>
                  <w:tcBorders>
                    <w:tl2br w:val="nil"/>
                    <w:tr2bl w:val="nil"/>
                  </w:tcBorders>
                  <w:vAlign w:val="center"/>
                </w:tcPr>
                <w:p w14:paraId="270BDEA1">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属于可行技术</w:t>
                  </w:r>
                </w:p>
              </w:tc>
            </w:tr>
            <w:tr w14:paraId="4AABE62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93" w:type="pct"/>
                  <w:tcBorders>
                    <w:tl2br w:val="nil"/>
                    <w:tr2bl w:val="nil"/>
                  </w:tcBorders>
                  <w:vAlign w:val="center"/>
                </w:tcPr>
                <w:p w14:paraId="2AF9BF15">
                  <w:pPr>
                    <w:pStyle w:val="153"/>
                    <w:spacing w:before="0" w:after="0" w:line="240" w:lineRule="exact"/>
                    <w:jc w:val="center"/>
                    <w:rPr>
                      <w:rFonts w:hint="default" w:eastAsia="宋体"/>
                      <w:b w:val="0"/>
                      <w:bCs/>
                      <w:color w:val="auto"/>
                      <w:sz w:val="18"/>
                      <w:szCs w:val="18"/>
                      <w:vertAlign w:val="baseline"/>
                      <w:lang w:val="en-US" w:eastAsia="zh-CN"/>
                    </w:rPr>
                  </w:pPr>
                  <w:r>
                    <w:rPr>
                      <w:rFonts w:hint="eastAsia"/>
                      <w:b w:val="0"/>
                      <w:bCs/>
                      <w:color w:val="auto"/>
                      <w:sz w:val="18"/>
                      <w:szCs w:val="18"/>
                      <w:vertAlign w:val="baseline"/>
                      <w:lang w:val="en-US" w:eastAsia="zh-CN"/>
                    </w:rPr>
                    <w:t>特殊医疗污水</w:t>
                  </w:r>
                </w:p>
              </w:tc>
              <w:tc>
                <w:tcPr>
                  <w:tcW w:w="709" w:type="pct"/>
                  <w:tcBorders>
                    <w:tl2br w:val="nil"/>
                    <w:tr2bl w:val="nil"/>
                  </w:tcBorders>
                  <w:vAlign w:val="center"/>
                </w:tcPr>
                <w:p w14:paraId="2C212023">
                  <w:pPr>
                    <w:pStyle w:val="153"/>
                    <w:spacing w:before="0" w:after="0" w:line="240" w:lineRule="exact"/>
                    <w:jc w:val="center"/>
                    <w:rPr>
                      <w:rFonts w:hint="default" w:eastAsia="宋体"/>
                      <w:b w:val="0"/>
                      <w:bCs/>
                      <w:color w:val="auto"/>
                      <w:sz w:val="18"/>
                      <w:szCs w:val="18"/>
                      <w:vertAlign w:val="baseline"/>
                      <w:lang w:val="en-US" w:eastAsia="zh-CN"/>
                    </w:rPr>
                  </w:pPr>
                  <w:r>
                    <w:rPr>
                      <w:rFonts w:hint="eastAsia"/>
                      <w:b w:val="0"/>
                      <w:bCs/>
                      <w:color w:val="auto"/>
                      <w:sz w:val="18"/>
                      <w:szCs w:val="18"/>
                      <w:vertAlign w:val="baseline"/>
                      <w:lang w:val="en-US" w:eastAsia="zh-CN"/>
                    </w:rPr>
                    <w:t>传染性污水、洗相污水、实验检验污水</w:t>
                  </w:r>
                </w:p>
              </w:tc>
              <w:tc>
                <w:tcPr>
                  <w:tcW w:w="705" w:type="pct"/>
                  <w:tcBorders>
                    <w:tl2br w:val="nil"/>
                    <w:tr2bl w:val="nil"/>
                  </w:tcBorders>
                  <w:shd w:val="clear" w:color="auto" w:fill="auto"/>
                  <w:vAlign w:val="center"/>
                </w:tcPr>
                <w:p w14:paraId="67339A0E">
                  <w:pPr>
                    <w:adjustRightInd w:val="0"/>
                    <w:snapToGrid w:val="0"/>
                    <w:spacing w:line="280" w:lineRule="exact"/>
                    <w:contextualSpacing/>
                    <w:jc w:val="center"/>
                    <w:textAlignment w:val="baseline"/>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肠道致病菌、肠道病毒、结核杆菌；总银、六价铬；总镉、总铬、六价铬、总砷、总铅、总汞</w:t>
                  </w:r>
                </w:p>
              </w:tc>
              <w:tc>
                <w:tcPr>
                  <w:tcW w:w="500" w:type="pct"/>
                  <w:tcBorders>
                    <w:tl2br w:val="nil"/>
                    <w:tr2bl w:val="nil"/>
                  </w:tcBorders>
                  <w:vAlign w:val="center"/>
                </w:tcPr>
                <w:p w14:paraId="1F6DFD10">
                  <w:pPr>
                    <w:pStyle w:val="153"/>
                    <w:spacing w:before="0" w:after="0" w:line="240" w:lineRule="exact"/>
                    <w:jc w:val="center"/>
                    <w:rPr>
                      <w:rFonts w:hint="default" w:eastAsia="宋体"/>
                      <w:b w:val="0"/>
                      <w:bCs/>
                      <w:color w:val="auto"/>
                      <w:sz w:val="18"/>
                      <w:szCs w:val="18"/>
                      <w:vertAlign w:val="baseline"/>
                      <w:lang w:val="en-US" w:eastAsia="zh-CN"/>
                    </w:rPr>
                  </w:pPr>
                  <w:r>
                    <w:rPr>
                      <w:rFonts w:hint="eastAsia"/>
                      <w:b w:val="0"/>
                      <w:bCs/>
                      <w:color w:val="auto"/>
                      <w:sz w:val="18"/>
                      <w:szCs w:val="18"/>
                      <w:vertAlign w:val="baseline"/>
                      <w:lang w:val="en-US" w:eastAsia="zh-CN"/>
                    </w:rPr>
                    <w:t>进入院区综合污水处理站</w:t>
                  </w:r>
                </w:p>
              </w:tc>
              <w:tc>
                <w:tcPr>
                  <w:tcW w:w="917" w:type="pct"/>
                  <w:tcBorders>
                    <w:tl2br w:val="nil"/>
                    <w:tr2bl w:val="nil"/>
                  </w:tcBorders>
                  <w:vAlign w:val="center"/>
                </w:tcPr>
                <w:p w14:paraId="4A8F7513">
                  <w:pPr>
                    <w:pStyle w:val="153"/>
                    <w:spacing w:before="0" w:after="0" w:line="240" w:lineRule="exact"/>
                    <w:jc w:val="center"/>
                    <w:rPr>
                      <w:rFonts w:hint="eastAsia"/>
                      <w:b w:val="0"/>
                      <w:bCs/>
                      <w:color w:val="auto"/>
                      <w:sz w:val="18"/>
                      <w:szCs w:val="18"/>
                      <w:vertAlign w:val="baseline"/>
                      <w:lang w:val="en-US" w:eastAsia="zh-CN"/>
                    </w:rPr>
                  </w:pPr>
                  <w:r>
                    <w:rPr>
                      <w:rFonts w:hint="eastAsia"/>
                      <w:b w:val="0"/>
                      <w:bCs/>
                      <w:color w:val="auto"/>
                      <w:sz w:val="18"/>
                      <w:szCs w:val="18"/>
                      <w:vertAlign w:val="baseline"/>
                      <w:lang w:val="en-US" w:eastAsia="zh-CN"/>
                    </w:rPr>
                    <w:t>消毒工艺：加氯消毒，臭氧法消毒，次氯酸钠法、二氧化氯消毒、紫外线消毒等；</w:t>
                  </w:r>
                </w:p>
                <w:p w14:paraId="6E074300">
                  <w:pPr>
                    <w:rPr>
                      <w:rFonts w:hint="eastAsia"/>
                      <w:b w:val="0"/>
                      <w:bCs/>
                      <w:color w:val="auto"/>
                      <w:sz w:val="18"/>
                      <w:szCs w:val="18"/>
                      <w:vertAlign w:val="baseline"/>
                      <w:lang w:val="en-US" w:eastAsia="zh-CN"/>
                    </w:rPr>
                  </w:pPr>
                  <w:r>
                    <w:rPr>
                      <w:rFonts w:hint="eastAsia"/>
                      <w:b w:val="0"/>
                      <w:bCs/>
                      <w:color w:val="auto"/>
                      <w:sz w:val="18"/>
                      <w:szCs w:val="18"/>
                      <w:vertAlign w:val="baseline"/>
                      <w:lang w:val="en-US" w:eastAsia="zh-CN"/>
                    </w:rPr>
                    <w:t>化学沉淀法、化学法+膜分离法、还原法等；</w:t>
                  </w:r>
                </w:p>
                <w:p w14:paraId="3935C3C7">
                  <w:pP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中和发（酸性、碱性）、吸附法、溶剂萃取法、氧化分解法、分离法、Na</w:t>
                  </w:r>
                  <w:r>
                    <w:rPr>
                      <w:rFonts w:hint="eastAsia"/>
                      <w:b w:val="0"/>
                      <w:bCs/>
                      <w:color w:val="auto"/>
                      <w:sz w:val="18"/>
                      <w:szCs w:val="18"/>
                      <w:vertAlign w:val="subscript"/>
                      <w:lang w:val="en-US" w:eastAsia="zh-CN"/>
                    </w:rPr>
                    <w:t>2</w:t>
                  </w:r>
                  <w:r>
                    <w:rPr>
                      <w:rFonts w:hint="eastAsia"/>
                      <w:b w:val="0"/>
                      <w:bCs/>
                      <w:color w:val="auto"/>
                      <w:sz w:val="18"/>
                      <w:szCs w:val="18"/>
                      <w:vertAlign w:val="baseline"/>
                      <w:lang w:val="en-US" w:eastAsia="zh-CN"/>
                    </w:rPr>
                    <w:t>S沉淀法、FeSO</w:t>
                  </w:r>
                  <w:r>
                    <w:rPr>
                      <w:rFonts w:hint="eastAsia"/>
                      <w:b w:val="0"/>
                      <w:bCs/>
                      <w:color w:val="auto"/>
                      <w:sz w:val="18"/>
                      <w:szCs w:val="18"/>
                      <w:vertAlign w:val="subscript"/>
                      <w:lang w:val="en-US" w:eastAsia="zh-CN"/>
                    </w:rPr>
                    <w:t>4</w:t>
                  </w:r>
                  <w:r>
                    <w:rPr>
                      <w:rFonts w:hint="eastAsia"/>
                      <w:b w:val="0"/>
                      <w:bCs/>
                      <w:color w:val="auto"/>
                      <w:sz w:val="18"/>
                      <w:szCs w:val="18"/>
                      <w:vertAlign w:val="baseline"/>
                      <w:lang w:val="en-US" w:eastAsia="zh-CN"/>
                    </w:rPr>
                    <w:t>-石灰法、次氯酸盐氧化法等</w:t>
                  </w:r>
                </w:p>
              </w:tc>
              <w:tc>
                <w:tcPr>
                  <w:tcW w:w="900" w:type="pct"/>
                  <w:tcBorders>
                    <w:tl2br w:val="nil"/>
                    <w:tr2bl w:val="nil"/>
                  </w:tcBorders>
                  <w:vAlign w:val="center"/>
                </w:tcPr>
                <w:p w14:paraId="281401BE">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预处理为二氧化氯消毒、石灰中和</w:t>
                  </w:r>
                </w:p>
              </w:tc>
              <w:tc>
                <w:tcPr>
                  <w:tcW w:w="473" w:type="pct"/>
                  <w:tcBorders>
                    <w:tl2br w:val="nil"/>
                    <w:tr2bl w:val="nil"/>
                  </w:tcBorders>
                  <w:vAlign w:val="center"/>
                </w:tcPr>
                <w:p w14:paraId="1C46EF49">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属于可行技术</w:t>
                  </w:r>
                </w:p>
              </w:tc>
            </w:tr>
            <w:tr w14:paraId="0760ED5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93" w:type="pct"/>
                  <w:tcBorders>
                    <w:tl2br w:val="nil"/>
                    <w:tr2bl w:val="nil"/>
                  </w:tcBorders>
                  <w:vAlign w:val="center"/>
                </w:tcPr>
                <w:p w14:paraId="28E30631">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生活污水</w:t>
                  </w:r>
                </w:p>
              </w:tc>
              <w:tc>
                <w:tcPr>
                  <w:tcW w:w="1414" w:type="pct"/>
                  <w:gridSpan w:val="2"/>
                  <w:tcBorders>
                    <w:tl2br w:val="nil"/>
                    <w:tr2bl w:val="nil"/>
                  </w:tcBorders>
                  <w:vAlign w:val="center"/>
                </w:tcPr>
                <w:p w14:paraId="5643B9BD">
                  <w:pPr>
                    <w:pStyle w:val="153"/>
                    <w:spacing w:before="0" w:after="0" w:line="240" w:lineRule="exact"/>
                    <w:jc w:val="center"/>
                    <w:rPr>
                      <w:rFonts w:hint="default" w:eastAsia="宋体"/>
                      <w:b w:val="0"/>
                      <w:bCs/>
                      <w:color w:val="auto"/>
                      <w:sz w:val="18"/>
                      <w:szCs w:val="18"/>
                      <w:vertAlign w:val="baseline"/>
                      <w:lang w:val="en-US" w:eastAsia="zh-CN"/>
                    </w:rPr>
                  </w:pPr>
                  <w:r>
                    <w:rPr>
                      <w:rFonts w:hint="eastAsia"/>
                      <w:b w:val="0"/>
                      <w:bCs/>
                      <w:color w:val="auto"/>
                      <w:sz w:val="18"/>
                      <w:szCs w:val="18"/>
                      <w:lang w:val="en-US" w:eastAsia="zh-CN"/>
                    </w:rPr>
                    <w:t>pH值、化学需氧量、五日生化需氧量、悬浮物、氨氮、动植物油</w:t>
                  </w:r>
                </w:p>
              </w:tc>
              <w:tc>
                <w:tcPr>
                  <w:tcW w:w="500" w:type="pct"/>
                  <w:tcBorders>
                    <w:tl2br w:val="nil"/>
                    <w:tr2bl w:val="nil"/>
                  </w:tcBorders>
                  <w:vAlign w:val="center"/>
                </w:tcPr>
                <w:p w14:paraId="5DA2CD65">
                  <w:pPr>
                    <w:pStyle w:val="153"/>
                    <w:spacing w:before="0" w:after="0" w:line="240" w:lineRule="exact"/>
                    <w:jc w:val="center"/>
                    <w:rPr>
                      <w:rFonts w:hint="default" w:eastAsia="宋体"/>
                      <w:b w:val="0"/>
                      <w:bCs/>
                      <w:color w:val="auto"/>
                      <w:sz w:val="18"/>
                      <w:szCs w:val="18"/>
                      <w:vertAlign w:val="baseline"/>
                      <w:lang w:val="en-US" w:eastAsia="zh-CN"/>
                    </w:rPr>
                  </w:pPr>
                  <w:r>
                    <w:rPr>
                      <w:rFonts w:hint="eastAsia"/>
                      <w:b w:val="0"/>
                      <w:bCs/>
                      <w:color w:val="auto"/>
                      <w:sz w:val="18"/>
                      <w:szCs w:val="18"/>
                      <w:vertAlign w:val="baseline"/>
                      <w:lang w:val="en-US" w:eastAsia="zh-CN"/>
                    </w:rPr>
                    <w:t>排入城镇污水处理厂</w:t>
                  </w:r>
                </w:p>
              </w:tc>
              <w:tc>
                <w:tcPr>
                  <w:tcW w:w="917" w:type="pct"/>
                  <w:tcBorders>
                    <w:tl2br w:val="nil"/>
                    <w:tr2bl w:val="nil"/>
                  </w:tcBorders>
                  <w:vAlign w:val="center"/>
                </w:tcPr>
                <w:p w14:paraId="26759C34">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w:t>
                  </w:r>
                </w:p>
              </w:tc>
              <w:tc>
                <w:tcPr>
                  <w:tcW w:w="900" w:type="pct"/>
                  <w:tcBorders>
                    <w:tl2br w:val="nil"/>
                    <w:tr2bl w:val="nil"/>
                  </w:tcBorders>
                  <w:vAlign w:val="center"/>
                </w:tcPr>
                <w:p w14:paraId="278E1115">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食堂废水经隔油处理后，随生活污水一并进入化粪池沉淀后进入污水处理站</w:t>
                  </w:r>
                </w:p>
              </w:tc>
              <w:tc>
                <w:tcPr>
                  <w:tcW w:w="473" w:type="pct"/>
                  <w:tcBorders>
                    <w:tl2br w:val="nil"/>
                    <w:tr2bl w:val="nil"/>
                  </w:tcBorders>
                  <w:vAlign w:val="center"/>
                </w:tcPr>
                <w:p w14:paraId="41029D4C">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可行</w:t>
                  </w:r>
                </w:p>
              </w:tc>
            </w:tr>
          </w:tbl>
          <w:p w14:paraId="7472FD28">
            <w:pPr>
              <w:widowControl/>
              <w:spacing w:line="360" w:lineRule="auto"/>
              <w:ind w:firstLine="422" w:firstLineChars="200"/>
              <w:rPr>
                <w:rFonts w:hint="default"/>
                <w:b/>
                <w:bCs/>
                <w:color w:val="auto"/>
                <w:szCs w:val="21"/>
                <w:lang w:val="en-US" w:eastAsia="zh-CN"/>
              </w:rPr>
            </w:pPr>
            <w:r>
              <w:rPr>
                <w:rFonts w:hint="eastAsia"/>
                <w:b/>
                <w:bCs/>
                <w:color w:val="auto"/>
                <w:szCs w:val="21"/>
                <w:lang w:val="en-US" w:eastAsia="zh-CN"/>
              </w:rPr>
              <w:t>（6）污水排入城镇污水处理厂可行性分析</w:t>
            </w:r>
          </w:p>
          <w:p w14:paraId="794C888E">
            <w:pPr>
              <w:spacing w:line="360" w:lineRule="auto"/>
              <w:ind w:firstLine="420" w:firstLineChars="200"/>
              <w:rPr>
                <w:bCs/>
                <w:color w:val="auto"/>
                <w:szCs w:val="21"/>
              </w:rPr>
            </w:pPr>
            <w:r>
              <w:rPr>
                <w:rFonts w:hint="eastAsia"/>
                <w:bCs/>
                <w:color w:val="auto"/>
                <w:szCs w:val="21"/>
                <w:lang w:val="en-US" w:eastAsia="zh-CN"/>
              </w:rPr>
              <w:t>根据园区规划环境影响报告书可知，园区排水采用雨、污水分流制。</w:t>
            </w:r>
          </w:p>
          <w:p w14:paraId="39BC5198">
            <w:pPr>
              <w:spacing w:line="360" w:lineRule="auto"/>
              <w:ind w:firstLine="420" w:firstLineChars="200"/>
              <w:rPr>
                <w:bCs/>
                <w:color w:val="auto"/>
                <w:szCs w:val="21"/>
              </w:rPr>
            </w:pPr>
            <w:r>
              <w:rPr>
                <w:rFonts w:hint="eastAsia"/>
                <w:bCs/>
                <w:color w:val="auto"/>
                <w:szCs w:val="21"/>
                <w:lang w:val="en-US" w:eastAsia="zh-CN"/>
              </w:rPr>
              <w:t>雨水管道系统主要排除道路及街区内雨水，采用重力排放方式，排入园区道路旁敷设的雨水管道，经恒安街南侧雨水提升泵站，提升至泵站东南侧的雨水调蓄池自然蒸发。</w:t>
            </w:r>
          </w:p>
          <w:p w14:paraId="127AD445">
            <w:pPr>
              <w:spacing w:line="360" w:lineRule="auto"/>
              <w:ind w:firstLine="420" w:firstLineChars="200"/>
              <w:rPr>
                <w:bCs/>
                <w:color w:val="auto"/>
                <w:szCs w:val="21"/>
              </w:rPr>
            </w:pPr>
            <w:r>
              <w:rPr>
                <w:rFonts w:hint="eastAsia"/>
                <w:bCs/>
                <w:color w:val="auto"/>
                <w:szCs w:val="21"/>
                <w:lang w:val="en-US" w:eastAsia="zh-CN"/>
              </w:rPr>
              <w:t>园区入驻企业根据自身废水特点进行分质预处理，处理达到《污水排入城镇下水道水质标准》（</w:t>
            </w:r>
            <w:r>
              <w:rPr>
                <w:rFonts w:hint="default"/>
                <w:bCs/>
                <w:color w:val="auto"/>
                <w:szCs w:val="21"/>
                <w:lang w:val="en-US" w:eastAsia="zh-CN"/>
              </w:rPr>
              <w:t>GB/T31962-2015</w:t>
            </w:r>
            <w:r>
              <w:rPr>
                <w:rFonts w:hint="eastAsia"/>
                <w:bCs/>
                <w:color w:val="auto"/>
                <w:szCs w:val="21"/>
                <w:lang w:val="en-US" w:eastAsia="zh-CN"/>
              </w:rPr>
              <w:t xml:space="preserve">）中 </w:t>
            </w:r>
            <w:r>
              <w:rPr>
                <w:rFonts w:hint="default"/>
                <w:bCs/>
                <w:color w:val="auto"/>
                <w:szCs w:val="21"/>
                <w:lang w:val="en-US" w:eastAsia="zh-CN"/>
              </w:rPr>
              <w:t xml:space="preserve">B </w:t>
            </w:r>
            <w:r>
              <w:rPr>
                <w:rFonts w:hint="eastAsia"/>
                <w:bCs/>
                <w:color w:val="auto"/>
                <w:szCs w:val="21"/>
                <w:lang w:val="en-US" w:eastAsia="zh-CN"/>
              </w:rPr>
              <w:t xml:space="preserve">级控制项目及行业排放标准限值后，通过市政污水管网，进入大同市开发区污水处理厂进行统一处理。 </w:t>
            </w:r>
          </w:p>
          <w:p w14:paraId="5EA6447B">
            <w:pPr>
              <w:spacing w:line="360" w:lineRule="auto"/>
              <w:ind w:firstLine="420" w:firstLineChars="200"/>
              <w:rPr>
                <w:bCs/>
                <w:color w:val="auto"/>
                <w:szCs w:val="21"/>
              </w:rPr>
            </w:pPr>
            <w:r>
              <w:rPr>
                <w:rFonts w:hint="eastAsia"/>
                <w:bCs/>
                <w:color w:val="auto"/>
                <w:szCs w:val="21"/>
                <w:lang w:val="en-US" w:eastAsia="zh-CN"/>
              </w:rPr>
              <w:t>大同市开发区污水处理厂位于大同市平城区小南头街道寺儿村东</w:t>
            </w:r>
            <w:r>
              <w:rPr>
                <w:rFonts w:hint="default"/>
                <w:bCs/>
                <w:color w:val="auto"/>
                <w:szCs w:val="21"/>
                <w:lang w:val="en-US" w:eastAsia="zh-CN"/>
              </w:rPr>
              <w:t>500m</w:t>
            </w:r>
            <w:r>
              <w:rPr>
                <w:rFonts w:hint="eastAsia"/>
                <w:bCs/>
                <w:color w:val="auto"/>
                <w:szCs w:val="21"/>
                <w:lang w:val="en-US" w:eastAsia="zh-CN"/>
              </w:rPr>
              <w:t xml:space="preserve">，始建于 </w:t>
            </w:r>
            <w:r>
              <w:rPr>
                <w:rFonts w:hint="default"/>
                <w:bCs/>
                <w:color w:val="auto"/>
                <w:szCs w:val="21"/>
                <w:lang w:val="en-US" w:eastAsia="zh-CN"/>
              </w:rPr>
              <w:t>2002</w:t>
            </w:r>
            <w:r>
              <w:rPr>
                <w:rFonts w:hint="eastAsia"/>
                <w:bCs/>
                <w:color w:val="auto"/>
                <w:szCs w:val="21"/>
                <w:lang w:val="en-US" w:eastAsia="zh-CN"/>
              </w:rPr>
              <w:t xml:space="preserve">年，由大同开发区污水处理有限责任公司运营。污水处理厂设计处理能力为 </w:t>
            </w:r>
            <w:r>
              <w:rPr>
                <w:rFonts w:hint="default"/>
                <w:bCs/>
                <w:color w:val="auto"/>
                <w:szCs w:val="21"/>
                <w:lang w:val="en-US" w:eastAsia="zh-CN"/>
              </w:rPr>
              <w:t>20000m</w:t>
            </w:r>
            <w:r>
              <w:rPr>
                <w:rFonts w:hint="default"/>
                <w:bCs/>
                <w:color w:val="auto"/>
                <w:szCs w:val="21"/>
                <w:vertAlign w:val="superscript"/>
                <w:lang w:val="en-US" w:eastAsia="zh-CN"/>
              </w:rPr>
              <w:t>3</w:t>
            </w:r>
            <w:r>
              <w:rPr>
                <w:rFonts w:hint="default"/>
                <w:bCs/>
                <w:color w:val="auto"/>
                <w:szCs w:val="21"/>
                <w:lang w:val="en-US" w:eastAsia="zh-CN"/>
              </w:rPr>
              <w:t>/d</w:t>
            </w:r>
            <w:r>
              <w:rPr>
                <w:rFonts w:hint="eastAsia"/>
                <w:bCs/>
                <w:color w:val="auto"/>
                <w:szCs w:val="21"/>
                <w:lang w:val="en-US" w:eastAsia="zh-CN"/>
              </w:rPr>
              <w:t>，采用“预处理</w:t>
            </w:r>
            <w:r>
              <w:rPr>
                <w:rFonts w:hint="default"/>
                <w:bCs/>
                <w:color w:val="auto"/>
                <w:szCs w:val="21"/>
                <w:lang w:val="en-US" w:eastAsia="zh-CN"/>
              </w:rPr>
              <w:t>+</w:t>
            </w:r>
            <w:r>
              <w:rPr>
                <w:rFonts w:hint="eastAsia"/>
                <w:bCs/>
                <w:color w:val="auto"/>
                <w:szCs w:val="21"/>
                <w:lang w:val="en-US" w:eastAsia="zh-CN"/>
              </w:rPr>
              <w:t xml:space="preserve">改良 </w:t>
            </w:r>
            <w:r>
              <w:rPr>
                <w:rFonts w:hint="default"/>
                <w:bCs/>
                <w:color w:val="auto"/>
                <w:szCs w:val="21"/>
                <w:lang w:val="en-US" w:eastAsia="zh-CN"/>
              </w:rPr>
              <w:t>A</w:t>
            </w:r>
            <w:r>
              <w:rPr>
                <w:rFonts w:hint="default"/>
                <w:bCs/>
                <w:color w:val="auto"/>
                <w:szCs w:val="21"/>
                <w:vertAlign w:val="superscript"/>
                <w:lang w:val="en-US" w:eastAsia="zh-CN"/>
              </w:rPr>
              <w:t>2</w:t>
            </w:r>
            <w:r>
              <w:rPr>
                <w:rFonts w:hint="default"/>
                <w:bCs/>
                <w:color w:val="auto"/>
                <w:szCs w:val="21"/>
                <w:lang w:val="en-US" w:eastAsia="zh-CN"/>
              </w:rPr>
              <w:t>O+</w:t>
            </w:r>
            <w:r>
              <w:rPr>
                <w:rFonts w:hint="eastAsia"/>
                <w:bCs/>
                <w:color w:val="auto"/>
                <w:szCs w:val="21"/>
                <w:lang w:val="en-US" w:eastAsia="zh-CN"/>
              </w:rPr>
              <w:t>混凝过滤</w:t>
            </w:r>
            <w:r>
              <w:rPr>
                <w:rFonts w:hint="default"/>
                <w:bCs/>
                <w:color w:val="auto"/>
                <w:szCs w:val="21"/>
                <w:lang w:val="en-US" w:eastAsia="zh-CN"/>
              </w:rPr>
              <w:t>+</w:t>
            </w:r>
            <w:r>
              <w:rPr>
                <w:rFonts w:hint="eastAsia"/>
                <w:bCs/>
                <w:color w:val="auto"/>
                <w:szCs w:val="21"/>
                <w:lang w:val="en-US" w:eastAsia="zh-CN"/>
              </w:rPr>
              <w:t>活性炭吸附”工艺，出水水质中</w:t>
            </w:r>
            <w:r>
              <w:rPr>
                <w:rFonts w:hint="default"/>
                <w:bCs/>
                <w:color w:val="auto"/>
                <w:szCs w:val="21"/>
                <w:lang w:val="en-US" w:eastAsia="zh-CN"/>
              </w:rPr>
              <w:t>CODcr</w:t>
            </w:r>
            <w:r>
              <w:rPr>
                <w:rFonts w:hint="eastAsia"/>
                <w:bCs/>
                <w:color w:val="auto"/>
                <w:szCs w:val="21"/>
                <w:lang w:val="en-US" w:eastAsia="zh-CN"/>
              </w:rPr>
              <w:t>、氨氮、总磷执行《山西省污水综合排放标准》（</w:t>
            </w:r>
            <w:r>
              <w:rPr>
                <w:rFonts w:hint="default"/>
                <w:bCs/>
                <w:color w:val="auto"/>
                <w:szCs w:val="21"/>
                <w:lang w:val="en-US" w:eastAsia="zh-CN"/>
              </w:rPr>
              <w:t>DB14/1928-2019</w:t>
            </w:r>
            <w:r>
              <w:rPr>
                <w:rFonts w:hint="eastAsia"/>
                <w:bCs/>
                <w:color w:val="auto"/>
                <w:szCs w:val="21"/>
                <w:lang w:val="en-US" w:eastAsia="zh-CN"/>
              </w:rPr>
              <w:t>）；其他指标执行《城镇污水处理厂污染物排放标准》（</w:t>
            </w:r>
            <w:r>
              <w:rPr>
                <w:rFonts w:hint="default"/>
                <w:bCs/>
                <w:color w:val="auto"/>
                <w:szCs w:val="21"/>
                <w:lang w:val="en-US" w:eastAsia="zh-CN"/>
              </w:rPr>
              <w:t>GB18918-2002</w:t>
            </w:r>
            <w:r>
              <w:rPr>
                <w:rFonts w:hint="eastAsia"/>
                <w:bCs/>
                <w:color w:val="auto"/>
                <w:szCs w:val="21"/>
                <w:lang w:val="en-US" w:eastAsia="zh-CN"/>
              </w:rPr>
              <w:t xml:space="preserve">）的一级 </w:t>
            </w:r>
            <w:r>
              <w:rPr>
                <w:rFonts w:hint="default"/>
                <w:bCs/>
                <w:color w:val="auto"/>
                <w:szCs w:val="21"/>
                <w:lang w:val="en-US" w:eastAsia="zh-CN"/>
              </w:rPr>
              <w:t xml:space="preserve">A </w:t>
            </w:r>
            <w:r>
              <w:rPr>
                <w:rFonts w:hint="eastAsia"/>
                <w:bCs/>
                <w:color w:val="auto"/>
                <w:szCs w:val="21"/>
                <w:lang w:val="en-US" w:eastAsia="zh-CN"/>
              </w:rPr>
              <w:t xml:space="preserve">标准。污水排放口位于御河小南头断面上游，排放口坐标为东经 </w:t>
            </w:r>
            <w:r>
              <w:rPr>
                <w:rFonts w:hint="default"/>
                <w:bCs/>
                <w:color w:val="auto"/>
                <w:szCs w:val="21"/>
                <w:lang w:val="en-US" w:eastAsia="zh-CN"/>
              </w:rPr>
              <w:t>113°19′14.621</w:t>
            </w:r>
            <w:r>
              <w:rPr>
                <w:rFonts w:hint="eastAsia"/>
                <w:bCs/>
                <w:color w:val="auto"/>
                <w:szCs w:val="21"/>
                <w:lang w:val="en-US" w:eastAsia="zh-CN"/>
              </w:rPr>
              <w:t xml:space="preserve">″、北纬 </w:t>
            </w:r>
            <w:r>
              <w:rPr>
                <w:rFonts w:hint="default"/>
                <w:bCs/>
                <w:color w:val="auto"/>
                <w:szCs w:val="21"/>
                <w:lang w:val="en-US" w:eastAsia="zh-CN"/>
              </w:rPr>
              <w:t>40°3′35.039</w:t>
            </w:r>
            <w:r>
              <w:rPr>
                <w:rFonts w:hint="eastAsia"/>
                <w:bCs/>
                <w:color w:val="auto"/>
                <w:szCs w:val="21"/>
                <w:lang w:val="en-US" w:eastAsia="zh-CN"/>
              </w:rPr>
              <w:t xml:space="preserve">″。 </w:t>
            </w:r>
          </w:p>
          <w:p w14:paraId="16497321">
            <w:pPr>
              <w:spacing w:line="360" w:lineRule="auto"/>
              <w:ind w:firstLine="420" w:firstLineChars="200"/>
              <w:rPr>
                <w:rFonts w:hint="default"/>
                <w:bCs/>
                <w:color w:val="auto"/>
                <w:szCs w:val="21"/>
                <w:lang w:val="en-US"/>
              </w:rPr>
            </w:pPr>
            <w:r>
              <w:rPr>
                <w:rFonts w:hint="eastAsia"/>
                <w:bCs/>
                <w:color w:val="auto"/>
                <w:szCs w:val="21"/>
                <w:lang w:val="en-US" w:eastAsia="zh-CN"/>
              </w:rPr>
              <w:t xml:space="preserve">根据现场调查，大同市开发区污水处理厂目前尚未建设回用水系统，实际处理规模为 </w:t>
            </w:r>
            <w:r>
              <w:rPr>
                <w:rFonts w:hint="default"/>
                <w:bCs/>
                <w:color w:val="auto"/>
                <w:szCs w:val="21"/>
                <w:lang w:val="en-US" w:eastAsia="zh-CN"/>
              </w:rPr>
              <w:t>9000m</w:t>
            </w:r>
            <w:r>
              <w:rPr>
                <w:rFonts w:hint="default"/>
                <w:bCs/>
                <w:color w:val="auto"/>
                <w:szCs w:val="21"/>
                <w:vertAlign w:val="superscript"/>
                <w:lang w:val="en-US" w:eastAsia="zh-CN"/>
              </w:rPr>
              <w:t>3</w:t>
            </w:r>
            <w:r>
              <w:rPr>
                <w:rFonts w:hint="default"/>
                <w:bCs/>
                <w:color w:val="auto"/>
                <w:szCs w:val="21"/>
                <w:lang w:val="en-US" w:eastAsia="zh-CN"/>
              </w:rPr>
              <w:t xml:space="preserve"> /d</w:t>
            </w:r>
            <w:r>
              <w:rPr>
                <w:rFonts w:hint="eastAsia"/>
                <w:bCs/>
                <w:color w:val="auto"/>
                <w:szCs w:val="21"/>
                <w:lang w:val="en-US" w:eastAsia="zh-CN"/>
              </w:rPr>
              <w:t>，本项目场址位于大同市开发区污水处理厂服务范围内，且污水处理厂尚有余量接收本项目运营期废水，依托合理可行。</w:t>
            </w:r>
          </w:p>
          <w:p w14:paraId="70CB0541">
            <w:pPr>
              <w:widowControl/>
              <w:spacing w:line="360" w:lineRule="auto"/>
              <w:ind w:firstLine="316" w:firstLineChars="150"/>
              <w:rPr>
                <w:rFonts w:hint="eastAsia" w:eastAsia="宋体"/>
                <w:color w:val="auto"/>
                <w:kern w:val="0"/>
                <w:szCs w:val="21"/>
                <w:lang w:val="en-US" w:eastAsia="zh-CN"/>
              </w:rPr>
            </w:pPr>
            <w:r>
              <w:rPr>
                <w:rFonts w:hint="eastAsia"/>
                <w:b/>
                <w:color w:val="auto"/>
                <w:szCs w:val="21"/>
                <w:lang w:val="en-US" w:eastAsia="zh-CN"/>
              </w:rPr>
              <w:t>4.</w:t>
            </w:r>
            <w:r>
              <w:rPr>
                <w:b/>
                <w:color w:val="auto"/>
                <w:szCs w:val="21"/>
              </w:rPr>
              <w:t>3、</w:t>
            </w:r>
            <w:r>
              <w:rPr>
                <w:rFonts w:hint="eastAsia"/>
                <w:b/>
                <w:color w:val="auto"/>
                <w:szCs w:val="21"/>
                <w:lang w:val="en-US" w:eastAsia="zh-CN"/>
              </w:rPr>
              <w:t>噪声</w:t>
            </w:r>
          </w:p>
          <w:p w14:paraId="4FC7ABA2">
            <w:pPr>
              <w:spacing w:line="360" w:lineRule="auto"/>
              <w:ind w:firstLine="420" w:firstLineChars="200"/>
              <w:rPr>
                <w:bCs/>
                <w:color w:val="auto"/>
                <w:szCs w:val="21"/>
              </w:rPr>
            </w:pPr>
            <w:r>
              <w:rPr>
                <w:rFonts w:hint="eastAsia"/>
                <w:bCs/>
                <w:color w:val="auto"/>
                <w:szCs w:val="21"/>
              </w:rPr>
              <w:t>（1）噪声源强及防治措施</w:t>
            </w:r>
          </w:p>
          <w:p w14:paraId="1DC8DA1E">
            <w:pPr>
              <w:spacing w:line="360" w:lineRule="auto"/>
              <w:ind w:firstLine="420" w:firstLineChars="200"/>
              <w:rPr>
                <w:rFonts w:hint="eastAsia"/>
                <w:color w:val="auto"/>
                <w:szCs w:val="21"/>
              </w:rPr>
            </w:pPr>
            <w:r>
              <w:rPr>
                <w:rFonts w:hint="eastAsia"/>
                <w:color w:val="auto"/>
                <w:szCs w:val="21"/>
              </w:rPr>
              <w:t>本项目在运行中产生高噪声的设备主要有</w:t>
            </w:r>
            <w:r>
              <w:rPr>
                <w:rFonts w:hint="eastAsia"/>
                <w:color w:val="auto"/>
                <w:szCs w:val="21"/>
                <w:lang w:val="en-US" w:eastAsia="zh-CN"/>
              </w:rPr>
              <w:t>水泵、污泥泵、油烟净化器</w:t>
            </w:r>
            <w:r>
              <w:rPr>
                <w:rFonts w:hint="eastAsia"/>
                <w:color w:val="auto"/>
                <w:szCs w:val="21"/>
              </w:rPr>
              <w:t>等</w:t>
            </w:r>
            <w:r>
              <w:rPr>
                <w:rFonts w:hint="eastAsia"/>
                <w:color w:val="auto"/>
                <w:szCs w:val="21"/>
                <w:lang w:val="en-US" w:eastAsia="zh-CN"/>
              </w:rPr>
              <w:t xml:space="preserve">产生的噪声；汽车噪声、门诊人员嘈杂声等，声压级在 </w:t>
            </w:r>
            <w:r>
              <w:rPr>
                <w:rFonts w:hint="default"/>
                <w:color w:val="auto"/>
                <w:szCs w:val="21"/>
                <w:lang w:val="en-US" w:eastAsia="zh-CN"/>
              </w:rPr>
              <w:t>60-85dB(A)</w:t>
            </w:r>
            <w:r>
              <w:rPr>
                <w:rFonts w:hint="eastAsia"/>
                <w:color w:val="auto"/>
                <w:szCs w:val="21"/>
                <w:lang w:val="en-US" w:eastAsia="zh-CN"/>
              </w:rPr>
              <w:t xml:space="preserve">之间。其中固定声源主要为污水处理设施水泵、污泥泵、油烟净化装置等。 </w:t>
            </w:r>
          </w:p>
          <w:p w14:paraId="3F92C4B9">
            <w:pPr>
              <w:spacing w:line="360" w:lineRule="auto"/>
              <w:ind w:firstLine="420" w:firstLineChars="200"/>
              <w:rPr>
                <w:rFonts w:hint="eastAsia"/>
                <w:color w:val="auto"/>
                <w:szCs w:val="21"/>
              </w:rPr>
            </w:pPr>
            <w:r>
              <w:rPr>
                <w:rFonts w:hint="eastAsia"/>
                <w:color w:val="auto"/>
                <w:szCs w:val="21"/>
                <w:lang w:val="en-US" w:eastAsia="zh-CN"/>
              </w:rPr>
              <w:t xml:space="preserve">为减少营运期噪声对周围环境的影响，环评提出以下噪声污染防治措施： </w:t>
            </w:r>
          </w:p>
          <w:p w14:paraId="65DEB279">
            <w:pPr>
              <w:spacing w:line="360" w:lineRule="auto"/>
              <w:ind w:firstLine="420" w:firstLineChars="200"/>
              <w:rPr>
                <w:rFonts w:hint="eastAsia"/>
                <w:color w:val="auto"/>
                <w:szCs w:val="21"/>
              </w:rPr>
            </w:pPr>
            <w:r>
              <w:rPr>
                <w:rFonts w:hint="default"/>
                <w:color w:val="auto"/>
                <w:szCs w:val="21"/>
                <w:lang w:val="en-US" w:eastAsia="zh-CN"/>
              </w:rPr>
              <w:t>1</w:t>
            </w:r>
            <w:r>
              <w:rPr>
                <w:rFonts w:hint="eastAsia"/>
                <w:color w:val="auto"/>
                <w:szCs w:val="21"/>
                <w:lang w:val="en-US" w:eastAsia="zh-CN"/>
              </w:rPr>
              <w:t xml:space="preserve">）选用低噪声设备； </w:t>
            </w:r>
          </w:p>
          <w:p w14:paraId="47CA65DC">
            <w:pPr>
              <w:spacing w:line="360" w:lineRule="auto"/>
              <w:ind w:firstLine="420" w:firstLineChars="200"/>
              <w:rPr>
                <w:rFonts w:hint="eastAsia"/>
                <w:color w:val="auto"/>
                <w:szCs w:val="21"/>
              </w:rPr>
            </w:pPr>
            <w:r>
              <w:rPr>
                <w:rFonts w:hint="default"/>
                <w:color w:val="auto"/>
                <w:szCs w:val="21"/>
                <w:lang w:val="en-US" w:eastAsia="zh-CN"/>
              </w:rPr>
              <w:t>2</w:t>
            </w:r>
            <w:r>
              <w:rPr>
                <w:rFonts w:hint="eastAsia"/>
                <w:color w:val="auto"/>
                <w:szCs w:val="21"/>
                <w:lang w:val="en-US" w:eastAsia="zh-CN"/>
              </w:rPr>
              <w:t xml:space="preserve">）加强管理，经常对产噪设备性能进行检查，保持设备平衡，以减少振动产生，平时要对防噪设施经常维护，确保其发挥正常功能。 </w:t>
            </w:r>
          </w:p>
          <w:p w14:paraId="248864BA">
            <w:pPr>
              <w:spacing w:line="360" w:lineRule="auto"/>
              <w:ind w:firstLine="420" w:firstLineChars="200"/>
              <w:rPr>
                <w:rFonts w:hint="eastAsia"/>
                <w:color w:val="auto"/>
                <w:szCs w:val="21"/>
              </w:rPr>
            </w:pPr>
            <w:r>
              <w:rPr>
                <w:rFonts w:hint="default"/>
                <w:color w:val="auto"/>
                <w:szCs w:val="21"/>
                <w:lang w:val="en-US" w:eastAsia="zh-CN"/>
              </w:rPr>
              <w:t>3</w:t>
            </w:r>
            <w:r>
              <w:rPr>
                <w:rFonts w:hint="eastAsia"/>
                <w:color w:val="auto"/>
                <w:szCs w:val="21"/>
                <w:lang w:val="en-US" w:eastAsia="zh-CN"/>
              </w:rPr>
              <w:t xml:space="preserve">）加强对进入项目区车辆管理，要求进入项目区车辆禁鸣喇叭，并设立明显禁鸣牌；建立良好的停车秩序，保持交通通畅，避免由于人流、车流滞留量过大引起交通噪声和喧哗噪声。 </w:t>
            </w:r>
          </w:p>
          <w:p w14:paraId="791A0D18">
            <w:pPr>
              <w:spacing w:line="360" w:lineRule="auto"/>
              <w:ind w:firstLine="420" w:firstLineChars="200"/>
              <w:rPr>
                <w:rFonts w:hint="eastAsia"/>
                <w:color w:val="auto"/>
                <w:szCs w:val="21"/>
              </w:rPr>
            </w:pPr>
            <w:r>
              <w:rPr>
                <w:rFonts w:hint="default"/>
                <w:color w:val="auto"/>
                <w:szCs w:val="21"/>
                <w:lang w:val="en-US" w:eastAsia="zh-CN"/>
              </w:rPr>
              <w:t>4</w:t>
            </w:r>
            <w:r>
              <w:rPr>
                <w:rFonts w:hint="eastAsia"/>
                <w:color w:val="auto"/>
                <w:szCs w:val="21"/>
                <w:lang w:val="en-US" w:eastAsia="zh-CN"/>
              </w:rPr>
              <w:t>）由于本项目住院楼是需要安静的场所，外环境噪声不能对住院楼病人休息治疗产生影响。病房及手术室要设置隔音门窗，隔音玻璃。</w:t>
            </w:r>
          </w:p>
          <w:p w14:paraId="35F12779">
            <w:pPr>
              <w:widowControl/>
              <w:snapToGrid w:val="0"/>
              <w:spacing w:line="360" w:lineRule="auto"/>
              <w:ind w:firstLine="420" w:firstLineChars="200"/>
              <w:rPr>
                <w:bCs/>
                <w:color w:val="auto"/>
                <w:szCs w:val="21"/>
              </w:rPr>
            </w:pPr>
            <w:r>
              <w:rPr>
                <w:rFonts w:hint="eastAsia"/>
                <w:bCs/>
                <w:color w:val="auto"/>
                <w:szCs w:val="21"/>
                <w:lang w:val="en-US" w:eastAsia="zh-CN"/>
              </w:rPr>
              <w:t>5）</w:t>
            </w:r>
            <w:r>
              <w:rPr>
                <w:bCs/>
                <w:color w:val="auto"/>
                <w:szCs w:val="21"/>
              </w:rPr>
              <w:t>绿化</w:t>
            </w:r>
            <w:r>
              <w:rPr>
                <w:rFonts w:hint="eastAsia"/>
                <w:bCs/>
                <w:color w:val="auto"/>
                <w:szCs w:val="21"/>
              </w:rPr>
              <w:t>：</w:t>
            </w:r>
            <w:r>
              <w:rPr>
                <w:bCs/>
                <w:color w:val="auto"/>
                <w:szCs w:val="21"/>
              </w:rPr>
              <w:t>在厂界四周种植绿化带，降低噪声传播。</w:t>
            </w:r>
          </w:p>
          <w:p w14:paraId="4CB70731">
            <w:pPr>
              <w:spacing w:line="360" w:lineRule="auto"/>
              <w:ind w:firstLine="420" w:firstLineChars="200"/>
              <w:rPr>
                <w:bCs/>
                <w:color w:val="auto"/>
                <w:szCs w:val="21"/>
              </w:rPr>
            </w:pPr>
            <w:r>
              <w:rPr>
                <w:rFonts w:hint="eastAsia"/>
                <w:color w:val="auto"/>
                <w:szCs w:val="21"/>
              </w:rPr>
              <w:t>采取以上措施后，</w:t>
            </w:r>
            <w:r>
              <w:rPr>
                <w:rFonts w:hint="eastAsia"/>
                <w:bCs/>
                <w:color w:val="auto"/>
                <w:szCs w:val="21"/>
              </w:rPr>
              <w:t>项目主要噪声源及源强见表4-</w:t>
            </w:r>
            <w:r>
              <w:rPr>
                <w:rFonts w:hint="eastAsia"/>
                <w:bCs/>
                <w:color w:val="auto"/>
                <w:szCs w:val="21"/>
                <w:lang w:val="en-US" w:eastAsia="zh-CN"/>
              </w:rPr>
              <w:t>8</w:t>
            </w:r>
            <w:r>
              <w:rPr>
                <w:rFonts w:hint="eastAsia"/>
                <w:bCs/>
                <w:color w:val="auto"/>
                <w:szCs w:val="21"/>
              </w:rPr>
              <w:t>。</w:t>
            </w:r>
          </w:p>
          <w:p w14:paraId="4B792343">
            <w:pPr>
              <w:pStyle w:val="153"/>
              <w:spacing w:before="0" w:after="0" w:line="240" w:lineRule="auto"/>
              <w:rPr>
                <w:color w:val="auto"/>
                <w:sz w:val="18"/>
                <w:szCs w:val="18"/>
              </w:rPr>
            </w:pPr>
            <w:r>
              <w:rPr>
                <w:color w:val="auto"/>
                <w:sz w:val="18"/>
                <w:szCs w:val="18"/>
              </w:rPr>
              <w:t>表</w:t>
            </w:r>
            <w:r>
              <w:rPr>
                <w:rFonts w:hint="eastAsia"/>
                <w:color w:val="auto"/>
                <w:sz w:val="18"/>
                <w:szCs w:val="18"/>
              </w:rPr>
              <w:t>4-</w:t>
            </w:r>
            <w:r>
              <w:rPr>
                <w:rFonts w:hint="eastAsia"/>
                <w:color w:val="auto"/>
                <w:sz w:val="18"/>
                <w:szCs w:val="18"/>
                <w:lang w:val="en-US" w:eastAsia="zh-CN"/>
              </w:rPr>
              <w:t>8</w:t>
            </w:r>
            <w:r>
              <w:rPr>
                <w:rFonts w:hint="eastAsia"/>
                <w:color w:val="auto"/>
                <w:sz w:val="18"/>
                <w:szCs w:val="18"/>
              </w:rPr>
              <w:t xml:space="preserve">  </w:t>
            </w:r>
            <w:r>
              <w:rPr>
                <w:color w:val="auto"/>
                <w:sz w:val="18"/>
                <w:szCs w:val="18"/>
              </w:rPr>
              <w:t xml:space="preserve">  </w:t>
            </w:r>
            <w:r>
              <w:rPr>
                <w:rFonts w:hint="eastAsia"/>
                <w:color w:val="auto"/>
                <w:sz w:val="18"/>
                <w:szCs w:val="18"/>
              </w:rPr>
              <w:t>项目</w:t>
            </w:r>
            <w:r>
              <w:rPr>
                <w:color w:val="auto"/>
                <w:sz w:val="18"/>
                <w:szCs w:val="18"/>
              </w:rPr>
              <w:t>噪声源</w:t>
            </w:r>
            <w:r>
              <w:rPr>
                <w:rFonts w:hint="eastAsia"/>
                <w:color w:val="auto"/>
                <w:sz w:val="18"/>
                <w:szCs w:val="18"/>
              </w:rPr>
              <w:t>源强调查清单（室内声源）      单位：dB(A)</w:t>
            </w:r>
          </w:p>
          <w:tbl>
            <w:tblPr>
              <w:tblStyle w:val="47"/>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0" w:type="dxa"/>
                <w:bottom w:w="0" w:type="dxa"/>
                <w:right w:w="0" w:type="dxa"/>
              </w:tblCellMar>
            </w:tblPr>
            <w:tblGrid>
              <w:gridCol w:w="249"/>
              <w:gridCol w:w="390"/>
              <w:gridCol w:w="395"/>
              <w:gridCol w:w="1046"/>
              <w:gridCol w:w="874"/>
              <w:gridCol w:w="252"/>
              <w:gridCol w:w="252"/>
              <w:gridCol w:w="310"/>
              <w:gridCol w:w="554"/>
              <w:gridCol w:w="683"/>
              <w:gridCol w:w="1018"/>
              <w:gridCol w:w="874"/>
              <w:gridCol w:w="675"/>
              <w:gridCol w:w="451"/>
            </w:tblGrid>
            <w:tr w14:paraId="21AF78E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c>
                <w:tcPr>
                  <w:tcW w:w="155" w:type="pct"/>
                  <w:vMerge w:val="restart"/>
                  <w:tcBorders>
                    <w:right w:val="single" w:color="auto" w:sz="4" w:space="0"/>
                  </w:tcBorders>
                  <w:vAlign w:val="center"/>
                </w:tcPr>
                <w:p w14:paraId="08B0C517">
                  <w:pPr>
                    <w:pStyle w:val="223"/>
                    <w:autoSpaceDE/>
                    <w:autoSpaceDN/>
                    <w:snapToGrid w:val="0"/>
                    <w:jc w:val="center"/>
                    <w:rPr>
                      <w:rFonts w:hint="eastAsia" w:eastAsia="宋体"/>
                      <w:color w:val="auto"/>
                      <w:sz w:val="18"/>
                      <w:szCs w:val="18"/>
                      <w:lang w:eastAsia="zh-CN"/>
                    </w:rPr>
                  </w:pPr>
                  <w:r>
                    <w:rPr>
                      <w:rFonts w:hint="eastAsia"/>
                      <w:color w:val="auto"/>
                      <w:sz w:val="18"/>
                      <w:szCs w:val="18"/>
                      <w:lang w:val="en-US" w:eastAsia="zh-CN"/>
                    </w:rPr>
                    <w:t>序号</w:t>
                  </w:r>
                </w:p>
              </w:tc>
              <w:tc>
                <w:tcPr>
                  <w:tcW w:w="243" w:type="pct"/>
                  <w:vMerge w:val="restart"/>
                  <w:tcBorders>
                    <w:left w:val="single" w:color="auto" w:sz="4" w:space="0"/>
                  </w:tcBorders>
                  <w:vAlign w:val="center"/>
                </w:tcPr>
                <w:p w14:paraId="6896A2E8">
                  <w:pPr>
                    <w:pStyle w:val="223"/>
                    <w:autoSpaceDE/>
                    <w:autoSpaceDN/>
                    <w:snapToGrid w:val="0"/>
                    <w:jc w:val="center"/>
                    <w:rPr>
                      <w:rFonts w:hint="default"/>
                      <w:color w:val="auto"/>
                      <w:sz w:val="18"/>
                      <w:szCs w:val="18"/>
                      <w:lang w:val="en-US" w:eastAsia="zh-CN"/>
                    </w:rPr>
                  </w:pPr>
                  <w:r>
                    <w:rPr>
                      <w:rFonts w:hint="eastAsia"/>
                      <w:color w:val="auto"/>
                      <w:sz w:val="18"/>
                      <w:szCs w:val="18"/>
                      <w:lang w:val="en-US" w:eastAsia="zh-CN"/>
                    </w:rPr>
                    <w:t>建筑物名称</w:t>
                  </w:r>
                </w:p>
              </w:tc>
              <w:tc>
                <w:tcPr>
                  <w:tcW w:w="246" w:type="pct"/>
                  <w:vMerge w:val="restart"/>
                  <w:vAlign w:val="center"/>
                </w:tcPr>
                <w:p w14:paraId="31A0C62B">
                  <w:pPr>
                    <w:pStyle w:val="223"/>
                    <w:autoSpaceDE/>
                    <w:autoSpaceDN/>
                    <w:snapToGrid w:val="0"/>
                    <w:jc w:val="center"/>
                    <w:rPr>
                      <w:color w:val="auto"/>
                      <w:sz w:val="18"/>
                      <w:szCs w:val="18"/>
                    </w:rPr>
                  </w:pPr>
                  <w:r>
                    <w:rPr>
                      <w:color w:val="auto"/>
                      <w:sz w:val="18"/>
                      <w:szCs w:val="18"/>
                    </w:rPr>
                    <w:t>声源</w:t>
                  </w:r>
                </w:p>
                <w:p w14:paraId="15D4DF11">
                  <w:pPr>
                    <w:pStyle w:val="223"/>
                    <w:autoSpaceDE/>
                    <w:autoSpaceDN/>
                    <w:snapToGrid w:val="0"/>
                    <w:jc w:val="center"/>
                    <w:rPr>
                      <w:color w:val="auto"/>
                      <w:sz w:val="18"/>
                      <w:szCs w:val="18"/>
                    </w:rPr>
                  </w:pPr>
                  <w:r>
                    <w:rPr>
                      <w:color w:val="auto"/>
                      <w:sz w:val="18"/>
                      <w:szCs w:val="18"/>
                    </w:rPr>
                    <w:t>名称</w:t>
                  </w:r>
                </w:p>
              </w:tc>
              <w:tc>
                <w:tcPr>
                  <w:tcW w:w="651" w:type="pct"/>
                  <w:vAlign w:val="center"/>
                </w:tcPr>
                <w:p w14:paraId="18FC1498">
                  <w:pPr>
                    <w:pStyle w:val="223"/>
                    <w:autoSpaceDE/>
                    <w:autoSpaceDN/>
                    <w:snapToGrid w:val="0"/>
                    <w:jc w:val="center"/>
                    <w:rPr>
                      <w:color w:val="auto"/>
                      <w:sz w:val="18"/>
                      <w:szCs w:val="18"/>
                    </w:rPr>
                  </w:pPr>
                  <w:r>
                    <w:rPr>
                      <w:color w:val="auto"/>
                      <w:sz w:val="18"/>
                      <w:szCs w:val="18"/>
                    </w:rPr>
                    <w:t>声源源强</w:t>
                  </w:r>
                </w:p>
              </w:tc>
              <w:tc>
                <w:tcPr>
                  <w:tcW w:w="544" w:type="pct"/>
                  <w:vMerge w:val="restart"/>
                  <w:vAlign w:val="center"/>
                </w:tcPr>
                <w:p w14:paraId="1FFB5A6C">
                  <w:pPr>
                    <w:pStyle w:val="223"/>
                    <w:autoSpaceDE/>
                    <w:autoSpaceDN/>
                    <w:snapToGrid w:val="0"/>
                    <w:jc w:val="center"/>
                    <w:rPr>
                      <w:color w:val="auto"/>
                      <w:sz w:val="18"/>
                      <w:szCs w:val="18"/>
                    </w:rPr>
                  </w:pPr>
                  <w:r>
                    <w:rPr>
                      <w:color w:val="auto"/>
                      <w:sz w:val="18"/>
                      <w:szCs w:val="18"/>
                    </w:rPr>
                    <w:t>声源控制措施</w:t>
                  </w:r>
                </w:p>
              </w:tc>
              <w:tc>
                <w:tcPr>
                  <w:tcW w:w="507" w:type="pct"/>
                  <w:gridSpan w:val="3"/>
                  <w:vAlign w:val="center"/>
                </w:tcPr>
                <w:p w14:paraId="188DD767">
                  <w:pPr>
                    <w:pStyle w:val="223"/>
                    <w:autoSpaceDE/>
                    <w:autoSpaceDN/>
                    <w:snapToGrid w:val="0"/>
                    <w:jc w:val="center"/>
                    <w:rPr>
                      <w:color w:val="auto"/>
                      <w:sz w:val="18"/>
                      <w:szCs w:val="18"/>
                    </w:rPr>
                  </w:pPr>
                  <w:r>
                    <w:rPr>
                      <w:color w:val="auto"/>
                      <w:sz w:val="18"/>
                      <w:szCs w:val="18"/>
                    </w:rPr>
                    <w:t>空间相对位置/m</w:t>
                  </w:r>
                </w:p>
              </w:tc>
              <w:tc>
                <w:tcPr>
                  <w:tcW w:w="345" w:type="pct"/>
                  <w:vMerge w:val="restart"/>
                  <w:vAlign w:val="center"/>
                </w:tcPr>
                <w:p w14:paraId="294251B4">
                  <w:pPr>
                    <w:pStyle w:val="223"/>
                    <w:autoSpaceDE/>
                    <w:autoSpaceDN/>
                    <w:snapToGrid w:val="0"/>
                    <w:jc w:val="center"/>
                    <w:rPr>
                      <w:color w:val="auto"/>
                      <w:sz w:val="18"/>
                      <w:szCs w:val="18"/>
                    </w:rPr>
                  </w:pPr>
                  <w:r>
                    <w:rPr>
                      <w:color w:val="auto"/>
                      <w:sz w:val="18"/>
                      <w:szCs w:val="18"/>
                    </w:rPr>
                    <w:t>距室内边界距离/m</w:t>
                  </w:r>
                </w:p>
              </w:tc>
              <w:tc>
                <w:tcPr>
                  <w:tcW w:w="425" w:type="pct"/>
                  <w:vMerge w:val="restart"/>
                  <w:vAlign w:val="center"/>
                </w:tcPr>
                <w:p w14:paraId="1C21AED6">
                  <w:pPr>
                    <w:pStyle w:val="223"/>
                    <w:autoSpaceDE/>
                    <w:autoSpaceDN/>
                    <w:snapToGrid w:val="0"/>
                    <w:jc w:val="center"/>
                    <w:rPr>
                      <w:color w:val="auto"/>
                      <w:sz w:val="18"/>
                      <w:szCs w:val="18"/>
                    </w:rPr>
                  </w:pPr>
                  <w:r>
                    <w:rPr>
                      <w:color w:val="auto"/>
                      <w:sz w:val="18"/>
                      <w:szCs w:val="18"/>
                    </w:rPr>
                    <w:t>室内边界声级</w:t>
                  </w:r>
                </w:p>
                <w:p w14:paraId="5754CC97">
                  <w:pPr>
                    <w:pStyle w:val="223"/>
                    <w:autoSpaceDE/>
                    <w:autoSpaceDN/>
                    <w:snapToGrid w:val="0"/>
                    <w:jc w:val="center"/>
                    <w:rPr>
                      <w:color w:val="auto"/>
                      <w:sz w:val="18"/>
                      <w:szCs w:val="18"/>
                    </w:rPr>
                  </w:pPr>
                  <w:r>
                    <w:rPr>
                      <w:color w:val="auto"/>
                      <w:sz w:val="18"/>
                      <w:szCs w:val="18"/>
                    </w:rPr>
                    <w:t>/dB(A)</w:t>
                  </w:r>
                </w:p>
              </w:tc>
              <w:tc>
                <w:tcPr>
                  <w:tcW w:w="634" w:type="pct"/>
                  <w:vMerge w:val="restart"/>
                  <w:vAlign w:val="center"/>
                </w:tcPr>
                <w:p w14:paraId="4AC6F989">
                  <w:pPr>
                    <w:pStyle w:val="223"/>
                    <w:autoSpaceDE/>
                    <w:autoSpaceDN/>
                    <w:snapToGrid w:val="0"/>
                    <w:jc w:val="center"/>
                    <w:rPr>
                      <w:color w:val="auto"/>
                      <w:sz w:val="18"/>
                      <w:szCs w:val="18"/>
                    </w:rPr>
                  </w:pPr>
                  <w:r>
                    <w:rPr>
                      <w:color w:val="auto"/>
                      <w:sz w:val="18"/>
                      <w:szCs w:val="18"/>
                    </w:rPr>
                    <w:t>运行时段</w:t>
                  </w:r>
                </w:p>
              </w:tc>
              <w:tc>
                <w:tcPr>
                  <w:tcW w:w="544" w:type="pct"/>
                  <w:vMerge w:val="restart"/>
                  <w:vAlign w:val="center"/>
                </w:tcPr>
                <w:p w14:paraId="050ED9FA">
                  <w:pPr>
                    <w:pStyle w:val="223"/>
                    <w:autoSpaceDE/>
                    <w:autoSpaceDN/>
                    <w:snapToGrid w:val="0"/>
                    <w:jc w:val="center"/>
                    <w:rPr>
                      <w:color w:val="auto"/>
                      <w:sz w:val="18"/>
                      <w:szCs w:val="18"/>
                    </w:rPr>
                  </w:pPr>
                  <w:r>
                    <w:rPr>
                      <w:color w:val="auto"/>
                      <w:sz w:val="18"/>
                      <w:szCs w:val="18"/>
                    </w:rPr>
                    <w:t>建筑物插入损失/dB(A)</w:t>
                  </w:r>
                </w:p>
              </w:tc>
              <w:tc>
                <w:tcPr>
                  <w:tcW w:w="701" w:type="pct"/>
                  <w:gridSpan w:val="2"/>
                  <w:vAlign w:val="center"/>
                </w:tcPr>
                <w:p w14:paraId="78E18485">
                  <w:pPr>
                    <w:pStyle w:val="223"/>
                    <w:autoSpaceDE/>
                    <w:autoSpaceDN/>
                    <w:snapToGrid w:val="0"/>
                    <w:jc w:val="center"/>
                    <w:rPr>
                      <w:color w:val="auto"/>
                      <w:sz w:val="18"/>
                      <w:szCs w:val="18"/>
                    </w:rPr>
                  </w:pPr>
                  <w:r>
                    <w:rPr>
                      <w:color w:val="auto"/>
                      <w:sz w:val="18"/>
                      <w:szCs w:val="18"/>
                    </w:rPr>
                    <w:t>建筑物外</w:t>
                  </w:r>
                </w:p>
                <w:p w14:paraId="4F6A8EF4">
                  <w:pPr>
                    <w:pStyle w:val="223"/>
                    <w:autoSpaceDE/>
                    <w:autoSpaceDN/>
                    <w:snapToGrid w:val="0"/>
                    <w:jc w:val="center"/>
                    <w:rPr>
                      <w:color w:val="auto"/>
                      <w:sz w:val="18"/>
                      <w:szCs w:val="18"/>
                    </w:rPr>
                  </w:pPr>
                  <w:r>
                    <w:rPr>
                      <w:color w:val="auto"/>
                      <w:sz w:val="18"/>
                      <w:szCs w:val="18"/>
                    </w:rPr>
                    <w:t>噪声</w:t>
                  </w:r>
                </w:p>
              </w:tc>
            </w:tr>
            <w:tr w14:paraId="2EFB981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c>
                <w:tcPr>
                  <w:tcW w:w="155" w:type="pct"/>
                  <w:vMerge w:val="continue"/>
                  <w:tcBorders>
                    <w:right w:val="single" w:color="auto" w:sz="4" w:space="0"/>
                  </w:tcBorders>
                  <w:vAlign w:val="center"/>
                </w:tcPr>
                <w:p w14:paraId="6D46FE3D">
                  <w:pPr>
                    <w:adjustRightInd w:val="0"/>
                    <w:snapToGrid w:val="0"/>
                    <w:jc w:val="center"/>
                    <w:rPr>
                      <w:color w:val="auto"/>
                      <w:sz w:val="18"/>
                      <w:szCs w:val="18"/>
                    </w:rPr>
                  </w:pPr>
                </w:p>
              </w:tc>
              <w:tc>
                <w:tcPr>
                  <w:tcW w:w="243" w:type="pct"/>
                  <w:vMerge w:val="continue"/>
                  <w:tcBorders>
                    <w:left w:val="single" w:color="auto" w:sz="4" w:space="0"/>
                  </w:tcBorders>
                  <w:vAlign w:val="center"/>
                </w:tcPr>
                <w:p w14:paraId="5C0E262F">
                  <w:pPr>
                    <w:adjustRightInd w:val="0"/>
                    <w:snapToGrid w:val="0"/>
                    <w:jc w:val="center"/>
                    <w:rPr>
                      <w:color w:val="auto"/>
                      <w:sz w:val="18"/>
                      <w:szCs w:val="18"/>
                    </w:rPr>
                  </w:pPr>
                </w:p>
              </w:tc>
              <w:tc>
                <w:tcPr>
                  <w:tcW w:w="246" w:type="pct"/>
                  <w:vMerge w:val="continue"/>
                  <w:vAlign w:val="center"/>
                </w:tcPr>
                <w:p w14:paraId="362907E0">
                  <w:pPr>
                    <w:adjustRightInd w:val="0"/>
                    <w:snapToGrid w:val="0"/>
                    <w:jc w:val="center"/>
                    <w:rPr>
                      <w:color w:val="auto"/>
                      <w:sz w:val="18"/>
                      <w:szCs w:val="18"/>
                    </w:rPr>
                  </w:pPr>
                </w:p>
              </w:tc>
              <w:tc>
                <w:tcPr>
                  <w:tcW w:w="651" w:type="pct"/>
                  <w:vAlign w:val="center"/>
                </w:tcPr>
                <w:p w14:paraId="7ED00427">
                  <w:pPr>
                    <w:pStyle w:val="223"/>
                    <w:autoSpaceDE/>
                    <w:autoSpaceDN/>
                    <w:snapToGrid w:val="0"/>
                    <w:jc w:val="center"/>
                    <w:rPr>
                      <w:color w:val="auto"/>
                      <w:sz w:val="18"/>
                      <w:szCs w:val="18"/>
                    </w:rPr>
                  </w:pPr>
                  <w:r>
                    <w:rPr>
                      <w:color w:val="auto"/>
                      <w:sz w:val="18"/>
                      <w:szCs w:val="18"/>
                    </w:rPr>
                    <w:t>（声压级/</w:t>
                  </w:r>
                </w:p>
                <w:p w14:paraId="6C056E22">
                  <w:pPr>
                    <w:pStyle w:val="223"/>
                    <w:autoSpaceDE/>
                    <w:autoSpaceDN/>
                    <w:snapToGrid w:val="0"/>
                    <w:jc w:val="center"/>
                    <w:rPr>
                      <w:color w:val="auto"/>
                      <w:sz w:val="18"/>
                      <w:szCs w:val="18"/>
                    </w:rPr>
                  </w:pPr>
                  <w:r>
                    <w:rPr>
                      <w:color w:val="auto"/>
                      <w:sz w:val="18"/>
                      <w:szCs w:val="18"/>
                    </w:rPr>
                    <w:t>距声源距离）</w:t>
                  </w:r>
                </w:p>
                <w:p w14:paraId="234F745C">
                  <w:pPr>
                    <w:pStyle w:val="223"/>
                    <w:autoSpaceDE/>
                    <w:autoSpaceDN/>
                    <w:snapToGrid w:val="0"/>
                    <w:jc w:val="center"/>
                    <w:rPr>
                      <w:color w:val="auto"/>
                      <w:sz w:val="18"/>
                      <w:szCs w:val="18"/>
                    </w:rPr>
                  </w:pPr>
                  <w:r>
                    <w:rPr>
                      <w:color w:val="auto"/>
                      <w:sz w:val="18"/>
                      <w:szCs w:val="18"/>
                    </w:rPr>
                    <w:t>/（dB(A)/m）</w:t>
                  </w:r>
                </w:p>
              </w:tc>
              <w:tc>
                <w:tcPr>
                  <w:tcW w:w="544" w:type="pct"/>
                  <w:vMerge w:val="continue"/>
                  <w:vAlign w:val="center"/>
                </w:tcPr>
                <w:p w14:paraId="62FF753F">
                  <w:pPr>
                    <w:adjustRightInd w:val="0"/>
                    <w:snapToGrid w:val="0"/>
                    <w:jc w:val="center"/>
                    <w:rPr>
                      <w:color w:val="auto"/>
                      <w:sz w:val="18"/>
                      <w:szCs w:val="18"/>
                    </w:rPr>
                  </w:pPr>
                </w:p>
              </w:tc>
              <w:tc>
                <w:tcPr>
                  <w:tcW w:w="157" w:type="pct"/>
                  <w:vAlign w:val="center"/>
                </w:tcPr>
                <w:p w14:paraId="744DC413">
                  <w:pPr>
                    <w:pStyle w:val="223"/>
                    <w:autoSpaceDE/>
                    <w:autoSpaceDN/>
                    <w:snapToGrid w:val="0"/>
                    <w:jc w:val="center"/>
                    <w:rPr>
                      <w:color w:val="auto"/>
                      <w:sz w:val="18"/>
                      <w:szCs w:val="18"/>
                    </w:rPr>
                  </w:pPr>
                  <w:r>
                    <w:rPr>
                      <w:color w:val="auto"/>
                      <w:sz w:val="18"/>
                      <w:szCs w:val="18"/>
                    </w:rPr>
                    <w:t>X</w:t>
                  </w:r>
                </w:p>
              </w:tc>
              <w:tc>
                <w:tcPr>
                  <w:tcW w:w="157" w:type="pct"/>
                  <w:vAlign w:val="center"/>
                </w:tcPr>
                <w:p w14:paraId="376EC3B9">
                  <w:pPr>
                    <w:pStyle w:val="223"/>
                    <w:autoSpaceDE/>
                    <w:autoSpaceDN/>
                    <w:snapToGrid w:val="0"/>
                    <w:jc w:val="center"/>
                    <w:rPr>
                      <w:color w:val="auto"/>
                      <w:sz w:val="18"/>
                      <w:szCs w:val="18"/>
                    </w:rPr>
                  </w:pPr>
                  <w:r>
                    <w:rPr>
                      <w:color w:val="auto"/>
                      <w:sz w:val="18"/>
                      <w:szCs w:val="18"/>
                    </w:rPr>
                    <w:t>Y</w:t>
                  </w:r>
                </w:p>
              </w:tc>
              <w:tc>
                <w:tcPr>
                  <w:tcW w:w="193" w:type="pct"/>
                  <w:vAlign w:val="center"/>
                </w:tcPr>
                <w:p w14:paraId="2E208845">
                  <w:pPr>
                    <w:pStyle w:val="223"/>
                    <w:autoSpaceDE/>
                    <w:autoSpaceDN/>
                    <w:snapToGrid w:val="0"/>
                    <w:jc w:val="center"/>
                    <w:rPr>
                      <w:color w:val="auto"/>
                      <w:sz w:val="18"/>
                      <w:szCs w:val="18"/>
                    </w:rPr>
                  </w:pPr>
                  <w:r>
                    <w:rPr>
                      <w:color w:val="auto"/>
                      <w:sz w:val="18"/>
                      <w:szCs w:val="18"/>
                    </w:rPr>
                    <w:t>Z</w:t>
                  </w:r>
                </w:p>
              </w:tc>
              <w:tc>
                <w:tcPr>
                  <w:tcW w:w="345" w:type="pct"/>
                  <w:vMerge w:val="continue"/>
                  <w:vAlign w:val="center"/>
                </w:tcPr>
                <w:p w14:paraId="08C9DA7F">
                  <w:pPr>
                    <w:adjustRightInd w:val="0"/>
                    <w:snapToGrid w:val="0"/>
                    <w:jc w:val="center"/>
                    <w:rPr>
                      <w:color w:val="auto"/>
                      <w:sz w:val="18"/>
                      <w:szCs w:val="18"/>
                    </w:rPr>
                  </w:pPr>
                </w:p>
              </w:tc>
              <w:tc>
                <w:tcPr>
                  <w:tcW w:w="425" w:type="pct"/>
                  <w:vMerge w:val="continue"/>
                  <w:vAlign w:val="center"/>
                </w:tcPr>
                <w:p w14:paraId="2A504CA0">
                  <w:pPr>
                    <w:adjustRightInd w:val="0"/>
                    <w:snapToGrid w:val="0"/>
                    <w:jc w:val="center"/>
                    <w:rPr>
                      <w:color w:val="auto"/>
                      <w:sz w:val="18"/>
                      <w:szCs w:val="18"/>
                    </w:rPr>
                  </w:pPr>
                </w:p>
              </w:tc>
              <w:tc>
                <w:tcPr>
                  <w:tcW w:w="634" w:type="pct"/>
                  <w:vMerge w:val="continue"/>
                  <w:vAlign w:val="center"/>
                </w:tcPr>
                <w:p w14:paraId="73E85236">
                  <w:pPr>
                    <w:adjustRightInd w:val="0"/>
                    <w:snapToGrid w:val="0"/>
                    <w:jc w:val="center"/>
                    <w:rPr>
                      <w:color w:val="auto"/>
                      <w:sz w:val="18"/>
                      <w:szCs w:val="18"/>
                    </w:rPr>
                  </w:pPr>
                </w:p>
              </w:tc>
              <w:tc>
                <w:tcPr>
                  <w:tcW w:w="544" w:type="pct"/>
                  <w:vMerge w:val="continue"/>
                  <w:vAlign w:val="center"/>
                </w:tcPr>
                <w:p w14:paraId="6E54691B">
                  <w:pPr>
                    <w:adjustRightInd w:val="0"/>
                    <w:snapToGrid w:val="0"/>
                    <w:jc w:val="center"/>
                    <w:rPr>
                      <w:color w:val="auto"/>
                      <w:sz w:val="18"/>
                      <w:szCs w:val="18"/>
                    </w:rPr>
                  </w:pPr>
                </w:p>
              </w:tc>
              <w:tc>
                <w:tcPr>
                  <w:tcW w:w="420" w:type="pct"/>
                  <w:vAlign w:val="center"/>
                </w:tcPr>
                <w:p w14:paraId="026B41CC">
                  <w:pPr>
                    <w:pStyle w:val="223"/>
                    <w:autoSpaceDE/>
                    <w:autoSpaceDN/>
                    <w:snapToGrid w:val="0"/>
                    <w:jc w:val="center"/>
                    <w:rPr>
                      <w:color w:val="auto"/>
                      <w:sz w:val="18"/>
                      <w:szCs w:val="18"/>
                    </w:rPr>
                  </w:pPr>
                  <w:r>
                    <w:rPr>
                      <w:color w:val="auto"/>
                      <w:sz w:val="18"/>
                      <w:szCs w:val="18"/>
                    </w:rPr>
                    <w:t>声压级/dB(A)</w:t>
                  </w:r>
                </w:p>
              </w:tc>
              <w:tc>
                <w:tcPr>
                  <w:tcW w:w="281" w:type="pct"/>
                  <w:vAlign w:val="center"/>
                </w:tcPr>
                <w:p w14:paraId="71D8CF90">
                  <w:pPr>
                    <w:pStyle w:val="223"/>
                    <w:autoSpaceDE/>
                    <w:autoSpaceDN/>
                    <w:snapToGrid w:val="0"/>
                    <w:jc w:val="center"/>
                    <w:rPr>
                      <w:color w:val="auto"/>
                      <w:sz w:val="18"/>
                      <w:szCs w:val="18"/>
                    </w:rPr>
                  </w:pPr>
                  <w:r>
                    <w:rPr>
                      <w:color w:val="auto"/>
                      <w:sz w:val="18"/>
                      <w:szCs w:val="18"/>
                    </w:rPr>
                    <w:t>建筑物外距离</w:t>
                  </w:r>
                </w:p>
              </w:tc>
            </w:tr>
            <w:tr w14:paraId="37602D8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81" w:hRule="atLeast"/>
              </w:trPr>
              <w:tc>
                <w:tcPr>
                  <w:tcW w:w="155" w:type="pct"/>
                  <w:vMerge w:val="restart"/>
                  <w:tcBorders>
                    <w:right w:val="single" w:color="auto" w:sz="4" w:space="0"/>
                  </w:tcBorders>
                  <w:vAlign w:val="center"/>
                </w:tcPr>
                <w:p w14:paraId="68BB8006">
                  <w:pPr>
                    <w:pStyle w:val="223"/>
                    <w:autoSpaceDE/>
                    <w:autoSpaceDN/>
                    <w:snapToGrid w:val="0"/>
                    <w:jc w:val="center"/>
                    <w:rPr>
                      <w:rFonts w:hint="eastAsia" w:eastAsia="宋体"/>
                      <w:color w:val="auto"/>
                      <w:sz w:val="18"/>
                      <w:szCs w:val="18"/>
                      <w:lang w:eastAsia="zh-CN"/>
                    </w:rPr>
                  </w:pPr>
                  <w:r>
                    <w:rPr>
                      <w:rFonts w:hint="eastAsia"/>
                      <w:color w:val="auto"/>
                      <w:sz w:val="18"/>
                      <w:szCs w:val="18"/>
                      <w:lang w:val="en-US" w:eastAsia="zh-CN"/>
                    </w:rPr>
                    <w:t>1</w:t>
                  </w:r>
                </w:p>
              </w:tc>
              <w:tc>
                <w:tcPr>
                  <w:tcW w:w="243" w:type="pct"/>
                  <w:vMerge w:val="restart"/>
                  <w:tcBorders>
                    <w:left w:val="single" w:color="auto" w:sz="4" w:space="0"/>
                  </w:tcBorders>
                  <w:vAlign w:val="center"/>
                </w:tcPr>
                <w:p w14:paraId="215865B8">
                  <w:pPr>
                    <w:pStyle w:val="223"/>
                    <w:autoSpaceDE/>
                    <w:autoSpaceDN/>
                    <w:snapToGrid w:val="0"/>
                    <w:jc w:val="center"/>
                    <w:rPr>
                      <w:rFonts w:hint="default"/>
                      <w:color w:val="auto"/>
                      <w:sz w:val="18"/>
                      <w:szCs w:val="18"/>
                      <w:lang w:val="en-US" w:eastAsia="zh-CN"/>
                    </w:rPr>
                  </w:pPr>
                  <w:r>
                    <w:rPr>
                      <w:rFonts w:hint="eastAsia"/>
                      <w:color w:val="auto"/>
                      <w:sz w:val="18"/>
                      <w:szCs w:val="18"/>
                      <w:lang w:val="en-US" w:eastAsia="zh-CN"/>
                    </w:rPr>
                    <w:t>污水处理站</w:t>
                  </w:r>
                </w:p>
              </w:tc>
              <w:tc>
                <w:tcPr>
                  <w:tcW w:w="246" w:type="pct"/>
                  <w:vAlign w:val="center"/>
                </w:tcPr>
                <w:p w14:paraId="65CA800C">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水泵</w:t>
                  </w:r>
                </w:p>
              </w:tc>
              <w:tc>
                <w:tcPr>
                  <w:tcW w:w="651" w:type="pct"/>
                  <w:vAlign w:val="center"/>
                </w:tcPr>
                <w:p w14:paraId="72FEA820">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85/1</w:t>
                  </w:r>
                </w:p>
              </w:tc>
              <w:tc>
                <w:tcPr>
                  <w:tcW w:w="544" w:type="pct"/>
                  <w:vMerge w:val="restart"/>
                  <w:vAlign w:val="center"/>
                </w:tcPr>
                <w:p w14:paraId="52925006">
                  <w:pPr>
                    <w:adjustRightInd w:val="0"/>
                    <w:snapToGrid w:val="0"/>
                    <w:jc w:val="center"/>
                    <w:rPr>
                      <w:color w:val="auto"/>
                      <w:sz w:val="18"/>
                      <w:szCs w:val="18"/>
                    </w:rPr>
                  </w:pPr>
                  <w:r>
                    <w:rPr>
                      <w:rFonts w:hint="eastAsia"/>
                      <w:color w:val="auto"/>
                      <w:sz w:val="18"/>
                      <w:szCs w:val="18"/>
                    </w:rPr>
                    <w:t>选用低噪设备、隔声、减振</w:t>
                  </w:r>
                </w:p>
              </w:tc>
              <w:tc>
                <w:tcPr>
                  <w:tcW w:w="157" w:type="pct"/>
                  <w:vAlign w:val="center"/>
                </w:tcPr>
                <w:p w14:paraId="28EDB3B2">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10</w:t>
                  </w:r>
                </w:p>
              </w:tc>
              <w:tc>
                <w:tcPr>
                  <w:tcW w:w="157" w:type="pct"/>
                  <w:vAlign w:val="center"/>
                </w:tcPr>
                <w:p w14:paraId="79B28E1D">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15</w:t>
                  </w:r>
                </w:p>
              </w:tc>
              <w:tc>
                <w:tcPr>
                  <w:tcW w:w="193" w:type="pct"/>
                  <w:vAlign w:val="center"/>
                </w:tcPr>
                <w:p w14:paraId="55A82695">
                  <w:pPr>
                    <w:adjustRightInd w:val="0"/>
                    <w:snapToGrid w:val="0"/>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1.2</w:t>
                  </w:r>
                </w:p>
              </w:tc>
              <w:tc>
                <w:tcPr>
                  <w:tcW w:w="345" w:type="pct"/>
                  <w:vAlign w:val="center"/>
                </w:tcPr>
                <w:p w14:paraId="2FC0419E">
                  <w:pPr>
                    <w:adjustRightInd w:val="0"/>
                    <w:snapToGrid w:val="0"/>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3</w:t>
                  </w:r>
                </w:p>
              </w:tc>
              <w:tc>
                <w:tcPr>
                  <w:tcW w:w="425" w:type="pct"/>
                  <w:vAlign w:val="center"/>
                </w:tcPr>
                <w:p w14:paraId="776B71E7">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72.0</w:t>
                  </w:r>
                </w:p>
              </w:tc>
              <w:tc>
                <w:tcPr>
                  <w:tcW w:w="634" w:type="pct"/>
                  <w:vMerge w:val="restart"/>
                  <w:vAlign w:val="center"/>
                </w:tcPr>
                <w:p w14:paraId="462AFC47">
                  <w:pPr>
                    <w:adjustRightInd w:val="0"/>
                    <w:snapToGrid w:val="0"/>
                    <w:jc w:val="center"/>
                    <w:rPr>
                      <w:rFonts w:hint="default" w:eastAsia="宋体"/>
                      <w:color w:val="auto"/>
                      <w:sz w:val="18"/>
                      <w:szCs w:val="18"/>
                      <w:lang w:val="en-US" w:eastAsia="zh-CN"/>
                    </w:rPr>
                  </w:pPr>
                  <w:r>
                    <w:rPr>
                      <w:rFonts w:hint="eastAsia"/>
                      <w:color w:val="auto"/>
                      <w:sz w:val="18"/>
                      <w:szCs w:val="18"/>
                      <w:lang w:val="en-US" w:eastAsia="zh-CN"/>
                    </w:rPr>
                    <w:t>8</w:t>
                  </w:r>
                  <w:r>
                    <w:rPr>
                      <w:rFonts w:hint="eastAsia"/>
                      <w:color w:val="auto"/>
                      <w:sz w:val="18"/>
                      <w:szCs w:val="18"/>
                    </w:rPr>
                    <w:t>:00~</w:t>
                  </w:r>
                  <w:r>
                    <w:rPr>
                      <w:rFonts w:hint="eastAsia"/>
                      <w:color w:val="auto"/>
                      <w:sz w:val="18"/>
                      <w:szCs w:val="18"/>
                      <w:lang w:val="en-US" w:eastAsia="zh-CN"/>
                    </w:rPr>
                    <w:t>24:00（16h）</w:t>
                  </w:r>
                </w:p>
              </w:tc>
              <w:tc>
                <w:tcPr>
                  <w:tcW w:w="544" w:type="pct"/>
                  <w:vAlign w:val="center"/>
                </w:tcPr>
                <w:p w14:paraId="5C093DBC">
                  <w:pPr>
                    <w:adjustRightInd w:val="0"/>
                    <w:snapToGrid w:val="0"/>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20</w:t>
                  </w:r>
                </w:p>
              </w:tc>
              <w:tc>
                <w:tcPr>
                  <w:tcW w:w="420" w:type="pct"/>
                  <w:vAlign w:val="center"/>
                </w:tcPr>
                <w:p w14:paraId="4C248139">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52.0</w:t>
                  </w:r>
                </w:p>
              </w:tc>
              <w:tc>
                <w:tcPr>
                  <w:tcW w:w="281" w:type="pct"/>
                  <w:vAlign w:val="center"/>
                </w:tcPr>
                <w:p w14:paraId="38E060BF">
                  <w:pPr>
                    <w:adjustRightInd w:val="0"/>
                    <w:snapToGrid w:val="0"/>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1</w:t>
                  </w:r>
                </w:p>
              </w:tc>
            </w:tr>
            <w:tr w14:paraId="3C64DE3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81" w:hRule="atLeast"/>
              </w:trPr>
              <w:tc>
                <w:tcPr>
                  <w:tcW w:w="155" w:type="pct"/>
                  <w:vMerge w:val="continue"/>
                  <w:tcBorders>
                    <w:right w:val="single" w:color="auto" w:sz="4" w:space="0"/>
                  </w:tcBorders>
                  <w:vAlign w:val="center"/>
                </w:tcPr>
                <w:p w14:paraId="15E8868D">
                  <w:pPr>
                    <w:pStyle w:val="223"/>
                    <w:autoSpaceDE/>
                    <w:autoSpaceDN/>
                    <w:snapToGrid w:val="0"/>
                    <w:jc w:val="center"/>
                    <w:rPr>
                      <w:color w:val="auto"/>
                      <w:sz w:val="18"/>
                      <w:szCs w:val="18"/>
                    </w:rPr>
                  </w:pPr>
                </w:p>
              </w:tc>
              <w:tc>
                <w:tcPr>
                  <w:tcW w:w="243" w:type="pct"/>
                  <w:vMerge w:val="continue"/>
                  <w:tcBorders>
                    <w:left w:val="single" w:color="auto" w:sz="4" w:space="0"/>
                  </w:tcBorders>
                  <w:vAlign w:val="center"/>
                </w:tcPr>
                <w:p w14:paraId="051408C5">
                  <w:pPr>
                    <w:pStyle w:val="223"/>
                    <w:autoSpaceDE/>
                    <w:autoSpaceDN/>
                    <w:snapToGrid w:val="0"/>
                    <w:jc w:val="center"/>
                    <w:rPr>
                      <w:color w:val="auto"/>
                      <w:sz w:val="18"/>
                      <w:szCs w:val="18"/>
                    </w:rPr>
                  </w:pPr>
                </w:p>
              </w:tc>
              <w:tc>
                <w:tcPr>
                  <w:tcW w:w="246" w:type="pct"/>
                  <w:vAlign w:val="center"/>
                </w:tcPr>
                <w:p w14:paraId="630A2427">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污泥泵</w:t>
                  </w:r>
                </w:p>
              </w:tc>
              <w:tc>
                <w:tcPr>
                  <w:tcW w:w="651" w:type="pct"/>
                  <w:vAlign w:val="center"/>
                </w:tcPr>
                <w:p w14:paraId="251AE39C">
                  <w:pPr>
                    <w:adjustRightInd w:val="0"/>
                    <w:snapToGrid w:val="0"/>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85/1</w:t>
                  </w:r>
                </w:p>
              </w:tc>
              <w:tc>
                <w:tcPr>
                  <w:tcW w:w="544" w:type="pct"/>
                  <w:vMerge w:val="continue"/>
                  <w:vAlign w:val="center"/>
                </w:tcPr>
                <w:p w14:paraId="356A1418">
                  <w:pPr>
                    <w:adjustRightInd w:val="0"/>
                    <w:snapToGrid w:val="0"/>
                    <w:jc w:val="center"/>
                    <w:rPr>
                      <w:color w:val="auto"/>
                      <w:sz w:val="18"/>
                      <w:szCs w:val="18"/>
                    </w:rPr>
                  </w:pPr>
                </w:p>
              </w:tc>
              <w:tc>
                <w:tcPr>
                  <w:tcW w:w="157" w:type="pct"/>
                  <w:vAlign w:val="center"/>
                </w:tcPr>
                <w:p w14:paraId="6370AC7D">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12</w:t>
                  </w:r>
                </w:p>
              </w:tc>
              <w:tc>
                <w:tcPr>
                  <w:tcW w:w="157" w:type="pct"/>
                  <w:vAlign w:val="center"/>
                </w:tcPr>
                <w:p w14:paraId="1AB7372D">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17</w:t>
                  </w:r>
                </w:p>
              </w:tc>
              <w:tc>
                <w:tcPr>
                  <w:tcW w:w="193" w:type="pct"/>
                  <w:vAlign w:val="center"/>
                </w:tcPr>
                <w:p w14:paraId="69290C0E">
                  <w:pPr>
                    <w:adjustRightInd w:val="0"/>
                    <w:snapToGrid w:val="0"/>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1.2</w:t>
                  </w:r>
                </w:p>
              </w:tc>
              <w:tc>
                <w:tcPr>
                  <w:tcW w:w="345" w:type="pct"/>
                  <w:vAlign w:val="center"/>
                </w:tcPr>
                <w:p w14:paraId="6A1C37E9">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5</w:t>
                  </w:r>
                </w:p>
              </w:tc>
              <w:tc>
                <w:tcPr>
                  <w:tcW w:w="425" w:type="pct"/>
                  <w:vAlign w:val="center"/>
                </w:tcPr>
                <w:p w14:paraId="19EA2076">
                  <w:pPr>
                    <w:adjustRightInd w:val="0"/>
                    <w:snapToGrid w:val="0"/>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72.0</w:t>
                  </w:r>
                </w:p>
              </w:tc>
              <w:tc>
                <w:tcPr>
                  <w:tcW w:w="634" w:type="pct"/>
                  <w:vMerge w:val="continue"/>
                  <w:vAlign w:val="center"/>
                </w:tcPr>
                <w:p w14:paraId="3BF3B13C">
                  <w:pPr>
                    <w:adjustRightInd w:val="0"/>
                    <w:snapToGrid w:val="0"/>
                    <w:jc w:val="center"/>
                    <w:rPr>
                      <w:color w:val="auto"/>
                      <w:sz w:val="18"/>
                      <w:szCs w:val="18"/>
                    </w:rPr>
                  </w:pPr>
                </w:p>
              </w:tc>
              <w:tc>
                <w:tcPr>
                  <w:tcW w:w="544" w:type="pct"/>
                  <w:vAlign w:val="center"/>
                </w:tcPr>
                <w:p w14:paraId="7DF2C412">
                  <w:pPr>
                    <w:adjustRightInd w:val="0"/>
                    <w:snapToGrid w:val="0"/>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20</w:t>
                  </w:r>
                </w:p>
              </w:tc>
              <w:tc>
                <w:tcPr>
                  <w:tcW w:w="420" w:type="pct"/>
                  <w:vAlign w:val="center"/>
                </w:tcPr>
                <w:p w14:paraId="5FDF05E8">
                  <w:pPr>
                    <w:adjustRightInd w:val="0"/>
                    <w:snapToGrid w:val="0"/>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52.0</w:t>
                  </w:r>
                </w:p>
              </w:tc>
              <w:tc>
                <w:tcPr>
                  <w:tcW w:w="281" w:type="pct"/>
                  <w:vAlign w:val="center"/>
                </w:tcPr>
                <w:p w14:paraId="7C6A6731">
                  <w:pPr>
                    <w:adjustRightInd w:val="0"/>
                    <w:snapToGrid w:val="0"/>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1</w:t>
                  </w:r>
                </w:p>
              </w:tc>
            </w:tr>
            <w:tr w14:paraId="70B0DD1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81" w:hRule="atLeast"/>
              </w:trPr>
              <w:tc>
                <w:tcPr>
                  <w:tcW w:w="155" w:type="pct"/>
                  <w:tcBorders>
                    <w:right w:val="single" w:color="auto" w:sz="4" w:space="0"/>
                  </w:tcBorders>
                  <w:vAlign w:val="center"/>
                </w:tcPr>
                <w:p w14:paraId="700B304B">
                  <w:pPr>
                    <w:pStyle w:val="223"/>
                    <w:autoSpaceDE/>
                    <w:autoSpaceDN/>
                    <w:snapToGrid w:val="0"/>
                    <w:jc w:val="center"/>
                    <w:rPr>
                      <w:rFonts w:hint="eastAsia" w:eastAsia="宋体"/>
                      <w:color w:val="auto"/>
                      <w:sz w:val="18"/>
                      <w:szCs w:val="18"/>
                      <w:lang w:val="en-US" w:eastAsia="zh-CN"/>
                    </w:rPr>
                  </w:pPr>
                  <w:r>
                    <w:rPr>
                      <w:rFonts w:hint="eastAsia"/>
                      <w:color w:val="auto"/>
                      <w:sz w:val="18"/>
                      <w:szCs w:val="18"/>
                      <w:lang w:val="en-US" w:eastAsia="zh-CN"/>
                    </w:rPr>
                    <w:t>2</w:t>
                  </w:r>
                </w:p>
              </w:tc>
              <w:tc>
                <w:tcPr>
                  <w:tcW w:w="243" w:type="pct"/>
                  <w:tcBorders>
                    <w:left w:val="single" w:color="auto" w:sz="4" w:space="0"/>
                  </w:tcBorders>
                  <w:shd w:val="clear" w:color="auto" w:fill="auto"/>
                  <w:vAlign w:val="center"/>
                </w:tcPr>
                <w:p w14:paraId="3020E494">
                  <w:pPr>
                    <w:pStyle w:val="223"/>
                    <w:autoSpaceDE/>
                    <w:autoSpaceDN/>
                    <w:snapToGrid w:val="0"/>
                    <w:jc w:val="center"/>
                    <w:rPr>
                      <w:rFonts w:hint="default" w:ascii="Times New Roman" w:hAnsi="Times New Roman" w:eastAsia="宋体" w:cs="Times New Roman"/>
                      <w:color w:val="auto"/>
                      <w:kern w:val="0"/>
                      <w:sz w:val="18"/>
                      <w:szCs w:val="18"/>
                      <w:lang w:val="en-US" w:eastAsia="zh-CN" w:bidi="ar-SA"/>
                    </w:rPr>
                  </w:pPr>
                  <w:r>
                    <w:rPr>
                      <w:rFonts w:hint="eastAsia"/>
                      <w:color w:val="auto"/>
                      <w:sz w:val="18"/>
                      <w:szCs w:val="18"/>
                      <w:lang w:val="en-US" w:eastAsia="zh-CN"/>
                    </w:rPr>
                    <w:t>能源中心</w:t>
                  </w:r>
                </w:p>
              </w:tc>
              <w:tc>
                <w:tcPr>
                  <w:tcW w:w="246" w:type="pct"/>
                  <w:shd w:val="clear" w:color="auto" w:fill="auto"/>
                  <w:vAlign w:val="center"/>
                </w:tcPr>
                <w:p w14:paraId="40033786">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换热站设备</w:t>
                  </w:r>
                </w:p>
              </w:tc>
              <w:tc>
                <w:tcPr>
                  <w:tcW w:w="651" w:type="pct"/>
                  <w:shd w:val="clear" w:color="auto" w:fill="auto"/>
                  <w:vAlign w:val="center"/>
                </w:tcPr>
                <w:p w14:paraId="5DD9957F">
                  <w:pPr>
                    <w:adjustRightInd w:val="0"/>
                    <w:snapToGrid w:val="0"/>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90/1</w:t>
                  </w:r>
                </w:p>
              </w:tc>
              <w:tc>
                <w:tcPr>
                  <w:tcW w:w="544" w:type="pct"/>
                  <w:vMerge w:val="continue"/>
                  <w:shd w:val="clear" w:color="auto" w:fill="auto"/>
                  <w:vAlign w:val="center"/>
                </w:tcPr>
                <w:p w14:paraId="7480DFE7">
                  <w:pPr>
                    <w:adjustRightInd w:val="0"/>
                    <w:snapToGrid w:val="0"/>
                    <w:jc w:val="center"/>
                    <w:rPr>
                      <w:rFonts w:ascii="Times New Roman" w:hAnsi="Times New Roman" w:eastAsia="宋体" w:cs="Times New Roman"/>
                      <w:color w:val="auto"/>
                      <w:kern w:val="2"/>
                      <w:sz w:val="18"/>
                      <w:szCs w:val="18"/>
                      <w:lang w:val="en-US" w:eastAsia="zh-CN" w:bidi="ar-SA"/>
                    </w:rPr>
                  </w:pPr>
                </w:p>
              </w:tc>
              <w:tc>
                <w:tcPr>
                  <w:tcW w:w="157" w:type="pct"/>
                  <w:shd w:val="clear" w:color="auto" w:fill="auto"/>
                  <w:vAlign w:val="center"/>
                </w:tcPr>
                <w:p w14:paraId="4E12FC02">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15</w:t>
                  </w:r>
                </w:p>
              </w:tc>
              <w:tc>
                <w:tcPr>
                  <w:tcW w:w="157" w:type="pct"/>
                  <w:shd w:val="clear" w:color="auto" w:fill="auto"/>
                  <w:vAlign w:val="center"/>
                </w:tcPr>
                <w:p w14:paraId="256590F6">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90</w:t>
                  </w:r>
                </w:p>
              </w:tc>
              <w:tc>
                <w:tcPr>
                  <w:tcW w:w="193" w:type="pct"/>
                  <w:shd w:val="clear" w:color="auto" w:fill="auto"/>
                  <w:vAlign w:val="center"/>
                </w:tcPr>
                <w:p w14:paraId="17BC7140">
                  <w:pPr>
                    <w:adjustRightInd w:val="0"/>
                    <w:snapToGrid w:val="0"/>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1.2</w:t>
                  </w:r>
                </w:p>
              </w:tc>
              <w:tc>
                <w:tcPr>
                  <w:tcW w:w="345" w:type="pct"/>
                  <w:shd w:val="clear" w:color="auto" w:fill="auto"/>
                  <w:vAlign w:val="center"/>
                </w:tcPr>
                <w:p w14:paraId="7D655F54">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3</w:t>
                  </w:r>
                </w:p>
              </w:tc>
              <w:tc>
                <w:tcPr>
                  <w:tcW w:w="425" w:type="pct"/>
                  <w:shd w:val="clear" w:color="auto" w:fill="auto"/>
                  <w:vAlign w:val="center"/>
                </w:tcPr>
                <w:p w14:paraId="24C697DC">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75.0</w:t>
                  </w:r>
                </w:p>
              </w:tc>
              <w:tc>
                <w:tcPr>
                  <w:tcW w:w="634" w:type="pct"/>
                  <w:vMerge w:val="continue"/>
                  <w:vAlign w:val="center"/>
                </w:tcPr>
                <w:p w14:paraId="6E10B03C">
                  <w:pPr>
                    <w:adjustRightInd w:val="0"/>
                    <w:snapToGrid w:val="0"/>
                    <w:jc w:val="center"/>
                    <w:rPr>
                      <w:color w:val="auto"/>
                      <w:sz w:val="18"/>
                      <w:szCs w:val="18"/>
                    </w:rPr>
                  </w:pPr>
                </w:p>
              </w:tc>
              <w:tc>
                <w:tcPr>
                  <w:tcW w:w="544" w:type="pct"/>
                  <w:vAlign w:val="center"/>
                </w:tcPr>
                <w:p w14:paraId="32CCDC57">
                  <w:pPr>
                    <w:adjustRightInd w:val="0"/>
                    <w:snapToGrid w:val="0"/>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20</w:t>
                  </w:r>
                </w:p>
              </w:tc>
              <w:tc>
                <w:tcPr>
                  <w:tcW w:w="420" w:type="pct"/>
                  <w:vAlign w:val="center"/>
                </w:tcPr>
                <w:p w14:paraId="04F74513">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55.0</w:t>
                  </w:r>
                </w:p>
              </w:tc>
              <w:tc>
                <w:tcPr>
                  <w:tcW w:w="281" w:type="pct"/>
                  <w:vAlign w:val="center"/>
                </w:tcPr>
                <w:p w14:paraId="64FBEC65">
                  <w:pPr>
                    <w:adjustRightInd w:val="0"/>
                    <w:snapToGrid w:val="0"/>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1</w:t>
                  </w:r>
                </w:p>
              </w:tc>
            </w:tr>
            <w:tr w14:paraId="733A18E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81" w:hRule="atLeast"/>
              </w:trPr>
              <w:tc>
                <w:tcPr>
                  <w:tcW w:w="155" w:type="pct"/>
                  <w:tcBorders>
                    <w:right w:val="single" w:color="auto" w:sz="4" w:space="0"/>
                  </w:tcBorders>
                  <w:vAlign w:val="center"/>
                </w:tcPr>
                <w:p w14:paraId="260D88B8">
                  <w:pPr>
                    <w:pStyle w:val="223"/>
                    <w:autoSpaceDE/>
                    <w:autoSpaceDN/>
                    <w:snapToGrid w:val="0"/>
                    <w:jc w:val="center"/>
                    <w:rPr>
                      <w:rFonts w:hint="default"/>
                      <w:color w:val="auto"/>
                      <w:sz w:val="18"/>
                      <w:szCs w:val="18"/>
                      <w:lang w:val="en-US" w:eastAsia="zh-CN"/>
                    </w:rPr>
                  </w:pPr>
                  <w:r>
                    <w:rPr>
                      <w:rFonts w:hint="eastAsia"/>
                      <w:color w:val="auto"/>
                      <w:sz w:val="18"/>
                      <w:szCs w:val="18"/>
                      <w:lang w:val="en-US" w:eastAsia="zh-CN"/>
                    </w:rPr>
                    <w:t>3</w:t>
                  </w:r>
                </w:p>
              </w:tc>
              <w:tc>
                <w:tcPr>
                  <w:tcW w:w="243" w:type="pct"/>
                  <w:tcBorders>
                    <w:left w:val="single" w:color="auto" w:sz="4" w:space="0"/>
                  </w:tcBorders>
                  <w:vAlign w:val="center"/>
                </w:tcPr>
                <w:p w14:paraId="57159324">
                  <w:pPr>
                    <w:pStyle w:val="223"/>
                    <w:autoSpaceDE/>
                    <w:autoSpaceDN/>
                    <w:snapToGrid w:val="0"/>
                    <w:jc w:val="center"/>
                    <w:rPr>
                      <w:rFonts w:hint="default"/>
                      <w:color w:val="auto"/>
                      <w:sz w:val="18"/>
                      <w:szCs w:val="18"/>
                      <w:lang w:val="en-US" w:eastAsia="zh-CN"/>
                    </w:rPr>
                  </w:pPr>
                  <w:r>
                    <w:rPr>
                      <w:rFonts w:hint="eastAsia"/>
                      <w:color w:val="auto"/>
                      <w:sz w:val="18"/>
                      <w:szCs w:val="18"/>
                      <w:lang w:val="en-US" w:eastAsia="zh-CN"/>
                    </w:rPr>
                    <w:t>食堂</w:t>
                  </w:r>
                </w:p>
              </w:tc>
              <w:tc>
                <w:tcPr>
                  <w:tcW w:w="246" w:type="pct"/>
                  <w:vAlign w:val="center"/>
                </w:tcPr>
                <w:p w14:paraId="05CBA338">
                  <w:pPr>
                    <w:adjustRightInd w:val="0"/>
                    <w:snapToGrid w:val="0"/>
                    <w:jc w:val="center"/>
                    <w:rPr>
                      <w:rFonts w:hint="default"/>
                      <w:color w:val="auto"/>
                      <w:sz w:val="18"/>
                      <w:szCs w:val="18"/>
                      <w:lang w:val="en-US" w:eastAsia="zh-CN"/>
                    </w:rPr>
                  </w:pPr>
                  <w:r>
                    <w:rPr>
                      <w:rFonts w:hint="eastAsia"/>
                      <w:color w:val="auto"/>
                      <w:sz w:val="18"/>
                      <w:szCs w:val="18"/>
                      <w:lang w:val="en-US" w:eastAsia="zh-CN"/>
                    </w:rPr>
                    <w:t>油烟净化器</w:t>
                  </w:r>
                </w:p>
              </w:tc>
              <w:tc>
                <w:tcPr>
                  <w:tcW w:w="651" w:type="pct"/>
                  <w:vAlign w:val="center"/>
                </w:tcPr>
                <w:p w14:paraId="236699C8">
                  <w:pPr>
                    <w:adjustRightInd w:val="0"/>
                    <w:snapToGrid w:val="0"/>
                    <w:jc w:val="center"/>
                    <w:rPr>
                      <w:rFonts w:hint="eastAsia"/>
                      <w:color w:val="auto"/>
                      <w:sz w:val="18"/>
                      <w:szCs w:val="18"/>
                      <w:lang w:val="en-US" w:eastAsia="zh-CN"/>
                    </w:rPr>
                  </w:pPr>
                  <w:r>
                    <w:rPr>
                      <w:rFonts w:hint="eastAsia"/>
                      <w:color w:val="auto"/>
                      <w:sz w:val="18"/>
                      <w:szCs w:val="18"/>
                      <w:lang w:val="en-US" w:eastAsia="zh-CN"/>
                    </w:rPr>
                    <w:t>80/1</w:t>
                  </w:r>
                </w:p>
              </w:tc>
              <w:tc>
                <w:tcPr>
                  <w:tcW w:w="544" w:type="pct"/>
                  <w:vMerge w:val="continue"/>
                  <w:vAlign w:val="center"/>
                </w:tcPr>
                <w:p w14:paraId="29870028">
                  <w:pPr>
                    <w:adjustRightInd w:val="0"/>
                    <w:snapToGrid w:val="0"/>
                    <w:jc w:val="center"/>
                    <w:rPr>
                      <w:color w:val="auto"/>
                      <w:sz w:val="18"/>
                      <w:szCs w:val="18"/>
                    </w:rPr>
                  </w:pPr>
                </w:p>
              </w:tc>
              <w:tc>
                <w:tcPr>
                  <w:tcW w:w="157" w:type="pct"/>
                  <w:vAlign w:val="center"/>
                </w:tcPr>
                <w:p w14:paraId="46D6BE86">
                  <w:pPr>
                    <w:adjustRightInd w:val="0"/>
                    <w:snapToGrid w:val="0"/>
                    <w:jc w:val="center"/>
                    <w:rPr>
                      <w:rFonts w:hint="default"/>
                      <w:color w:val="auto"/>
                      <w:sz w:val="18"/>
                      <w:szCs w:val="18"/>
                      <w:lang w:val="en-US" w:eastAsia="zh-CN"/>
                    </w:rPr>
                  </w:pPr>
                  <w:r>
                    <w:rPr>
                      <w:rFonts w:hint="eastAsia"/>
                      <w:color w:val="auto"/>
                      <w:sz w:val="18"/>
                      <w:szCs w:val="18"/>
                      <w:lang w:val="en-US" w:eastAsia="zh-CN"/>
                    </w:rPr>
                    <w:t>80</w:t>
                  </w:r>
                </w:p>
              </w:tc>
              <w:tc>
                <w:tcPr>
                  <w:tcW w:w="157" w:type="pct"/>
                  <w:vAlign w:val="center"/>
                </w:tcPr>
                <w:p w14:paraId="6F4403E7">
                  <w:pPr>
                    <w:adjustRightInd w:val="0"/>
                    <w:snapToGrid w:val="0"/>
                    <w:jc w:val="center"/>
                    <w:rPr>
                      <w:rFonts w:hint="default"/>
                      <w:color w:val="auto"/>
                      <w:sz w:val="18"/>
                      <w:szCs w:val="18"/>
                      <w:lang w:val="en-US" w:eastAsia="zh-CN"/>
                    </w:rPr>
                  </w:pPr>
                  <w:r>
                    <w:rPr>
                      <w:rFonts w:hint="eastAsia"/>
                      <w:color w:val="auto"/>
                      <w:sz w:val="18"/>
                      <w:szCs w:val="18"/>
                      <w:lang w:val="en-US" w:eastAsia="zh-CN"/>
                    </w:rPr>
                    <w:t>40</w:t>
                  </w:r>
                </w:p>
              </w:tc>
              <w:tc>
                <w:tcPr>
                  <w:tcW w:w="193" w:type="pct"/>
                  <w:vAlign w:val="center"/>
                </w:tcPr>
                <w:p w14:paraId="1E76815E">
                  <w:pPr>
                    <w:adjustRightInd w:val="0"/>
                    <w:snapToGrid w:val="0"/>
                    <w:jc w:val="center"/>
                    <w:rPr>
                      <w:rFonts w:hint="default"/>
                      <w:color w:val="auto"/>
                      <w:sz w:val="18"/>
                      <w:szCs w:val="18"/>
                      <w:lang w:val="en-US" w:eastAsia="zh-CN"/>
                    </w:rPr>
                  </w:pPr>
                  <w:r>
                    <w:rPr>
                      <w:rFonts w:hint="eastAsia"/>
                      <w:color w:val="auto"/>
                      <w:sz w:val="18"/>
                      <w:szCs w:val="18"/>
                      <w:lang w:val="en-US" w:eastAsia="zh-CN"/>
                    </w:rPr>
                    <w:t>1.2</w:t>
                  </w:r>
                </w:p>
              </w:tc>
              <w:tc>
                <w:tcPr>
                  <w:tcW w:w="345" w:type="pct"/>
                  <w:vAlign w:val="center"/>
                </w:tcPr>
                <w:p w14:paraId="0345EF5D">
                  <w:pPr>
                    <w:adjustRightInd w:val="0"/>
                    <w:snapToGrid w:val="0"/>
                    <w:jc w:val="center"/>
                    <w:rPr>
                      <w:rFonts w:hint="default"/>
                      <w:color w:val="auto"/>
                      <w:sz w:val="18"/>
                      <w:szCs w:val="18"/>
                      <w:lang w:val="en-US" w:eastAsia="zh-CN"/>
                    </w:rPr>
                  </w:pPr>
                  <w:r>
                    <w:rPr>
                      <w:rFonts w:hint="eastAsia"/>
                      <w:color w:val="auto"/>
                      <w:sz w:val="18"/>
                      <w:szCs w:val="18"/>
                      <w:lang w:val="en-US" w:eastAsia="zh-CN"/>
                    </w:rPr>
                    <w:t>3</w:t>
                  </w:r>
                </w:p>
              </w:tc>
              <w:tc>
                <w:tcPr>
                  <w:tcW w:w="425" w:type="pct"/>
                  <w:vAlign w:val="center"/>
                </w:tcPr>
                <w:p w14:paraId="4F94D3A5">
                  <w:pPr>
                    <w:adjustRightInd w:val="0"/>
                    <w:snapToGrid w:val="0"/>
                    <w:jc w:val="center"/>
                    <w:rPr>
                      <w:rFonts w:hint="default"/>
                      <w:color w:val="auto"/>
                      <w:sz w:val="18"/>
                      <w:szCs w:val="18"/>
                      <w:lang w:val="en-US" w:eastAsia="zh-CN"/>
                    </w:rPr>
                  </w:pPr>
                  <w:r>
                    <w:rPr>
                      <w:rFonts w:hint="eastAsia"/>
                      <w:color w:val="auto"/>
                      <w:sz w:val="18"/>
                      <w:szCs w:val="18"/>
                      <w:lang w:val="en-US" w:eastAsia="zh-CN"/>
                    </w:rPr>
                    <w:t>65.0</w:t>
                  </w:r>
                </w:p>
              </w:tc>
              <w:tc>
                <w:tcPr>
                  <w:tcW w:w="634" w:type="pct"/>
                  <w:vAlign w:val="center"/>
                </w:tcPr>
                <w:p w14:paraId="292E8B1B">
                  <w:pPr>
                    <w:adjustRightInd w:val="0"/>
                    <w:snapToGrid w:val="0"/>
                    <w:jc w:val="center"/>
                    <w:rPr>
                      <w:color w:val="auto"/>
                      <w:sz w:val="18"/>
                      <w:szCs w:val="18"/>
                    </w:rPr>
                  </w:pPr>
                  <w:r>
                    <w:rPr>
                      <w:rFonts w:hint="eastAsia"/>
                      <w:color w:val="auto"/>
                      <w:sz w:val="18"/>
                      <w:szCs w:val="18"/>
                      <w:lang w:val="en-US" w:eastAsia="zh-CN"/>
                    </w:rPr>
                    <w:t>（4h）</w:t>
                  </w:r>
                </w:p>
              </w:tc>
              <w:tc>
                <w:tcPr>
                  <w:tcW w:w="544" w:type="pct"/>
                  <w:vAlign w:val="center"/>
                </w:tcPr>
                <w:p w14:paraId="40D11847">
                  <w:pPr>
                    <w:adjustRightInd w:val="0"/>
                    <w:snapToGrid w:val="0"/>
                    <w:jc w:val="center"/>
                    <w:rPr>
                      <w:rFonts w:hint="default"/>
                      <w:color w:val="auto"/>
                      <w:sz w:val="18"/>
                      <w:szCs w:val="18"/>
                      <w:lang w:val="en-US" w:eastAsia="zh-CN"/>
                    </w:rPr>
                  </w:pPr>
                  <w:r>
                    <w:rPr>
                      <w:rFonts w:hint="eastAsia"/>
                      <w:color w:val="auto"/>
                      <w:sz w:val="18"/>
                      <w:szCs w:val="18"/>
                      <w:lang w:val="en-US" w:eastAsia="zh-CN"/>
                    </w:rPr>
                    <w:t>20</w:t>
                  </w:r>
                </w:p>
              </w:tc>
              <w:tc>
                <w:tcPr>
                  <w:tcW w:w="420" w:type="pct"/>
                  <w:vAlign w:val="center"/>
                </w:tcPr>
                <w:p w14:paraId="6DC40EE5">
                  <w:pPr>
                    <w:adjustRightInd w:val="0"/>
                    <w:snapToGrid w:val="0"/>
                    <w:jc w:val="center"/>
                    <w:rPr>
                      <w:rFonts w:hint="default"/>
                      <w:color w:val="auto"/>
                      <w:sz w:val="18"/>
                      <w:szCs w:val="18"/>
                      <w:lang w:val="en-US" w:eastAsia="zh-CN"/>
                    </w:rPr>
                  </w:pPr>
                  <w:r>
                    <w:rPr>
                      <w:rFonts w:hint="eastAsia"/>
                      <w:color w:val="auto"/>
                      <w:sz w:val="18"/>
                      <w:szCs w:val="18"/>
                      <w:lang w:val="en-US" w:eastAsia="zh-CN"/>
                    </w:rPr>
                    <w:t>45.0</w:t>
                  </w:r>
                </w:p>
              </w:tc>
              <w:tc>
                <w:tcPr>
                  <w:tcW w:w="281" w:type="pct"/>
                  <w:vAlign w:val="center"/>
                </w:tcPr>
                <w:p w14:paraId="643337EA">
                  <w:pPr>
                    <w:adjustRightInd w:val="0"/>
                    <w:snapToGrid w:val="0"/>
                    <w:jc w:val="center"/>
                    <w:rPr>
                      <w:rFonts w:hint="eastAsia" w:eastAsia="宋体"/>
                      <w:color w:val="auto"/>
                      <w:sz w:val="18"/>
                      <w:szCs w:val="18"/>
                      <w:lang w:val="en-US" w:eastAsia="zh-CN"/>
                    </w:rPr>
                  </w:pPr>
                  <w:r>
                    <w:rPr>
                      <w:rFonts w:hint="eastAsia"/>
                      <w:color w:val="auto"/>
                      <w:sz w:val="18"/>
                      <w:szCs w:val="18"/>
                      <w:lang w:val="en-US" w:eastAsia="zh-CN"/>
                    </w:rPr>
                    <w:t>1</w:t>
                  </w:r>
                </w:p>
              </w:tc>
            </w:tr>
          </w:tbl>
          <w:p w14:paraId="32459728">
            <w:pPr>
              <w:spacing w:line="360" w:lineRule="auto"/>
              <w:ind w:firstLine="436" w:firstLineChars="200"/>
              <w:rPr>
                <w:color w:val="auto"/>
                <w:spacing w:val="4"/>
                <w:szCs w:val="21"/>
              </w:rPr>
            </w:pPr>
            <w:r>
              <w:rPr>
                <w:rFonts w:hint="eastAsia"/>
                <w:color w:val="auto"/>
                <w:spacing w:val="4"/>
                <w:szCs w:val="21"/>
              </w:rPr>
              <w:t>（2）噪声影响及预测分析</w:t>
            </w:r>
          </w:p>
          <w:p w14:paraId="4C1A0D45">
            <w:pPr>
              <w:spacing w:line="360" w:lineRule="auto"/>
              <w:ind w:firstLine="420" w:firstLineChars="200"/>
              <w:rPr>
                <w:color w:val="auto"/>
              </w:rPr>
            </w:pPr>
            <w:r>
              <w:rPr>
                <w:color w:val="auto"/>
              </w:rPr>
              <w:t>采用《环境影响评价技术导则</w:t>
            </w:r>
            <w:r>
              <w:rPr>
                <w:rFonts w:hint="eastAsia"/>
                <w:color w:val="auto"/>
              </w:rPr>
              <w:t xml:space="preserve">   </w:t>
            </w:r>
            <w:r>
              <w:rPr>
                <w:color w:val="auto"/>
              </w:rPr>
              <w:t>声环境》（HJ2.4-20</w:t>
            </w:r>
            <w:r>
              <w:rPr>
                <w:rFonts w:hint="eastAsia"/>
                <w:color w:val="auto"/>
              </w:rPr>
              <w:t>21</w:t>
            </w:r>
            <w:r>
              <w:rPr>
                <w:color w:val="auto"/>
              </w:rPr>
              <w:t>）预测模式：</w:t>
            </w:r>
          </w:p>
          <w:p w14:paraId="6C45067F">
            <w:pPr>
              <w:spacing w:line="360" w:lineRule="auto"/>
              <w:ind w:firstLine="200"/>
              <w:jc w:val="center"/>
              <w:rPr>
                <w:color w:val="auto"/>
              </w:rPr>
            </w:pPr>
            <w:r>
              <w:rPr>
                <w:color w:val="auto"/>
              </w:rPr>
              <w:drawing>
                <wp:inline distT="0" distB="0" distL="0" distR="0">
                  <wp:extent cx="2182495" cy="172720"/>
                  <wp:effectExtent l="19050" t="0" r="8255" b="0"/>
                  <wp:docPr id="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9"/>
                          <pic:cNvPicPr>
                            <a:picLocks noChangeAspect="1" noChangeArrowheads="1"/>
                          </pic:cNvPicPr>
                        </pic:nvPicPr>
                        <pic:blipFill>
                          <a:blip r:embed="rId14" cstate="print"/>
                          <a:srcRect/>
                          <a:stretch>
                            <a:fillRect/>
                          </a:stretch>
                        </pic:blipFill>
                        <pic:spPr>
                          <a:xfrm>
                            <a:off x="0" y="0"/>
                            <a:ext cx="2182495" cy="172720"/>
                          </a:xfrm>
                          <a:prstGeom prst="rect">
                            <a:avLst/>
                          </a:prstGeom>
                          <a:noFill/>
                          <a:ln w="9525">
                            <a:noFill/>
                            <a:miter lim="800000"/>
                            <a:headEnd/>
                            <a:tailEnd/>
                          </a:ln>
                        </pic:spPr>
                      </pic:pic>
                    </a:graphicData>
                  </a:graphic>
                </wp:inline>
              </w:drawing>
            </w:r>
          </w:p>
          <w:p w14:paraId="7CACA387">
            <w:pPr>
              <w:spacing w:line="360" w:lineRule="auto"/>
              <w:ind w:firstLine="420" w:firstLineChars="200"/>
              <w:rPr>
                <w:color w:val="auto"/>
              </w:rPr>
            </w:pPr>
            <w:r>
              <w:rPr>
                <w:color w:val="auto"/>
              </w:rPr>
              <w:t>式中：L</w:t>
            </w:r>
            <w:r>
              <w:rPr>
                <w:rFonts w:hint="eastAsia"/>
                <w:color w:val="auto"/>
                <w:vertAlign w:val="subscript"/>
              </w:rPr>
              <w:t>p</w:t>
            </w:r>
            <w:r>
              <w:rPr>
                <w:color w:val="auto"/>
              </w:rPr>
              <w:t>（r）为距声源r处的A声级；</w:t>
            </w:r>
          </w:p>
          <w:p w14:paraId="40D6846F">
            <w:pPr>
              <w:spacing w:line="360" w:lineRule="auto"/>
              <w:ind w:left="1470" w:leftChars="450" w:hanging="525" w:hangingChars="250"/>
              <w:rPr>
                <w:color w:val="auto"/>
              </w:rPr>
            </w:pPr>
            <w:r>
              <w:rPr>
                <w:rFonts w:hint="eastAsia"/>
                <w:color w:val="auto"/>
              </w:rPr>
              <w:t>D</w:t>
            </w:r>
            <w:r>
              <w:rPr>
                <w:rFonts w:hint="eastAsia"/>
                <w:color w:val="auto"/>
                <w:vertAlign w:val="subscript"/>
              </w:rPr>
              <w:t>c</w:t>
            </w:r>
            <w:r>
              <w:rPr>
                <w:rFonts w:hint="eastAsia"/>
                <w:color w:val="auto"/>
              </w:rPr>
              <w:t>为指向性校正，它描述点声源的等效连续声压级与产生声功率级L w 的全向点声源在规定方向的声级的偏差程度，dB</w:t>
            </w:r>
          </w:p>
          <w:p w14:paraId="4E9E8B72">
            <w:pPr>
              <w:spacing w:line="360" w:lineRule="auto"/>
              <w:ind w:firstLine="991" w:firstLineChars="472"/>
              <w:rPr>
                <w:color w:val="auto"/>
              </w:rPr>
            </w:pPr>
            <w:r>
              <w:rPr>
                <w:color w:val="auto"/>
              </w:rPr>
              <w:t>L</w:t>
            </w:r>
            <w:r>
              <w:rPr>
                <w:color w:val="auto"/>
                <w:vertAlign w:val="subscript"/>
              </w:rPr>
              <w:t>A</w:t>
            </w:r>
            <w:r>
              <w:rPr>
                <w:color w:val="auto"/>
              </w:rPr>
              <w:t>（r</w:t>
            </w:r>
            <w:r>
              <w:rPr>
                <w:color w:val="auto"/>
                <w:vertAlign w:val="subscript"/>
              </w:rPr>
              <w:t>0</w:t>
            </w:r>
            <w:r>
              <w:rPr>
                <w:color w:val="auto"/>
              </w:rPr>
              <w:t>）为参考位置r</w:t>
            </w:r>
            <w:r>
              <w:rPr>
                <w:color w:val="auto"/>
                <w:vertAlign w:val="subscript"/>
              </w:rPr>
              <w:t>0</w:t>
            </w:r>
            <w:r>
              <w:rPr>
                <w:color w:val="auto"/>
              </w:rPr>
              <w:t>的A声级；</w:t>
            </w:r>
          </w:p>
          <w:p w14:paraId="275369CB">
            <w:pPr>
              <w:spacing w:line="360" w:lineRule="auto"/>
              <w:ind w:firstLine="991" w:firstLineChars="472"/>
              <w:rPr>
                <w:color w:val="auto"/>
              </w:rPr>
            </w:pPr>
            <w:r>
              <w:rPr>
                <w:color w:val="auto"/>
              </w:rPr>
              <w:t>A</w:t>
            </w:r>
            <w:r>
              <w:rPr>
                <w:color w:val="auto"/>
                <w:vertAlign w:val="subscript"/>
              </w:rPr>
              <w:t>div</w:t>
            </w:r>
            <w:r>
              <w:rPr>
                <w:color w:val="auto"/>
              </w:rPr>
              <w:t>为声波几何发散引起的A声级衰减量；</w:t>
            </w:r>
          </w:p>
          <w:p w14:paraId="1D25B65F">
            <w:pPr>
              <w:spacing w:line="360" w:lineRule="auto"/>
              <w:ind w:firstLine="991" w:firstLineChars="472"/>
              <w:rPr>
                <w:color w:val="auto"/>
              </w:rPr>
            </w:pPr>
            <w:r>
              <w:rPr>
                <w:color w:val="auto"/>
              </w:rPr>
              <w:t>A</w:t>
            </w:r>
            <w:r>
              <w:rPr>
                <w:color w:val="auto"/>
                <w:vertAlign w:val="subscript"/>
              </w:rPr>
              <w:t>atm</w:t>
            </w:r>
            <w:r>
              <w:rPr>
                <w:color w:val="auto"/>
              </w:rPr>
              <w:t>为大气吸收引起的A声级衰减量；</w:t>
            </w:r>
          </w:p>
          <w:p w14:paraId="2CAE44E8">
            <w:pPr>
              <w:spacing w:line="360" w:lineRule="auto"/>
              <w:ind w:firstLine="991" w:firstLineChars="472"/>
              <w:rPr>
                <w:color w:val="auto"/>
              </w:rPr>
            </w:pPr>
            <w:r>
              <w:rPr>
                <w:color w:val="auto"/>
              </w:rPr>
              <w:t>A</w:t>
            </w:r>
            <w:r>
              <w:rPr>
                <w:color w:val="auto"/>
                <w:vertAlign w:val="subscript"/>
              </w:rPr>
              <w:t>gr</w:t>
            </w:r>
            <w:r>
              <w:rPr>
                <w:color w:val="auto"/>
              </w:rPr>
              <w:t>为地面效应引起的A声级衰减量；</w:t>
            </w:r>
          </w:p>
          <w:p w14:paraId="6DB1625B">
            <w:pPr>
              <w:spacing w:line="360" w:lineRule="auto"/>
              <w:ind w:firstLine="991" w:firstLineChars="472"/>
              <w:rPr>
                <w:color w:val="auto"/>
              </w:rPr>
            </w:pPr>
            <w:r>
              <w:rPr>
                <w:color w:val="auto"/>
              </w:rPr>
              <w:t>A</w:t>
            </w:r>
            <w:r>
              <w:rPr>
                <w:color w:val="auto"/>
                <w:vertAlign w:val="subscript"/>
              </w:rPr>
              <w:t>bar</w:t>
            </w:r>
            <w:r>
              <w:rPr>
                <w:color w:val="auto"/>
              </w:rPr>
              <w:t>为声屏障引起的A声级衰减量；</w:t>
            </w:r>
          </w:p>
          <w:p w14:paraId="540BBBAD">
            <w:pPr>
              <w:spacing w:line="360" w:lineRule="auto"/>
              <w:ind w:firstLine="991" w:firstLineChars="472"/>
              <w:rPr>
                <w:color w:val="auto"/>
              </w:rPr>
            </w:pPr>
            <w:r>
              <w:rPr>
                <w:color w:val="auto"/>
              </w:rPr>
              <w:t>A</w:t>
            </w:r>
            <w:r>
              <w:rPr>
                <w:color w:val="auto"/>
                <w:vertAlign w:val="subscript"/>
              </w:rPr>
              <w:t>misc</w:t>
            </w:r>
            <w:r>
              <w:rPr>
                <w:color w:val="auto"/>
              </w:rPr>
              <w:t>为其他多方面效应引起的A声级衰减量。</w:t>
            </w:r>
          </w:p>
          <w:p w14:paraId="1F9C115B">
            <w:pPr>
              <w:spacing w:line="360" w:lineRule="auto"/>
              <w:ind w:firstLine="371" w:firstLineChars="177"/>
              <w:rPr>
                <w:color w:val="auto"/>
              </w:rPr>
            </w:pPr>
            <w:r>
              <w:rPr>
                <w:color w:val="auto"/>
              </w:rPr>
              <w:t>根据表</w:t>
            </w:r>
            <w:r>
              <w:rPr>
                <w:rFonts w:hint="eastAsia"/>
                <w:color w:val="auto"/>
              </w:rPr>
              <w:t>4-8~9</w:t>
            </w:r>
            <w:r>
              <w:rPr>
                <w:color w:val="auto"/>
              </w:rPr>
              <w:t>中各噪声源的噪声水平及其采取的降噪及隔声效果，考虑Adiv的衰减量，来预测本工程主要噪声源对周围声环境的影响几何发散引起的A声级衰减量的计算公式如下：</w:t>
            </w:r>
          </w:p>
          <w:p w14:paraId="753A6D42">
            <w:pPr>
              <w:spacing w:line="360" w:lineRule="auto"/>
              <w:ind w:firstLine="371" w:firstLineChars="177"/>
              <w:jc w:val="center"/>
              <w:rPr>
                <w:color w:val="auto"/>
              </w:rPr>
            </w:pPr>
            <w:r>
              <w:rPr>
                <w:color w:val="auto"/>
                <w:position w:val="-30"/>
              </w:rPr>
              <w:object>
                <v:shape id="_x0000_i1025" o:spt="75" type="#_x0000_t75" style="height:29.85pt;width:117.2pt;" o:ole="t" filled="f" o:preferrelative="t" stroked="f" coordsize="21600,21600">
                  <v:path/>
                  <v:fill on="f" focussize="0,0"/>
                  <v:stroke on="f" joinstyle="miter"/>
                  <v:imagedata r:id="rId16" o:title=""/>
                  <o:lock v:ext="edit" aspectratio="t"/>
                  <w10:wrap type="none"/>
                  <w10:anchorlock/>
                </v:shape>
                <o:OLEObject Type="Embed" ProgID="Equation.3" ShapeID="_x0000_i1025" DrawAspect="Content" ObjectID="_1468075725" r:id="rId15">
                  <o:LockedField>false</o:LockedField>
                </o:OLEObject>
              </w:object>
            </w:r>
          </w:p>
          <w:p w14:paraId="15DA16F1">
            <w:pPr>
              <w:spacing w:line="360" w:lineRule="auto"/>
              <w:ind w:firstLine="420" w:firstLineChars="200"/>
              <w:rPr>
                <w:color w:val="auto"/>
              </w:rPr>
            </w:pPr>
            <w:r>
              <w:rPr>
                <w:color w:val="auto"/>
              </w:rPr>
              <w:t>对多个声源同时存在时，其总A声级用下式计算：</w:t>
            </w:r>
          </w:p>
          <w:p w14:paraId="5F400789">
            <w:pPr>
              <w:spacing w:line="360" w:lineRule="auto"/>
              <w:ind w:firstLine="420" w:firstLineChars="200"/>
              <w:jc w:val="center"/>
              <w:rPr>
                <w:color w:val="auto"/>
              </w:rPr>
            </w:pPr>
            <w:r>
              <w:rPr>
                <w:color w:val="auto"/>
                <w:position w:val="-28"/>
              </w:rPr>
              <w:object>
                <v:shape id="_x0000_i1026" o:spt="75" type="#_x0000_t75" style="height:29.85pt;width:101.85pt;" o:ole="t" filled="f" o:preferrelative="t" stroked="f" coordsize="21600,21600">
                  <v:path/>
                  <v:fill on="f" focussize="0,0"/>
                  <v:stroke on="f" joinstyle="miter"/>
                  <v:imagedata r:id="rId18" o:title=""/>
                  <o:lock v:ext="edit" aspectratio="t"/>
                  <w10:wrap type="none"/>
                  <w10:anchorlock/>
                </v:shape>
                <o:OLEObject Type="Embed" ProgID="Equation.3" ShapeID="_x0000_i1026" DrawAspect="Content" ObjectID="_1468075726" r:id="rId17">
                  <o:LockedField>false</o:LockedField>
                </o:OLEObject>
              </w:object>
            </w:r>
          </w:p>
          <w:p w14:paraId="17CA3275">
            <w:pPr>
              <w:spacing w:line="360" w:lineRule="auto"/>
              <w:ind w:firstLine="420" w:firstLineChars="200"/>
              <w:rPr>
                <w:color w:val="auto"/>
                <w:spacing w:val="4"/>
                <w:szCs w:val="21"/>
              </w:rPr>
            </w:pPr>
            <w:r>
              <w:rPr>
                <w:color w:val="auto"/>
              </w:rPr>
              <w:t>式中：L</w:t>
            </w:r>
            <w:r>
              <w:rPr>
                <w:color w:val="auto"/>
                <w:vertAlign w:val="subscript"/>
              </w:rPr>
              <w:t>eqg</w:t>
            </w:r>
            <w:r>
              <w:rPr>
                <w:color w:val="auto"/>
              </w:rPr>
              <w:t>为本项目声源在预测点的等效声级贡献值，dB（A）；L</w:t>
            </w:r>
            <w:r>
              <w:rPr>
                <w:color w:val="auto"/>
                <w:vertAlign w:val="subscript"/>
              </w:rPr>
              <w:t>Ai</w:t>
            </w:r>
            <w:r>
              <w:rPr>
                <w:color w:val="auto"/>
              </w:rPr>
              <w:t>为i声源在预测点产生的A声级，dB（A）；T预测计算的时间段，s；t</w:t>
            </w:r>
            <w:r>
              <w:rPr>
                <w:color w:val="auto"/>
                <w:vertAlign w:val="subscript"/>
              </w:rPr>
              <w:t>i</w:t>
            </w:r>
            <w:r>
              <w:rPr>
                <w:color w:val="auto"/>
              </w:rPr>
              <w:t>为i声源在T时段内的运行时间，s。</w:t>
            </w:r>
          </w:p>
          <w:p w14:paraId="78362DC1">
            <w:pPr>
              <w:spacing w:line="360" w:lineRule="auto"/>
              <w:ind w:firstLine="436" w:firstLineChars="200"/>
              <w:rPr>
                <w:color w:val="auto"/>
                <w:spacing w:val="4"/>
                <w:szCs w:val="21"/>
              </w:rPr>
            </w:pPr>
            <w:r>
              <w:rPr>
                <w:color w:val="auto"/>
                <w:spacing w:val="4"/>
                <w:szCs w:val="21"/>
              </w:rPr>
              <w:t>采用模式预测法对项目运营后的厂界噪声进行预测</w:t>
            </w:r>
            <w:r>
              <w:rPr>
                <w:rFonts w:hint="eastAsia"/>
                <w:color w:val="auto"/>
                <w:spacing w:val="4"/>
                <w:szCs w:val="21"/>
              </w:rPr>
              <w:t>，结果见表4-</w:t>
            </w:r>
            <w:r>
              <w:rPr>
                <w:rFonts w:hint="eastAsia"/>
                <w:color w:val="auto"/>
                <w:spacing w:val="4"/>
                <w:szCs w:val="21"/>
                <w:lang w:val="en-US" w:eastAsia="zh-CN"/>
              </w:rPr>
              <w:t>9</w:t>
            </w:r>
            <w:r>
              <w:rPr>
                <w:rFonts w:hint="eastAsia"/>
                <w:color w:val="auto"/>
                <w:spacing w:val="4"/>
                <w:szCs w:val="21"/>
              </w:rPr>
              <w:t>。</w:t>
            </w:r>
          </w:p>
          <w:p w14:paraId="05A9064B">
            <w:pPr>
              <w:jc w:val="center"/>
              <w:rPr>
                <w:b/>
                <w:color w:val="auto"/>
                <w:sz w:val="18"/>
                <w:szCs w:val="18"/>
              </w:rPr>
            </w:pPr>
            <w:r>
              <w:rPr>
                <w:b/>
                <w:color w:val="auto"/>
                <w:sz w:val="18"/>
                <w:szCs w:val="18"/>
              </w:rPr>
              <w:t>表</w:t>
            </w:r>
            <w:r>
              <w:rPr>
                <w:rFonts w:hint="eastAsia"/>
                <w:b/>
                <w:color w:val="auto"/>
                <w:sz w:val="18"/>
                <w:szCs w:val="18"/>
              </w:rPr>
              <w:t>4-</w:t>
            </w:r>
            <w:r>
              <w:rPr>
                <w:rFonts w:hint="eastAsia"/>
                <w:b/>
                <w:color w:val="auto"/>
                <w:sz w:val="18"/>
                <w:szCs w:val="18"/>
                <w:lang w:val="en-US" w:eastAsia="zh-CN"/>
              </w:rPr>
              <w:t>9</w:t>
            </w:r>
            <w:r>
              <w:rPr>
                <w:b/>
                <w:color w:val="auto"/>
                <w:sz w:val="18"/>
                <w:szCs w:val="18"/>
              </w:rPr>
              <w:t xml:space="preserve">  </w:t>
            </w:r>
            <w:r>
              <w:rPr>
                <w:rFonts w:hint="eastAsia"/>
                <w:b/>
                <w:color w:val="auto"/>
                <w:sz w:val="18"/>
                <w:szCs w:val="18"/>
              </w:rPr>
              <w:t xml:space="preserve">  </w:t>
            </w:r>
            <w:r>
              <w:rPr>
                <w:b/>
                <w:color w:val="auto"/>
                <w:sz w:val="18"/>
                <w:szCs w:val="18"/>
              </w:rPr>
              <w:t>项目运营期噪声预测结果（Leq  单位：dB(A)）</w:t>
            </w:r>
          </w:p>
          <w:tbl>
            <w:tblPr>
              <w:tblStyle w:val="47"/>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060"/>
              <w:gridCol w:w="1393"/>
              <w:gridCol w:w="1393"/>
              <w:gridCol w:w="1393"/>
              <w:gridCol w:w="1393"/>
              <w:gridCol w:w="1391"/>
            </w:tblGrid>
            <w:tr w14:paraId="3662340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61" w:type="pct"/>
                  <w:vMerge w:val="restart"/>
                  <w:vAlign w:val="center"/>
                </w:tcPr>
                <w:p w14:paraId="5CEBCF7D">
                  <w:pPr>
                    <w:pStyle w:val="24"/>
                    <w:jc w:val="center"/>
                    <w:rPr>
                      <w:rFonts w:ascii="Times New Roman" w:hAnsi="Times New Roman"/>
                      <w:bCs/>
                      <w:color w:val="auto"/>
                      <w:sz w:val="18"/>
                      <w:szCs w:val="18"/>
                    </w:rPr>
                  </w:pPr>
                  <w:r>
                    <w:rPr>
                      <w:rFonts w:ascii="Times New Roman" w:hAnsi="Times New Roman"/>
                      <w:bCs/>
                      <w:color w:val="auto"/>
                      <w:sz w:val="18"/>
                      <w:szCs w:val="18"/>
                    </w:rPr>
                    <w:t>测点</w:t>
                  </w:r>
                </w:p>
              </w:tc>
              <w:tc>
                <w:tcPr>
                  <w:tcW w:w="868" w:type="pct"/>
                  <w:vMerge w:val="restart"/>
                  <w:vAlign w:val="center"/>
                </w:tcPr>
                <w:p w14:paraId="37BE2973">
                  <w:pPr>
                    <w:pStyle w:val="24"/>
                    <w:jc w:val="center"/>
                    <w:rPr>
                      <w:rFonts w:ascii="Times New Roman" w:hAnsi="Times New Roman"/>
                      <w:bCs/>
                      <w:color w:val="auto"/>
                      <w:sz w:val="18"/>
                      <w:szCs w:val="18"/>
                    </w:rPr>
                  </w:pPr>
                  <w:r>
                    <w:rPr>
                      <w:rFonts w:ascii="Times New Roman" w:hAnsi="Times New Roman"/>
                      <w:bCs/>
                      <w:color w:val="auto"/>
                      <w:sz w:val="18"/>
                      <w:szCs w:val="18"/>
                    </w:rPr>
                    <w:t>位置</w:t>
                  </w:r>
                </w:p>
              </w:tc>
              <w:tc>
                <w:tcPr>
                  <w:tcW w:w="1736" w:type="pct"/>
                  <w:gridSpan w:val="2"/>
                  <w:vAlign w:val="center"/>
                </w:tcPr>
                <w:p w14:paraId="0DA38144">
                  <w:pPr>
                    <w:pStyle w:val="24"/>
                    <w:jc w:val="center"/>
                    <w:rPr>
                      <w:rFonts w:ascii="Times New Roman" w:hAnsi="Times New Roman"/>
                      <w:bCs/>
                      <w:color w:val="auto"/>
                      <w:sz w:val="18"/>
                      <w:szCs w:val="18"/>
                    </w:rPr>
                  </w:pPr>
                  <w:r>
                    <w:rPr>
                      <w:rFonts w:ascii="Times New Roman" w:hAnsi="Times New Roman"/>
                      <w:bCs/>
                      <w:color w:val="auto"/>
                      <w:sz w:val="18"/>
                      <w:szCs w:val="18"/>
                    </w:rPr>
                    <w:t>昼间</w:t>
                  </w:r>
                </w:p>
              </w:tc>
              <w:tc>
                <w:tcPr>
                  <w:tcW w:w="1736" w:type="pct"/>
                  <w:gridSpan w:val="2"/>
                  <w:vAlign w:val="center"/>
                </w:tcPr>
                <w:p w14:paraId="05795699">
                  <w:pPr>
                    <w:pStyle w:val="24"/>
                    <w:jc w:val="center"/>
                    <w:rPr>
                      <w:rFonts w:ascii="Times New Roman" w:hAnsi="Times New Roman"/>
                      <w:bCs/>
                      <w:color w:val="auto"/>
                      <w:sz w:val="18"/>
                      <w:szCs w:val="18"/>
                    </w:rPr>
                  </w:pPr>
                  <w:r>
                    <w:rPr>
                      <w:rFonts w:hint="eastAsia" w:ascii="Times New Roman" w:hAnsi="Times New Roman"/>
                      <w:bCs/>
                      <w:color w:val="auto"/>
                      <w:sz w:val="18"/>
                      <w:szCs w:val="18"/>
                    </w:rPr>
                    <w:t>夜间</w:t>
                  </w:r>
                </w:p>
              </w:tc>
            </w:tr>
            <w:tr w14:paraId="74CC77F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61" w:type="pct"/>
                  <w:vMerge w:val="continue"/>
                  <w:vAlign w:val="center"/>
                </w:tcPr>
                <w:p w14:paraId="3F711DC3">
                  <w:pPr>
                    <w:pStyle w:val="24"/>
                    <w:jc w:val="center"/>
                    <w:rPr>
                      <w:rFonts w:ascii="Times New Roman" w:hAnsi="Times New Roman"/>
                      <w:bCs/>
                      <w:color w:val="auto"/>
                      <w:sz w:val="18"/>
                      <w:szCs w:val="18"/>
                    </w:rPr>
                  </w:pPr>
                </w:p>
              </w:tc>
              <w:tc>
                <w:tcPr>
                  <w:tcW w:w="868" w:type="pct"/>
                  <w:vMerge w:val="continue"/>
                  <w:vAlign w:val="center"/>
                </w:tcPr>
                <w:p w14:paraId="5B1B522C">
                  <w:pPr>
                    <w:pStyle w:val="24"/>
                    <w:jc w:val="center"/>
                    <w:rPr>
                      <w:rFonts w:ascii="Times New Roman" w:hAnsi="Times New Roman"/>
                      <w:bCs/>
                      <w:color w:val="auto"/>
                      <w:sz w:val="18"/>
                      <w:szCs w:val="18"/>
                    </w:rPr>
                  </w:pPr>
                </w:p>
              </w:tc>
              <w:tc>
                <w:tcPr>
                  <w:tcW w:w="868" w:type="pct"/>
                  <w:vAlign w:val="center"/>
                </w:tcPr>
                <w:p w14:paraId="47BEB9BC">
                  <w:pPr>
                    <w:pStyle w:val="24"/>
                    <w:jc w:val="center"/>
                    <w:rPr>
                      <w:rFonts w:ascii="Times New Roman" w:hAnsi="Times New Roman"/>
                      <w:bCs/>
                      <w:color w:val="auto"/>
                      <w:sz w:val="18"/>
                      <w:szCs w:val="18"/>
                    </w:rPr>
                  </w:pPr>
                  <w:r>
                    <w:rPr>
                      <w:rFonts w:hint="eastAsia" w:ascii="Times New Roman" w:hAnsi="Times New Roman"/>
                      <w:bCs/>
                      <w:color w:val="auto"/>
                      <w:sz w:val="18"/>
                      <w:szCs w:val="18"/>
                      <w:lang w:val="en-US" w:eastAsia="zh-CN"/>
                    </w:rPr>
                    <w:t>贡献</w:t>
                  </w:r>
                  <w:r>
                    <w:rPr>
                      <w:rFonts w:hint="eastAsia" w:ascii="Times New Roman" w:hAnsi="Times New Roman"/>
                      <w:bCs/>
                      <w:color w:val="auto"/>
                      <w:sz w:val="18"/>
                      <w:szCs w:val="18"/>
                    </w:rPr>
                    <w:t>值</w:t>
                  </w:r>
                </w:p>
              </w:tc>
              <w:tc>
                <w:tcPr>
                  <w:tcW w:w="868" w:type="pct"/>
                  <w:vAlign w:val="center"/>
                </w:tcPr>
                <w:p w14:paraId="0C206AC0">
                  <w:pPr>
                    <w:pStyle w:val="24"/>
                    <w:jc w:val="center"/>
                    <w:rPr>
                      <w:rFonts w:ascii="Times New Roman" w:hAnsi="Times New Roman"/>
                      <w:bCs/>
                      <w:color w:val="auto"/>
                      <w:sz w:val="18"/>
                      <w:szCs w:val="18"/>
                    </w:rPr>
                  </w:pPr>
                  <w:r>
                    <w:rPr>
                      <w:rFonts w:ascii="Times New Roman" w:hAnsi="Times New Roman"/>
                      <w:bCs/>
                      <w:color w:val="auto"/>
                      <w:sz w:val="18"/>
                      <w:szCs w:val="18"/>
                    </w:rPr>
                    <w:t>标准值</w:t>
                  </w:r>
                </w:p>
              </w:tc>
              <w:tc>
                <w:tcPr>
                  <w:tcW w:w="868" w:type="pct"/>
                  <w:vAlign w:val="center"/>
                </w:tcPr>
                <w:p w14:paraId="1E2E7769">
                  <w:pPr>
                    <w:pStyle w:val="24"/>
                    <w:jc w:val="center"/>
                    <w:rPr>
                      <w:rFonts w:ascii="Times New Roman" w:hAnsi="Times New Roman"/>
                      <w:bCs/>
                      <w:color w:val="auto"/>
                      <w:sz w:val="18"/>
                      <w:szCs w:val="18"/>
                    </w:rPr>
                  </w:pPr>
                  <w:r>
                    <w:rPr>
                      <w:rFonts w:hint="eastAsia" w:ascii="Times New Roman" w:hAnsi="Times New Roman"/>
                      <w:bCs/>
                      <w:color w:val="auto"/>
                      <w:sz w:val="18"/>
                      <w:szCs w:val="18"/>
                      <w:lang w:val="en-US" w:eastAsia="zh-CN"/>
                    </w:rPr>
                    <w:t>贡献</w:t>
                  </w:r>
                  <w:r>
                    <w:rPr>
                      <w:rFonts w:hint="eastAsia" w:ascii="Times New Roman" w:hAnsi="Times New Roman"/>
                      <w:bCs/>
                      <w:color w:val="auto"/>
                      <w:sz w:val="18"/>
                      <w:szCs w:val="18"/>
                    </w:rPr>
                    <w:t>值</w:t>
                  </w:r>
                </w:p>
              </w:tc>
              <w:tc>
                <w:tcPr>
                  <w:tcW w:w="868" w:type="pct"/>
                  <w:vAlign w:val="center"/>
                </w:tcPr>
                <w:p w14:paraId="06C0567D">
                  <w:pPr>
                    <w:pStyle w:val="24"/>
                    <w:jc w:val="center"/>
                    <w:rPr>
                      <w:rFonts w:ascii="Times New Roman" w:hAnsi="Times New Roman"/>
                      <w:bCs/>
                      <w:color w:val="auto"/>
                      <w:sz w:val="18"/>
                      <w:szCs w:val="18"/>
                    </w:rPr>
                  </w:pPr>
                  <w:r>
                    <w:rPr>
                      <w:rFonts w:ascii="Times New Roman" w:hAnsi="Times New Roman"/>
                      <w:bCs/>
                      <w:color w:val="auto"/>
                      <w:sz w:val="18"/>
                      <w:szCs w:val="18"/>
                    </w:rPr>
                    <w:t>标准值</w:t>
                  </w:r>
                </w:p>
              </w:tc>
            </w:tr>
            <w:tr w14:paraId="1D8492C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61" w:type="pct"/>
                  <w:vAlign w:val="center"/>
                </w:tcPr>
                <w:p w14:paraId="0D1349F0">
                  <w:pPr>
                    <w:pStyle w:val="24"/>
                    <w:jc w:val="center"/>
                    <w:rPr>
                      <w:rFonts w:ascii="Times New Roman" w:hAnsi="Times New Roman"/>
                      <w:bCs/>
                      <w:color w:val="auto"/>
                      <w:sz w:val="18"/>
                      <w:szCs w:val="18"/>
                    </w:rPr>
                  </w:pPr>
                  <w:r>
                    <w:rPr>
                      <w:rFonts w:ascii="Times New Roman" w:hAnsi="Times New Roman"/>
                      <w:bCs/>
                      <w:color w:val="auto"/>
                      <w:sz w:val="18"/>
                      <w:szCs w:val="18"/>
                    </w:rPr>
                    <w:t>1</w:t>
                  </w:r>
                </w:p>
              </w:tc>
              <w:tc>
                <w:tcPr>
                  <w:tcW w:w="868" w:type="pct"/>
                  <w:vAlign w:val="center"/>
                </w:tcPr>
                <w:p w14:paraId="341BEEE8">
                  <w:pPr>
                    <w:pStyle w:val="24"/>
                    <w:jc w:val="center"/>
                    <w:rPr>
                      <w:rFonts w:ascii="Times New Roman" w:hAnsi="Times New Roman"/>
                      <w:bCs/>
                      <w:color w:val="auto"/>
                      <w:sz w:val="18"/>
                      <w:szCs w:val="18"/>
                    </w:rPr>
                  </w:pPr>
                  <w:r>
                    <w:rPr>
                      <w:rFonts w:ascii="Times New Roman" w:hAnsi="Times New Roman"/>
                      <w:bCs/>
                      <w:color w:val="auto"/>
                      <w:sz w:val="18"/>
                      <w:szCs w:val="18"/>
                    </w:rPr>
                    <w:t>东边界</w:t>
                  </w:r>
                </w:p>
              </w:tc>
              <w:tc>
                <w:tcPr>
                  <w:tcW w:w="868" w:type="pct"/>
                  <w:vAlign w:val="center"/>
                </w:tcPr>
                <w:p w14:paraId="01CF265B">
                  <w:pPr>
                    <w:pStyle w:val="24"/>
                    <w:jc w:val="center"/>
                    <w:rPr>
                      <w:rFonts w:hint="default" w:ascii="Times New Roman" w:hAnsi="Times New Roman" w:eastAsia="宋体"/>
                      <w:bCs/>
                      <w:color w:val="auto"/>
                      <w:sz w:val="18"/>
                      <w:szCs w:val="18"/>
                      <w:lang w:val="en-US" w:eastAsia="zh-CN"/>
                    </w:rPr>
                  </w:pPr>
                  <w:r>
                    <w:rPr>
                      <w:rFonts w:hint="eastAsia" w:ascii="Times New Roman" w:hAnsi="Times New Roman"/>
                      <w:bCs/>
                      <w:color w:val="auto"/>
                      <w:sz w:val="18"/>
                      <w:szCs w:val="18"/>
                      <w:lang w:val="en-US" w:eastAsia="zh-CN"/>
                    </w:rPr>
                    <w:t>51.2</w:t>
                  </w:r>
                </w:p>
              </w:tc>
              <w:tc>
                <w:tcPr>
                  <w:tcW w:w="868" w:type="pct"/>
                  <w:vAlign w:val="center"/>
                </w:tcPr>
                <w:p w14:paraId="375CFC0A">
                  <w:pPr>
                    <w:pStyle w:val="24"/>
                    <w:jc w:val="center"/>
                    <w:rPr>
                      <w:rFonts w:hint="default" w:ascii="Times New Roman" w:hAnsi="Times New Roman" w:eastAsia="宋体"/>
                      <w:bCs/>
                      <w:color w:val="auto"/>
                      <w:sz w:val="18"/>
                      <w:szCs w:val="18"/>
                      <w:lang w:val="en-US" w:eastAsia="zh-CN"/>
                    </w:rPr>
                  </w:pPr>
                  <w:r>
                    <w:rPr>
                      <w:rFonts w:hint="eastAsia" w:ascii="Times New Roman" w:hAnsi="Times New Roman"/>
                      <w:bCs/>
                      <w:color w:val="auto"/>
                      <w:sz w:val="18"/>
                      <w:szCs w:val="18"/>
                      <w:lang w:val="en-US" w:eastAsia="zh-CN"/>
                    </w:rPr>
                    <w:t>55</w:t>
                  </w:r>
                </w:p>
              </w:tc>
              <w:tc>
                <w:tcPr>
                  <w:tcW w:w="868" w:type="pct"/>
                  <w:vAlign w:val="center"/>
                </w:tcPr>
                <w:p w14:paraId="2B3BC7A3">
                  <w:pPr>
                    <w:pStyle w:val="24"/>
                    <w:jc w:val="center"/>
                    <w:rPr>
                      <w:rFonts w:hint="eastAsia" w:ascii="Times New Roman" w:hAnsi="Times New Roman" w:eastAsia="宋体"/>
                      <w:bCs/>
                      <w:color w:val="auto"/>
                      <w:sz w:val="18"/>
                      <w:szCs w:val="18"/>
                      <w:lang w:eastAsia="zh-CN"/>
                    </w:rPr>
                  </w:pPr>
                  <w:r>
                    <w:rPr>
                      <w:rFonts w:hint="eastAsia" w:ascii="Times New Roman" w:hAnsi="Times New Roman"/>
                      <w:bCs/>
                      <w:color w:val="auto"/>
                      <w:sz w:val="18"/>
                      <w:szCs w:val="18"/>
                    </w:rPr>
                    <w:t>4</w:t>
                  </w:r>
                  <w:r>
                    <w:rPr>
                      <w:rFonts w:hint="eastAsia" w:ascii="Times New Roman" w:hAnsi="Times New Roman"/>
                      <w:bCs/>
                      <w:color w:val="auto"/>
                      <w:sz w:val="18"/>
                      <w:szCs w:val="18"/>
                      <w:lang w:val="en-US" w:eastAsia="zh-CN"/>
                    </w:rPr>
                    <w:t>2</w:t>
                  </w:r>
                  <w:r>
                    <w:rPr>
                      <w:rFonts w:hint="eastAsia" w:ascii="Times New Roman" w:hAnsi="Times New Roman"/>
                      <w:bCs/>
                      <w:color w:val="auto"/>
                      <w:sz w:val="18"/>
                      <w:szCs w:val="18"/>
                    </w:rPr>
                    <w:t>.</w:t>
                  </w:r>
                  <w:r>
                    <w:rPr>
                      <w:rFonts w:hint="eastAsia" w:ascii="Times New Roman" w:hAnsi="Times New Roman"/>
                      <w:bCs/>
                      <w:color w:val="auto"/>
                      <w:sz w:val="18"/>
                      <w:szCs w:val="18"/>
                      <w:lang w:val="en-US" w:eastAsia="zh-CN"/>
                    </w:rPr>
                    <w:t>9</w:t>
                  </w:r>
                </w:p>
              </w:tc>
              <w:tc>
                <w:tcPr>
                  <w:tcW w:w="868" w:type="pct"/>
                  <w:vAlign w:val="center"/>
                </w:tcPr>
                <w:p w14:paraId="374735DC">
                  <w:pPr>
                    <w:pStyle w:val="24"/>
                    <w:jc w:val="center"/>
                    <w:rPr>
                      <w:rFonts w:hint="default" w:ascii="Times New Roman" w:hAnsi="Times New Roman" w:eastAsia="宋体"/>
                      <w:bCs/>
                      <w:color w:val="auto"/>
                      <w:sz w:val="18"/>
                      <w:szCs w:val="18"/>
                      <w:lang w:val="en-US" w:eastAsia="zh-CN"/>
                    </w:rPr>
                  </w:pPr>
                  <w:r>
                    <w:rPr>
                      <w:rFonts w:hint="eastAsia" w:ascii="Times New Roman" w:hAnsi="Times New Roman"/>
                      <w:bCs/>
                      <w:color w:val="auto"/>
                      <w:sz w:val="18"/>
                      <w:szCs w:val="18"/>
                      <w:lang w:val="en-US" w:eastAsia="zh-CN"/>
                    </w:rPr>
                    <w:t>45</w:t>
                  </w:r>
                </w:p>
              </w:tc>
            </w:tr>
            <w:tr w14:paraId="129420A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61" w:type="pct"/>
                  <w:vAlign w:val="center"/>
                </w:tcPr>
                <w:p w14:paraId="61C4B393">
                  <w:pPr>
                    <w:pStyle w:val="24"/>
                    <w:jc w:val="center"/>
                    <w:rPr>
                      <w:rFonts w:ascii="Times New Roman" w:hAnsi="Times New Roman"/>
                      <w:bCs/>
                      <w:color w:val="auto"/>
                      <w:sz w:val="18"/>
                      <w:szCs w:val="18"/>
                    </w:rPr>
                  </w:pPr>
                  <w:r>
                    <w:rPr>
                      <w:rFonts w:ascii="Times New Roman" w:hAnsi="Times New Roman"/>
                      <w:bCs/>
                      <w:color w:val="auto"/>
                      <w:sz w:val="18"/>
                      <w:szCs w:val="18"/>
                    </w:rPr>
                    <w:t>2</w:t>
                  </w:r>
                </w:p>
              </w:tc>
              <w:tc>
                <w:tcPr>
                  <w:tcW w:w="868" w:type="pct"/>
                  <w:vAlign w:val="center"/>
                </w:tcPr>
                <w:p w14:paraId="57385D73">
                  <w:pPr>
                    <w:jc w:val="center"/>
                    <w:rPr>
                      <w:bCs/>
                      <w:color w:val="auto"/>
                      <w:sz w:val="18"/>
                      <w:szCs w:val="18"/>
                    </w:rPr>
                  </w:pPr>
                  <w:r>
                    <w:rPr>
                      <w:bCs/>
                      <w:color w:val="auto"/>
                      <w:sz w:val="18"/>
                      <w:szCs w:val="18"/>
                    </w:rPr>
                    <w:t>南边界</w:t>
                  </w:r>
                </w:p>
              </w:tc>
              <w:tc>
                <w:tcPr>
                  <w:tcW w:w="868" w:type="pct"/>
                  <w:vAlign w:val="center"/>
                </w:tcPr>
                <w:p w14:paraId="2FC344DC">
                  <w:pPr>
                    <w:pStyle w:val="24"/>
                    <w:jc w:val="center"/>
                    <w:rPr>
                      <w:rFonts w:hint="default" w:ascii="Times New Roman" w:hAnsi="Times New Roman" w:eastAsia="宋体"/>
                      <w:bCs/>
                      <w:color w:val="auto"/>
                      <w:sz w:val="18"/>
                      <w:szCs w:val="18"/>
                      <w:lang w:val="en-US" w:eastAsia="zh-CN"/>
                    </w:rPr>
                  </w:pPr>
                  <w:r>
                    <w:rPr>
                      <w:rFonts w:hint="eastAsia" w:ascii="Times New Roman" w:hAnsi="Times New Roman"/>
                      <w:bCs/>
                      <w:color w:val="auto"/>
                      <w:sz w:val="18"/>
                      <w:szCs w:val="18"/>
                      <w:lang w:val="en-US" w:eastAsia="zh-CN"/>
                    </w:rPr>
                    <w:t>50.2</w:t>
                  </w:r>
                </w:p>
              </w:tc>
              <w:tc>
                <w:tcPr>
                  <w:tcW w:w="868" w:type="pct"/>
                  <w:vAlign w:val="center"/>
                </w:tcPr>
                <w:p w14:paraId="00AFA95F">
                  <w:pPr>
                    <w:jc w:val="center"/>
                    <w:rPr>
                      <w:rFonts w:ascii="Times New Roman" w:hAnsi="Times New Roman"/>
                      <w:bCs/>
                      <w:color w:val="auto"/>
                      <w:sz w:val="18"/>
                      <w:szCs w:val="18"/>
                    </w:rPr>
                  </w:pPr>
                  <w:r>
                    <w:rPr>
                      <w:rFonts w:hint="eastAsia" w:ascii="Times New Roman" w:hAnsi="Times New Roman"/>
                      <w:bCs/>
                      <w:color w:val="auto"/>
                      <w:sz w:val="18"/>
                      <w:szCs w:val="18"/>
                      <w:lang w:val="en-US" w:eastAsia="zh-CN"/>
                    </w:rPr>
                    <w:t>55</w:t>
                  </w:r>
                </w:p>
              </w:tc>
              <w:tc>
                <w:tcPr>
                  <w:tcW w:w="868" w:type="pct"/>
                  <w:vAlign w:val="center"/>
                </w:tcPr>
                <w:p w14:paraId="16C80BEF">
                  <w:pPr>
                    <w:pStyle w:val="24"/>
                    <w:jc w:val="center"/>
                    <w:rPr>
                      <w:rFonts w:hint="eastAsia" w:ascii="Times New Roman" w:hAnsi="Times New Roman" w:eastAsia="宋体"/>
                      <w:bCs/>
                      <w:color w:val="auto"/>
                      <w:sz w:val="18"/>
                      <w:szCs w:val="18"/>
                      <w:lang w:eastAsia="zh-CN"/>
                    </w:rPr>
                  </w:pPr>
                  <w:r>
                    <w:rPr>
                      <w:rFonts w:hint="eastAsia" w:ascii="Times New Roman" w:hAnsi="Times New Roman"/>
                      <w:bCs/>
                      <w:color w:val="auto"/>
                      <w:sz w:val="18"/>
                      <w:szCs w:val="18"/>
                    </w:rPr>
                    <w:t>4</w:t>
                  </w:r>
                  <w:r>
                    <w:rPr>
                      <w:rFonts w:hint="eastAsia" w:ascii="Times New Roman" w:hAnsi="Times New Roman"/>
                      <w:bCs/>
                      <w:color w:val="auto"/>
                      <w:sz w:val="18"/>
                      <w:szCs w:val="18"/>
                      <w:lang w:val="en-US" w:eastAsia="zh-CN"/>
                    </w:rPr>
                    <w:t>1</w:t>
                  </w:r>
                  <w:r>
                    <w:rPr>
                      <w:rFonts w:hint="eastAsia" w:ascii="Times New Roman" w:hAnsi="Times New Roman"/>
                      <w:bCs/>
                      <w:color w:val="auto"/>
                      <w:sz w:val="18"/>
                      <w:szCs w:val="18"/>
                    </w:rPr>
                    <w:t>.</w:t>
                  </w:r>
                  <w:r>
                    <w:rPr>
                      <w:rFonts w:hint="eastAsia" w:ascii="Times New Roman" w:hAnsi="Times New Roman"/>
                      <w:bCs/>
                      <w:color w:val="auto"/>
                      <w:sz w:val="18"/>
                      <w:szCs w:val="18"/>
                      <w:lang w:val="en-US" w:eastAsia="zh-CN"/>
                    </w:rPr>
                    <w:t>9</w:t>
                  </w:r>
                </w:p>
              </w:tc>
              <w:tc>
                <w:tcPr>
                  <w:tcW w:w="868" w:type="pct"/>
                  <w:vAlign w:val="center"/>
                </w:tcPr>
                <w:p w14:paraId="55820E3B">
                  <w:pPr>
                    <w:jc w:val="center"/>
                    <w:rPr>
                      <w:rFonts w:ascii="Times New Roman" w:hAnsi="Times New Roman"/>
                      <w:bCs/>
                      <w:color w:val="auto"/>
                      <w:sz w:val="18"/>
                      <w:szCs w:val="18"/>
                    </w:rPr>
                  </w:pPr>
                  <w:r>
                    <w:rPr>
                      <w:rFonts w:hint="eastAsia" w:ascii="Times New Roman" w:hAnsi="Times New Roman"/>
                      <w:bCs/>
                      <w:color w:val="auto"/>
                      <w:sz w:val="18"/>
                      <w:szCs w:val="18"/>
                      <w:lang w:val="en-US" w:eastAsia="zh-CN"/>
                    </w:rPr>
                    <w:t>45</w:t>
                  </w:r>
                </w:p>
              </w:tc>
            </w:tr>
            <w:tr w14:paraId="0AE0340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61" w:type="pct"/>
                  <w:vAlign w:val="center"/>
                </w:tcPr>
                <w:p w14:paraId="67DE4ABD">
                  <w:pPr>
                    <w:pStyle w:val="24"/>
                    <w:jc w:val="center"/>
                    <w:rPr>
                      <w:rFonts w:ascii="Times New Roman" w:hAnsi="Times New Roman"/>
                      <w:bCs/>
                      <w:color w:val="auto"/>
                      <w:sz w:val="18"/>
                      <w:szCs w:val="18"/>
                    </w:rPr>
                  </w:pPr>
                  <w:r>
                    <w:rPr>
                      <w:rFonts w:ascii="Times New Roman" w:hAnsi="Times New Roman"/>
                      <w:bCs/>
                      <w:color w:val="auto"/>
                      <w:sz w:val="18"/>
                      <w:szCs w:val="18"/>
                    </w:rPr>
                    <w:t>3</w:t>
                  </w:r>
                </w:p>
              </w:tc>
              <w:tc>
                <w:tcPr>
                  <w:tcW w:w="868" w:type="pct"/>
                  <w:vAlign w:val="center"/>
                </w:tcPr>
                <w:p w14:paraId="3153B0FA">
                  <w:pPr>
                    <w:jc w:val="center"/>
                    <w:rPr>
                      <w:bCs/>
                      <w:color w:val="auto"/>
                      <w:sz w:val="18"/>
                      <w:szCs w:val="18"/>
                    </w:rPr>
                  </w:pPr>
                  <w:r>
                    <w:rPr>
                      <w:bCs/>
                      <w:color w:val="auto"/>
                      <w:sz w:val="18"/>
                      <w:szCs w:val="18"/>
                    </w:rPr>
                    <w:t>西边界</w:t>
                  </w:r>
                </w:p>
              </w:tc>
              <w:tc>
                <w:tcPr>
                  <w:tcW w:w="868" w:type="pct"/>
                  <w:vAlign w:val="center"/>
                </w:tcPr>
                <w:p w14:paraId="70178205">
                  <w:pPr>
                    <w:pStyle w:val="24"/>
                    <w:jc w:val="center"/>
                    <w:rPr>
                      <w:rFonts w:hint="default" w:ascii="Times New Roman" w:hAnsi="Times New Roman" w:eastAsia="宋体"/>
                      <w:bCs/>
                      <w:color w:val="auto"/>
                      <w:sz w:val="18"/>
                      <w:szCs w:val="18"/>
                      <w:lang w:val="en-US" w:eastAsia="zh-CN"/>
                    </w:rPr>
                  </w:pPr>
                  <w:r>
                    <w:rPr>
                      <w:rFonts w:hint="eastAsia" w:ascii="Times New Roman" w:hAnsi="Times New Roman"/>
                      <w:bCs/>
                      <w:color w:val="auto"/>
                      <w:sz w:val="18"/>
                      <w:szCs w:val="18"/>
                      <w:lang w:val="en-US" w:eastAsia="zh-CN"/>
                    </w:rPr>
                    <w:t>51.8</w:t>
                  </w:r>
                </w:p>
              </w:tc>
              <w:tc>
                <w:tcPr>
                  <w:tcW w:w="868" w:type="pct"/>
                  <w:vAlign w:val="center"/>
                </w:tcPr>
                <w:p w14:paraId="4DECEA64">
                  <w:pPr>
                    <w:jc w:val="center"/>
                    <w:rPr>
                      <w:rFonts w:ascii="Times New Roman" w:hAnsi="Times New Roman"/>
                      <w:bCs/>
                      <w:color w:val="auto"/>
                      <w:sz w:val="18"/>
                      <w:szCs w:val="18"/>
                    </w:rPr>
                  </w:pPr>
                  <w:r>
                    <w:rPr>
                      <w:rFonts w:hint="eastAsia" w:ascii="Times New Roman" w:hAnsi="Times New Roman"/>
                      <w:bCs/>
                      <w:color w:val="auto"/>
                      <w:sz w:val="18"/>
                      <w:szCs w:val="18"/>
                      <w:lang w:val="en-US" w:eastAsia="zh-CN"/>
                    </w:rPr>
                    <w:t>55</w:t>
                  </w:r>
                </w:p>
              </w:tc>
              <w:tc>
                <w:tcPr>
                  <w:tcW w:w="868" w:type="pct"/>
                  <w:vAlign w:val="center"/>
                </w:tcPr>
                <w:p w14:paraId="34D6AA0C">
                  <w:pPr>
                    <w:pStyle w:val="24"/>
                    <w:jc w:val="center"/>
                    <w:rPr>
                      <w:rFonts w:hint="eastAsia" w:ascii="Times New Roman" w:hAnsi="Times New Roman" w:eastAsia="宋体"/>
                      <w:bCs/>
                      <w:color w:val="auto"/>
                      <w:sz w:val="18"/>
                      <w:szCs w:val="18"/>
                      <w:lang w:eastAsia="zh-CN"/>
                    </w:rPr>
                  </w:pPr>
                  <w:r>
                    <w:rPr>
                      <w:rFonts w:hint="eastAsia" w:ascii="Times New Roman" w:hAnsi="Times New Roman"/>
                      <w:bCs/>
                      <w:color w:val="auto"/>
                      <w:sz w:val="18"/>
                      <w:szCs w:val="18"/>
                    </w:rPr>
                    <w:t>4</w:t>
                  </w:r>
                  <w:r>
                    <w:rPr>
                      <w:rFonts w:hint="eastAsia" w:ascii="Times New Roman" w:hAnsi="Times New Roman"/>
                      <w:bCs/>
                      <w:color w:val="auto"/>
                      <w:sz w:val="18"/>
                      <w:szCs w:val="18"/>
                      <w:lang w:val="en-US" w:eastAsia="zh-CN"/>
                    </w:rPr>
                    <w:t>2</w:t>
                  </w:r>
                  <w:r>
                    <w:rPr>
                      <w:rFonts w:hint="eastAsia" w:ascii="Times New Roman" w:hAnsi="Times New Roman"/>
                      <w:bCs/>
                      <w:color w:val="auto"/>
                      <w:sz w:val="18"/>
                      <w:szCs w:val="18"/>
                    </w:rPr>
                    <w:t>.</w:t>
                  </w:r>
                  <w:r>
                    <w:rPr>
                      <w:rFonts w:hint="eastAsia" w:ascii="Times New Roman" w:hAnsi="Times New Roman"/>
                      <w:bCs/>
                      <w:color w:val="auto"/>
                      <w:sz w:val="18"/>
                      <w:szCs w:val="18"/>
                      <w:lang w:val="en-US" w:eastAsia="zh-CN"/>
                    </w:rPr>
                    <w:t>2</w:t>
                  </w:r>
                </w:p>
              </w:tc>
              <w:tc>
                <w:tcPr>
                  <w:tcW w:w="868" w:type="pct"/>
                  <w:vAlign w:val="center"/>
                </w:tcPr>
                <w:p w14:paraId="013B5A9E">
                  <w:pPr>
                    <w:jc w:val="center"/>
                    <w:rPr>
                      <w:rFonts w:ascii="Times New Roman" w:hAnsi="Times New Roman"/>
                      <w:bCs/>
                      <w:color w:val="auto"/>
                      <w:sz w:val="18"/>
                      <w:szCs w:val="18"/>
                    </w:rPr>
                  </w:pPr>
                  <w:r>
                    <w:rPr>
                      <w:rFonts w:hint="eastAsia" w:ascii="Times New Roman" w:hAnsi="Times New Roman"/>
                      <w:bCs/>
                      <w:color w:val="auto"/>
                      <w:sz w:val="18"/>
                      <w:szCs w:val="18"/>
                      <w:lang w:val="en-US" w:eastAsia="zh-CN"/>
                    </w:rPr>
                    <w:t>45</w:t>
                  </w:r>
                </w:p>
              </w:tc>
            </w:tr>
            <w:tr w14:paraId="519A99D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61" w:type="pct"/>
                  <w:vAlign w:val="center"/>
                </w:tcPr>
                <w:p w14:paraId="710351B2">
                  <w:pPr>
                    <w:pStyle w:val="24"/>
                    <w:jc w:val="center"/>
                    <w:rPr>
                      <w:rFonts w:ascii="Times New Roman" w:hAnsi="Times New Roman"/>
                      <w:bCs/>
                      <w:color w:val="auto"/>
                      <w:sz w:val="18"/>
                      <w:szCs w:val="18"/>
                    </w:rPr>
                  </w:pPr>
                  <w:r>
                    <w:rPr>
                      <w:rFonts w:ascii="Times New Roman" w:hAnsi="Times New Roman"/>
                      <w:bCs/>
                      <w:color w:val="auto"/>
                      <w:sz w:val="18"/>
                      <w:szCs w:val="18"/>
                    </w:rPr>
                    <w:t>4</w:t>
                  </w:r>
                </w:p>
              </w:tc>
              <w:tc>
                <w:tcPr>
                  <w:tcW w:w="868" w:type="pct"/>
                  <w:vAlign w:val="center"/>
                </w:tcPr>
                <w:p w14:paraId="55B57673">
                  <w:pPr>
                    <w:jc w:val="center"/>
                    <w:rPr>
                      <w:bCs/>
                      <w:color w:val="auto"/>
                      <w:sz w:val="18"/>
                      <w:szCs w:val="18"/>
                    </w:rPr>
                  </w:pPr>
                  <w:r>
                    <w:rPr>
                      <w:bCs/>
                      <w:color w:val="auto"/>
                      <w:sz w:val="18"/>
                      <w:szCs w:val="18"/>
                    </w:rPr>
                    <w:t>北边界</w:t>
                  </w:r>
                </w:p>
              </w:tc>
              <w:tc>
                <w:tcPr>
                  <w:tcW w:w="868" w:type="pct"/>
                  <w:vAlign w:val="center"/>
                </w:tcPr>
                <w:p w14:paraId="2C08E8AD">
                  <w:pPr>
                    <w:pStyle w:val="24"/>
                    <w:jc w:val="center"/>
                    <w:rPr>
                      <w:rFonts w:hint="default" w:ascii="Times New Roman" w:hAnsi="Times New Roman" w:eastAsia="宋体"/>
                      <w:bCs/>
                      <w:color w:val="auto"/>
                      <w:sz w:val="18"/>
                      <w:szCs w:val="18"/>
                      <w:lang w:val="en-US" w:eastAsia="zh-CN"/>
                    </w:rPr>
                  </w:pPr>
                  <w:r>
                    <w:rPr>
                      <w:rFonts w:hint="eastAsia" w:ascii="Times New Roman" w:hAnsi="Times New Roman"/>
                      <w:bCs/>
                      <w:color w:val="auto"/>
                      <w:sz w:val="18"/>
                      <w:szCs w:val="18"/>
                      <w:lang w:val="en-US" w:eastAsia="zh-CN"/>
                    </w:rPr>
                    <w:t>51.9</w:t>
                  </w:r>
                </w:p>
              </w:tc>
              <w:tc>
                <w:tcPr>
                  <w:tcW w:w="868" w:type="pct"/>
                  <w:vAlign w:val="center"/>
                </w:tcPr>
                <w:p w14:paraId="26BB1578">
                  <w:pPr>
                    <w:jc w:val="center"/>
                    <w:rPr>
                      <w:rFonts w:ascii="Times New Roman" w:hAnsi="Times New Roman"/>
                      <w:bCs/>
                      <w:color w:val="auto"/>
                      <w:sz w:val="18"/>
                      <w:szCs w:val="18"/>
                    </w:rPr>
                  </w:pPr>
                  <w:r>
                    <w:rPr>
                      <w:rFonts w:hint="eastAsia" w:ascii="Times New Roman" w:hAnsi="Times New Roman"/>
                      <w:bCs/>
                      <w:color w:val="auto"/>
                      <w:sz w:val="18"/>
                      <w:szCs w:val="18"/>
                      <w:lang w:val="en-US" w:eastAsia="zh-CN"/>
                    </w:rPr>
                    <w:t>55</w:t>
                  </w:r>
                </w:p>
              </w:tc>
              <w:tc>
                <w:tcPr>
                  <w:tcW w:w="868" w:type="pct"/>
                  <w:vAlign w:val="center"/>
                </w:tcPr>
                <w:p w14:paraId="108D4013">
                  <w:pPr>
                    <w:pStyle w:val="24"/>
                    <w:jc w:val="center"/>
                    <w:rPr>
                      <w:rFonts w:hint="eastAsia" w:ascii="Times New Roman" w:hAnsi="Times New Roman" w:eastAsia="宋体"/>
                      <w:bCs/>
                      <w:color w:val="auto"/>
                      <w:sz w:val="18"/>
                      <w:szCs w:val="18"/>
                      <w:lang w:eastAsia="zh-CN"/>
                    </w:rPr>
                  </w:pPr>
                  <w:r>
                    <w:rPr>
                      <w:rFonts w:hint="eastAsia" w:ascii="Times New Roman" w:hAnsi="Times New Roman"/>
                      <w:bCs/>
                      <w:color w:val="auto"/>
                      <w:sz w:val="18"/>
                      <w:szCs w:val="18"/>
                    </w:rPr>
                    <w:t>4</w:t>
                  </w:r>
                  <w:r>
                    <w:rPr>
                      <w:rFonts w:hint="eastAsia" w:ascii="Times New Roman" w:hAnsi="Times New Roman"/>
                      <w:bCs/>
                      <w:color w:val="auto"/>
                      <w:sz w:val="18"/>
                      <w:szCs w:val="18"/>
                      <w:lang w:val="en-US" w:eastAsia="zh-CN"/>
                    </w:rPr>
                    <w:t>1</w:t>
                  </w:r>
                  <w:r>
                    <w:rPr>
                      <w:rFonts w:hint="eastAsia" w:ascii="Times New Roman" w:hAnsi="Times New Roman"/>
                      <w:bCs/>
                      <w:color w:val="auto"/>
                      <w:sz w:val="18"/>
                      <w:szCs w:val="18"/>
                    </w:rPr>
                    <w:t>.</w:t>
                  </w:r>
                  <w:r>
                    <w:rPr>
                      <w:rFonts w:hint="eastAsia" w:ascii="Times New Roman" w:hAnsi="Times New Roman"/>
                      <w:bCs/>
                      <w:color w:val="auto"/>
                      <w:sz w:val="18"/>
                      <w:szCs w:val="18"/>
                      <w:lang w:val="en-US" w:eastAsia="zh-CN"/>
                    </w:rPr>
                    <w:t>3</w:t>
                  </w:r>
                </w:p>
              </w:tc>
              <w:tc>
                <w:tcPr>
                  <w:tcW w:w="868" w:type="pct"/>
                  <w:vAlign w:val="center"/>
                </w:tcPr>
                <w:p w14:paraId="4F1A1A34">
                  <w:pPr>
                    <w:jc w:val="center"/>
                    <w:rPr>
                      <w:rFonts w:ascii="Times New Roman" w:hAnsi="Times New Roman"/>
                      <w:bCs/>
                      <w:color w:val="auto"/>
                      <w:sz w:val="18"/>
                      <w:szCs w:val="18"/>
                    </w:rPr>
                  </w:pPr>
                  <w:r>
                    <w:rPr>
                      <w:rFonts w:hint="eastAsia" w:ascii="Times New Roman" w:hAnsi="Times New Roman"/>
                      <w:bCs/>
                      <w:color w:val="auto"/>
                      <w:sz w:val="18"/>
                      <w:szCs w:val="18"/>
                      <w:lang w:val="en-US" w:eastAsia="zh-CN"/>
                    </w:rPr>
                    <w:t>45</w:t>
                  </w:r>
                </w:p>
              </w:tc>
            </w:tr>
            <w:tr w14:paraId="1F04670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61" w:type="pct"/>
                  <w:vAlign w:val="center"/>
                </w:tcPr>
                <w:p w14:paraId="035D2203">
                  <w:pPr>
                    <w:pStyle w:val="24"/>
                    <w:jc w:val="center"/>
                    <w:rPr>
                      <w:rFonts w:hint="eastAsia" w:ascii="Times New Roman" w:hAnsi="Times New Roman" w:eastAsia="宋体"/>
                      <w:bCs/>
                      <w:color w:val="auto"/>
                      <w:sz w:val="18"/>
                      <w:szCs w:val="18"/>
                      <w:lang w:val="en-US" w:eastAsia="zh-CN"/>
                    </w:rPr>
                  </w:pPr>
                  <w:r>
                    <w:rPr>
                      <w:rFonts w:hint="eastAsia" w:ascii="Times New Roman" w:hAnsi="Times New Roman"/>
                      <w:bCs/>
                      <w:color w:val="auto"/>
                      <w:sz w:val="18"/>
                      <w:szCs w:val="18"/>
                      <w:lang w:val="en-US" w:eastAsia="zh-CN"/>
                    </w:rPr>
                    <w:t>5</w:t>
                  </w:r>
                </w:p>
              </w:tc>
              <w:tc>
                <w:tcPr>
                  <w:tcW w:w="868" w:type="pct"/>
                  <w:vAlign w:val="center"/>
                </w:tcPr>
                <w:p w14:paraId="321EF652">
                  <w:pPr>
                    <w:jc w:val="center"/>
                    <w:rPr>
                      <w:rFonts w:hint="default" w:eastAsia="宋体"/>
                      <w:bCs/>
                      <w:color w:val="auto"/>
                      <w:sz w:val="18"/>
                      <w:szCs w:val="18"/>
                      <w:lang w:val="en-US" w:eastAsia="zh-CN"/>
                    </w:rPr>
                  </w:pPr>
                  <w:r>
                    <w:rPr>
                      <w:rFonts w:hint="eastAsia"/>
                      <w:bCs/>
                      <w:color w:val="auto"/>
                      <w:sz w:val="18"/>
                      <w:szCs w:val="18"/>
                      <w:lang w:val="en-US" w:eastAsia="zh-CN"/>
                    </w:rPr>
                    <w:t>御东观澜湾2#楼北侧</w:t>
                  </w:r>
                </w:p>
              </w:tc>
              <w:tc>
                <w:tcPr>
                  <w:tcW w:w="868" w:type="pct"/>
                  <w:vAlign w:val="center"/>
                </w:tcPr>
                <w:p w14:paraId="733817E1">
                  <w:pPr>
                    <w:pStyle w:val="24"/>
                    <w:jc w:val="center"/>
                    <w:rPr>
                      <w:rFonts w:hint="default" w:ascii="Times New Roman" w:hAnsi="Times New Roman" w:eastAsia="宋体"/>
                      <w:bCs/>
                      <w:color w:val="auto"/>
                      <w:sz w:val="18"/>
                      <w:szCs w:val="18"/>
                      <w:lang w:val="en-US" w:eastAsia="zh-CN"/>
                    </w:rPr>
                  </w:pPr>
                  <w:r>
                    <w:rPr>
                      <w:rFonts w:hint="eastAsia" w:ascii="Times New Roman" w:hAnsi="Times New Roman"/>
                      <w:bCs/>
                      <w:color w:val="auto"/>
                      <w:sz w:val="18"/>
                      <w:szCs w:val="18"/>
                      <w:lang w:val="en-US" w:eastAsia="zh-CN"/>
                    </w:rPr>
                    <w:t>51.9</w:t>
                  </w:r>
                </w:p>
              </w:tc>
              <w:tc>
                <w:tcPr>
                  <w:tcW w:w="868" w:type="pct"/>
                  <w:vAlign w:val="center"/>
                </w:tcPr>
                <w:p w14:paraId="63E7A50F">
                  <w:pPr>
                    <w:jc w:val="center"/>
                    <w:rPr>
                      <w:rFonts w:hint="default" w:ascii="Times New Roman" w:hAnsi="Times New Roman" w:eastAsia="宋体"/>
                      <w:bCs/>
                      <w:color w:val="auto"/>
                      <w:sz w:val="18"/>
                      <w:szCs w:val="18"/>
                      <w:lang w:val="en-US" w:eastAsia="zh-CN"/>
                    </w:rPr>
                  </w:pPr>
                  <w:r>
                    <w:rPr>
                      <w:rFonts w:hint="eastAsia" w:ascii="Times New Roman" w:hAnsi="Times New Roman"/>
                      <w:bCs/>
                      <w:color w:val="auto"/>
                      <w:sz w:val="18"/>
                      <w:szCs w:val="18"/>
                      <w:lang w:val="en-US" w:eastAsia="zh-CN"/>
                    </w:rPr>
                    <w:t>55</w:t>
                  </w:r>
                </w:p>
              </w:tc>
              <w:tc>
                <w:tcPr>
                  <w:tcW w:w="868" w:type="pct"/>
                  <w:vAlign w:val="center"/>
                </w:tcPr>
                <w:p w14:paraId="3BE366C9">
                  <w:pPr>
                    <w:pStyle w:val="24"/>
                    <w:jc w:val="center"/>
                    <w:rPr>
                      <w:rFonts w:hint="default" w:ascii="Times New Roman" w:hAnsi="Times New Roman" w:eastAsia="宋体"/>
                      <w:bCs/>
                      <w:color w:val="auto"/>
                      <w:sz w:val="18"/>
                      <w:szCs w:val="18"/>
                      <w:lang w:val="en-US" w:eastAsia="zh-CN"/>
                    </w:rPr>
                  </w:pPr>
                  <w:r>
                    <w:rPr>
                      <w:rFonts w:hint="eastAsia" w:ascii="Times New Roman" w:hAnsi="Times New Roman"/>
                      <w:bCs/>
                      <w:color w:val="auto"/>
                      <w:sz w:val="18"/>
                      <w:szCs w:val="18"/>
                      <w:lang w:val="en-US" w:eastAsia="zh-CN"/>
                    </w:rPr>
                    <w:t>41.5</w:t>
                  </w:r>
                </w:p>
              </w:tc>
              <w:tc>
                <w:tcPr>
                  <w:tcW w:w="868" w:type="pct"/>
                  <w:vAlign w:val="center"/>
                </w:tcPr>
                <w:p w14:paraId="05AFCC41">
                  <w:pPr>
                    <w:jc w:val="center"/>
                    <w:rPr>
                      <w:rFonts w:hint="eastAsia" w:ascii="Times New Roman" w:hAnsi="Times New Roman"/>
                      <w:bCs/>
                      <w:color w:val="auto"/>
                      <w:sz w:val="18"/>
                      <w:szCs w:val="18"/>
                    </w:rPr>
                  </w:pPr>
                  <w:r>
                    <w:rPr>
                      <w:rFonts w:hint="eastAsia" w:ascii="Times New Roman" w:hAnsi="Times New Roman"/>
                      <w:bCs/>
                      <w:color w:val="auto"/>
                      <w:sz w:val="18"/>
                      <w:szCs w:val="18"/>
                      <w:lang w:val="en-US" w:eastAsia="zh-CN"/>
                    </w:rPr>
                    <w:t>45</w:t>
                  </w:r>
                </w:p>
              </w:tc>
            </w:tr>
          </w:tbl>
          <w:p w14:paraId="18C74F7F">
            <w:pPr>
              <w:spacing w:line="360" w:lineRule="auto"/>
              <w:ind w:firstLine="420" w:firstLineChars="200"/>
              <w:rPr>
                <w:color w:val="auto"/>
                <w:szCs w:val="21"/>
              </w:rPr>
            </w:pPr>
            <w:r>
              <w:rPr>
                <w:color w:val="auto"/>
                <w:szCs w:val="21"/>
              </w:rPr>
              <w:t>由表</w:t>
            </w:r>
            <w:r>
              <w:rPr>
                <w:rFonts w:hint="eastAsia"/>
                <w:color w:val="auto"/>
                <w:szCs w:val="21"/>
              </w:rPr>
              <w:t>4-</w:t>
            </w:r>
            <w:r>
              <w:rPr>
                <w:rFonts w:hint="eastAsia"/>
                <w:color w:val="auto"/>
                <w:szCs w:val="21"/>
                <w:lang w:val="en-US" w:eastAsia="zh-CN"/>
              </w:rPr>
              <w:t>9</w:t>
            </w:r>
            <w:r>
              <w:rPr>
                <w:color w:val="auto"/>
                <w:szCs w:val="21"/>
              </w:rPr>
              <w:t>可看出，项目</w:t>
            </w:r>
            <w:r>
              <w:rPr>
                <w:rFonts w:hint="eastAsia"/>
                <w:color w:val="auto"/>
                <w:szCs w:val="21"/>
                <w:lang w:val="en-US" w:eastAsia="zh-CN"/>
              </w:rPr>
              <w:t>北侧、南侧以及场址南侧外55m处，</w:t>
            </w:r>
            <w:r>
              <w:rPr>
                <w:rFonts w:hint="eastAsia"/>
                <w:color w:val="auto"/>
                <w:szCs w:val="21"/>
              </w:rPr>
              <w:t>昼夜</w:t>
            </w:r>
            <w:r>
              <w:rPr>
                <w:rFonts w:hint="eastAsia"/>
                <w:color w:val="auto"/>
                <w:szCs w:val="21"/>
                <w:lang w:val="en-US" w:eastAsia="zh-CN"/>
              </w:rPr>
              <w:t>场</w:t>
            </w:r>
            <w:r>
              <w:rPr>
                <w:color w:val="auto"/>
                <w:szCs w:val="21"/>
              </w:rPr>
              <w:t>界噪声未超过《工业企业厂界环境噪声排放标准》（GB12348-2008）中</w:t>
            </w:r>
            <w:r>
              <w:rPr>
                <w:rFonts w:hint="eastAsia"/>
                <w:color w:val="auto"/>
                <w:szCs w:val="21"/>
                <w:lang w:val="en-US" w:eastAsia="zh-CN"/>
              </w:rPr>
              <w:t>1</w:t>
            </w:r>
            <w:r>
              <w:rPr>
                <w:color w:val="auto"/>
                <w:szCs w:val="21"/>
              </w:rPr>
              <w:t>类标准限值要求</w:t>
            </w:r>
            <w:r>
              <w:rPr>
                <w:rFonts w:hint="eastAsia"/>
                <w:color w:val="auto"/>
                <w:szCs w:val="21"/>
              </w:rPr>
              <w:t>，</w:t>
            </w:r>
            <w:r>
              <w:rPr>
                <w:rFonts w:hint="eastAsia"/>
                <w:color w:val="auto"/>
                <w:szCs w:val="21"/>
                <w:lang w:val="en-US" w:eastAsia="zh-CN"/>
              </w:rPr>
              <w:t>场</w:t>
            </w:r>
            <w:r>
              <w:rPr>
                <w:color w:val="auto"/>
                <w:szCs w:val="21"/>
              </w:rPr>
              <w:t>界噪声能够达标排放</w:t>
            </w:r>
            <w:r>
              <w:rPr>
                <w:rFonts w:hint="eastAsia"/>
                <w:color w:val="auto"/>
                <w:szCs w:val="21"/>
              </w:rPr>
              <w:t>；同时经调查，项目四周50m范围内无声环境敏感目标，</w:t>
            </w:r>
            <w:r>
              <w:rPr>
                <w:rFonts w:hint="eastAsia"/>
                <w:color w:val="auto"/>
                <w:szCs w:val="21"/>
                <w:lang w:val="en-US" w:eastAsia="zh-CN"/>
              </w:rPr>
              <w:t>距离最近的场地南侧55m处的御东观澜湾2#楼北侧预测值未超过</w:t>
            </w:r>
            <w:r>
              <w:rPr>
                <w:color w:val="auto"/>
                <w:szCs w:val="21"/>
              </w:rPr>
              <w:t>《工业企业厂界环境噪声排放标准》（GB12348-2008）中</w:t>
            </w:r>
            <w:r>
              <w:rPr>
                <w:rFonts w:hint="eastAsia"/>
                <w:color w:val="auto"/>
                <w:szCs w:val="21"/>
                <w:lang w:val="en-US" w:eastAsia="zh-CN"/>
              </w:rPr>
              <w:t>1</w:t>
            </w:r>
            <w:r>
              <w:rPr>
                <w:color w:val="auto"/>
                <w:szCs w:val="21"/>
              </w:rPr>
              <w:t>类标准限值要求</w:t>
            </w:r>
            <w:r>
              <w:rPr>
                <w:rFonts w:hint="eastAsia"/>
                <w:color w:val="auto"/>
                <w:szCs w:val="21"/>
                <w:lang w:eastAsia="zh-CN"/>
              </w:rPr>
              <w:t>，</w:t>
            </w:r>
            <w:r>
              <w:rPr>
                <w:rFonts w:hint="eastAsia"/>
                <w:color w:val="auto"/>
                <w:szCs w:val="21"/>
              </w:rPr>
              <w:t>因此项目对</w:t>
            </w:r>
            <w:r>
              <w:rPr>
                <w:color w:val="auto"/>
                <w:szCs w:val="21"/>
              </w:rPr>
              <w:t>声</w:t>
            </w:r>
            <w:r>
              <w:rPr>
                <w:bCs/>
                <w:color w:val="auto"/>
                <w:szCs w:val="21"/>
              </w:rPr>
              <w:t>环境影响</w:t>
            </w:r>
            <w:r>
              <w:rPr>
                <w:rFonts w:hint="eastAsia"/>
                <w:bCs/>
                <w:color w:val="auto"/>
                <w:szCs w:val="21"/>
              </w:rPr>
              <w:t>较</w:t>
            </w:r>
            <w:r>
              <w:rPr>
                <w:color w:val="auto"/>
                <w:szCs w:val="21"/>
              </w:rPr>
              <w:t>小。</w:t>
            </w:r>
          </w:p>
          <w:p w14:paraId="2747E1B4">
            <w:pPr>
              <w:spacing w:line="360" w:lineRule="auto"/>
              <w:ind w:firstLine="413" w:firstLineChars="196"/>
              <w:rPr>
                <w:b/>
                <w:color w:val="auto"/>
                <w:szCs w:val="21"/>
              </w:rPr>
            </w:pPr>
            <w:r>
              <w:rPr>
                <w:rFonts w:hint="eastAsia"/>
                <w:b/>
                <w:color w:val="auto"/>
                <w:szCs w:val="21"/>
                <w:lang w:val="en-US" w:eastAsia="zh-CN"/>
              </w:rPr>
              <w:t>4.</w:t>
            </w:r>
            <w:r>
              <w:rPr>
                <w:b/>
                <w:color w:val="auto"/>
                <w:szCs w:val="21"/>
              </w:rPr>
              <w:t>4、固体废物</w:t>
            </w:r>
          </w:p>
          <w:p w14:paraId="72205B56">
            <w:pPr>
              <w:widowControl/>
              <w:snapToGrid w:val="0"/>
              <w:spacing w:line="360" w:lineRule="auto"/>
              <w:ind w:firstLine="420" w:firstLineChars="200"/>
              <w:rPr>
                <w:rFonts w:hint="eastAsia"/>
                <w:bCs/>
                <w:color w:val="auto"/>
                <w:szCs w:val="21"/>
                <w:lang w:val="en-US" w:eastAsia="zh-CN"/>
              </w:rPr>
            </w:pPr>
            <w:r>
              <w:rPr>
                <w:rFonts w:hint="eastAsia"/>
                <w:bCs/>
                <w:color w:val="auto"/>
                <w:szCs w:val="21"/>
                <w:lang w:val="en-US" w:eastAsia="zh-CN"/>
              </w:rPr>
              <w:t>本项目营运期固体废物主要包括医疗垃圾、污水处理产生的污泥以及生活垃圾等。其中医疗垃圾、污水处理产生的污泥属于危险废物。</w:t>
            </w:r>
          </w:p>
          <w:p w14:paraId="6803F6DA">
            <w:pPr>
              <w:spacing w:line="360" w:lineRule="auto"/>
              <w:ind w:firstLine="420" w:firstLineChars="200"/>
              <w:rPr>
                <w:rFonts w:hint="eastAsia"/>
                <w:bCs/>
                <w:color w:val="auto"/>
                <w:szCs w:val="21"/>
                <w:lang w:val="en-US" w:eastAsia="zh-CN"/>
              </w:rPr>
            </w:pPr>
            <w:r>
              <w:rPr>
                <w:rFonts w:hint="eastAsia"/>
                <w:bCs/>
                <w:color w:val="auto"/>
                <w:szCs w:val="21"/>
                <w:lang w:val="en-US" w:eastAsia="zh-CN"/>
              </w:rPr>
              <w:t>（</w:t>
            </w:r>
            <w:r>
              <w:rPr>
                <w:rFonts w:hint="default"/>
                <w:bCs/>
                <w:color w:val="auto"/>
                <w:szCs w:val="21"/>
                <w:lang w:val="en-US" w:eastAsia="zh-CN"/>
              </w:rPr>
              <w:t>1</w:t>
            </w:r>
            <w:r>
              <w:rPr>
                <w:rFonts w:hint="eastAsia"/>
                <w:bCs/>
                <w:color w:val="auto"/>
                <w:szCs w:val="21"/>
                <w:lang w:val="en-US" w:eastAsia="zh-CN"/>
              </w:rPr>
              <w:t xml:space="preserve">）固体废物来源及产生量 </w:t>
            </w:r>
          </w:p>
          <w:p w14:paraId="491B0265">
            <w:pPr>
              <w:spacing w:line="360" w:lineRule="auto"/>
              <w:ind w:firstLine="420" w:firstLineChars="200"/>
              <w:rPr>
                <w:rFonts w:hint="eastAsia"/>
                <w:bCs/>
                <w:color w:val="auto"/>
                <w:szCs w:val="21"/>
                <w:lang w:val="en-US" w:eastAsia="zh-CN"/>
              </w:rPr>
            </w:pPr>
            <w:r>
              <w:rPr>
                <w:rFonts w:hint="eastAsia"/>
                <w:bCs/>
                <w:color w:val="auto"/>
                <w:szCs w:val="21"/>
                <w:lang w:val="en-US" w:eastAsia="zh-CN"/>
              </w:rPr>
              <w:t xml:space="preserve">①医疗垃圾 </w:t>
            </w:r>
          </w:p>
          <w:p w14:paraId="7E46F2B1">
            <w:pPr>
              <w:spacing w:line="360" w:lineRule="auto"/>
              <w:ind w:firstLine="420" w:firstLineChars="200"/>
              <w:rPr>
                <w:rFonts w:hint="eastAsia"/>
                <w:bCs/>
                <w:color w:val="auto"/>
                <w:szCs w:val="21"/>
                <w:lang w:val="en-US" w:eastAsia="zh-CN"/>
              </w:rPr>
            </w:pPr>
            <w:r>
              <w:rPr>
                <w:rFonts w:hint="eastAsia"/>
                <w:bCs/>
                <w:color w:val="auto"/>
                <w:szCs w:val="21"/>
                <w:lang w:val="en-US" w:eastAsia="zh-CN"/>
              </w:rPr>
              <w:t>根据《国家危险废物名录》（</w:t>
            </w:r>
            <w:r>
              <w:rPr>
                <w:rFonts w:hint="default"/>
                <w:bCs/>
                <w:color w:val="auto"/>
                <w:szCs w:val="21"/>
                <w:lang w:val="en-US" w:eastAsia="zh-CN"/>
              </w:rPr>
              <w:t>2021</w:t>
            </w:r>
            <w:r>
              <w:rPr>
                <w:rFonts w:hint="eastAsia"/>
                <w:bCs/>
                <w:color w:val="auto"/>
                <w:szCs w:val="21"/>
                <w:lang w:val="en-US" w:eastAsia="zh-CN"/>
              </w:rPr>
              <w:t>年版）中规定，医疗垃圾属于危险废物，危废类别为</w:t>
            </w:r>
            <w:r>
              <w:rPr>
                <w:rFonts w:hint="default"/>
                <w:bCs/>
                <w:color w:val="auto"/>
                <w:szCs w:val="21"/>
                <w:lang w:val="en-US" w:eastAsia="zh-CN"/>
              </w:rPr>
              <w:t>HW01</w:t>
            </w:r>
            <w:r>
              <w:rPr>
                <w:rFonts w:hint="eastAsia"/>
                <w:bCs/>
                <w:color w:val="auto"/>
                <w:szCs w:val="21"/>
                <w:lang w:val="en-US" w:eastAsia="zh-CN"/>
              </w:rPr>
              <w:t>。医疗废物可分为感染性废物，病理性废物，损伤性废物，药物性废物，化学性废物五类。根据《医疗废物分类名录》（卫医发</w:t>
            </w:r>
            <w:r>
              <w:rPr>
                <w:rFonts w:hint="default"/>
                <w:bCs/>
                <w:color w:val="auto"/>
                <w:szCs w:val="21"/>
                <w:lang w:val="en-US" w:eastAsia="zh-CN"/>
              </w:rPr>
              <w:t>[2003]287</w:t>
            </w:r>
            <w:r>
              <w:rPr>
                <w:rFonts w:hint="eastAsia"/>
                <w:bCs/>
                <w:color w:val="auto"/>
                <w:szCs w:val="21"/>
                <w:lang w:val="en-US" w:eastAsia="zh-CN"/>
              </w:rPr>
              <w:t>号）确定本项目运营期医疗废物主要来自住院病房、医院门诊、药房、手术室、检验科等部门。参考《第一次全国污染源普查—城镇生活源产排污系数手册》，并类比同类医院，项目住院病人医疗废物的产生量为</w:t>
            </w:r>
            <w:r>
              <w:rPr>
                <w:rFonts w:hint="default"/>
                <w:bCs/>
                <w:color w:val="auto"/>
                <w:szCs w:val="21"/>
                <w:lang w:val="en-US" w:eastAsia="zh-CN"/>
              </w:rPr>
              <w:t>0.5kg/</w:t>
            </w:r>
            <w:r>
              <w:rPr>
                <w:rFonts w:hint="eastAsia"/>
                <w:bCs/>
                <w:color w:val="auto"/>
                <w:szCs w:val="21"/>
                <w:lang w:val="en-US" w:eastAsia="zh-CN"/>
              </w:rPr>
              <w:t>床</w:t>
            </w:r>
            <w:r>
              <w:rPr>
                <w:rFonts w:hint="default"/>
                <w:bCs/>
                <w:color w:val="auto"/>
                <w:szCs w:val="21"/>
                <w:lang w:val="en-US" w:eastAsia="zh-CN"/>
              </w:rPr>
              <w:t>·d</w:t>
            </w:r>
            <w:r>
              <w:rPr>
                <w:rFonts w:hint="eastAsia"/>
                <w:bCs/>
                <w:color w:val="auto"/>
                <w:szCs w:val="21"/>
                <w:lang w:val="en-US" w:eastAsia="zh-CN"/>
              </w:rPr>
              <w:t>，门诊病人医疗废物产生量按</w:t>
            </w:r>
            <w:r>
              <w:rPr>
                <w:rFonts w:hint="default"/>
                <w:bCs/>
                <w:color w:val="auto"/>
                <w:szCs w:val="21"/>
                <w:lang w:val="en-US" w:eastAsia="zh-CN"/>
              </w:rPr>
              <w:t>0.1kg/</w:t>
            </w:r>
            <w:r>
              <w:rPr>
                <w:rFonts w:hint="eastAsia"/>
                <w:bCs/>
                <w:color w:val="auto"/>
                <w:szCs w:val="21"/>
                <w:lang w:val="en-US" w:eastAsia="zh-CN"/>
              </w:rPr>
              <w:t>人计，本项目全院共设472张床位，日接待门诊</w:t>
            </w:r>
            <w:r>
              <w:rPr>
                <w:rFonts w:hint="default"/>
                <w:bCs/>
                <w:color w:val="auto"/>
                <w:szCs w:val="21"/>
                <w:lang w:val="en-US" w:eastAsia="zh-CN"/>
              </w:rPr>
              <w:t>200</w:t>
            </w:r>
            <w:r>
              <w:rPr>
                <w:rFonts w:hint="eastAsia"/>
                <w:bCs/>
                <w:color w:val="auto"/>
                <w:szCs w:val="21"/>
                <w:lang w:val="en-US" w:eastAsia="zh-CN"/>
              </w:rPr>
              <w:t>人，则全年医疗废物产生量约93.44</w:t>
            </w:r>
            <w:r>
              <w:rPr>
                <w:rFonts w:hint="default"/>
                <w:bCs/>
                <w:color w:val="auto"/>
                <w:szCs w:val="21"/>
                <w:lang w:val="en-US" w:eastAsia="zh-CN"/>
              </w:rPr>
              <w:t>t/a</w:t>
            </w:r>
            <w:r>
              <w:rPr>
                <w:rFonts w:hint="eastAsia"/>
                <w:bCs/>
                <w:color w:val="auto"/>
                <w:szCs w:val="21"/>
                <w:lang w:val="en-US" w:eastAsia="zh-CN"/>
              </w:rPr>
              <w:t xml:space="preserve">。 </w:t>
            </w:r>
          </w:p>
          <w:p w14:paraId="5AA8CC82">
            <w:pPr>
              <w:spacing w:line="360" w:lineRule="auto"/>
              <w:ind w:firstLine="420" w:firstLineChars="200"/>
              <w:rPr>
                <w:rFonts w:hint="eastAsia"/>
                <w:bCs/>
                <w:color w:val="auto"/>
                <w:szCs w:val="21"/>
                <w:lang w:val="en-US" w:eastAsia="zh-CN"/>
              </w:rPr>
            </w:pPr>
            <w:r>
              <w:rPr>
                <w:rFonts w:hint="eastAsia"/>
                <w:bCs/>
                <w:color w:val="auto"/>
                <w:szCs w:val="21"/>
                <w:lang w:val="en-US" w:eastAsia="zh-CN"/>
              </w:rPr>
              <w:t>根据《国家危险废物名录》（</w:t>
            </w:r>
            <w:r>
              <w:rPr>
                <w:rFonts w:hint="default"/>
                <w:bCs/>
                <w:color w:val="auto"/>
                <w:szCs w:val="21"/>
                <w:lang w:val="en-US" w:eastAsia="zh-CN"/>
              </w:rPr>
              <w:t xml:space="preserve">2021 </w:t>
            </w:r>
            <w:r>
              <w:rPr>
                <w:rFonts w:hint="eastAsia"/>
                <w:bCs/>
                <w:color w:val="auto"/>
                <w:szCs w:val="21"/>
                <w:lang w:val="en-US" w:eastAsia="zh-CN"/>
              </w:rPr>
              <w:t xml:space="preserve">年版），医疗废物属危险废物，废物类别为 </w:t>
            </w:r>
            <w:r>
              <w:rPr>
                <w:rFonts w:hint="default"/>
                <w:bCs/>
                <w:color w:val="auto"/>
                <w:szCs w:val="21"/>
                <w:lang w:val="en-US" w:eastAsia="zh-CN"/>
              </w:rPr>
              <w:t>HW01</w:t>
            </w:r>
            <w:r>
              <w:rPr>
                <w:rFonts w:hint="eastAsia"/>
                <w:bCs/>
                <w:color w:val="auto"/>
                <w:szCs w:val="21"/>
                <w:lang w:val="en-US" w:eastAsia="zh-CN"/>
              </w:rPr>
              <w:t xml:space="preserve">，应按规定分类收集至相应容器暂存于医疗废物贮存库定期交由有资质单位处理。 </w:t>
            </w:r>
          </w:p>
          <w:p w14:paraId="2A9BFE5E">
            <w:pPr>
              <w:spacing w:line="360" w:lineRule="auto"/>
              <w:ind w:firstLine="420" w:firstLineChars="200"/>
              <w:rPr>
                <w:rFonts w:hint="eastAsia"/>
                <w:bCs/>
                <w:color w:val="auto"/>
                <w:szCs w:val="21"/>
                <w:lang w:val="en-US" w:eastAsia="zh-CN"/>
              </w:rPr>
            </w:pPr>
            <w:r>
              <w:rPr>
                <w:rFonts w:hint="eastAsia"/>
                <w:bCs/>
                <w:color w:val="auto"/>
                <w:szCs w:val="21"/>
                <w:lang w:val="en-US" w:eastAsia="zh-CN"/>
              </w:rPr>
              <w:t>②污水处理产生的污泥：类比同类项目，本项目污水处理污泥产生量约为</w:t>
            </w:r>
            <w:r>
              <w:rPr>
                <w:rFonts w:hint="default"/>
                <w:bCs/>
                <w:color w:val="auto"/>
                <w:szCs w:val="21"/>
                <w:lang w:val="en-US" w:eastAsia="zh-CN"/>
              </w:rPr>
              <w:t>10t/a</w:t>
            </w:r>
            <w:r>
              <w:rPr>
                <w:rFonts w:hint="eastAsia"/>
                <w:bCs/>
                <w:color w:val="auto"/>
                <w:szCs w:val="21"/>
                <w:lang w:val="en-US" w:eastAsia="zh-CN"/>
              </w:rPr>
              <w:t>。参考《医疗废物分类名录》（国卫医函</w:t>
            </w:r>
            <w:r>
              <w:rPr>
                <w:rFonts w:hint="default"/>
                <w:bCs/>
                <w:color w:val="auto"/>
                <w:szCs w:val="21"/>
                <w:lang w:val="en-US" w:eastAsia="zh-CN"/>
              </w:rPr>
              <w:t xml:space="preserve">[2021]238 </w:t>
            </w:r>
            <w:r>
              <w:rPr>
                <w:rFonts w:hint="eastAsia"/>
                <w:bCs/>
                <w:color w:val="auto"/>
                <w:szCs w:val="21"/>
                <w:lang w:val="en-US" w:eastAsia="zh-CN"/>
              </w:rPr>
              <w:t xml:space="preserve">号）中“感染性废物”中列有“其他被病人血液、体液、排泄物污染的物品”，医疗机构污水处理过程中产生的污泥应列入此类，废物类别均为 </w:t>
            </w:r>
            <w:r>
              <w:rPr>
                <w:rFonts w:hint="default"/>
                <w:bCs/>
                <w:color w:val="auto"/>
                <w:szCs w:val="21"/>
                <w:lang w:val="en-US" w:eastAsia="zh-CN"/>
              </w:rPr>
              <w:t>HW01</w:t>
            </w:r>
            <w:r>
              <w:rPr>
                <w:rFonts w:hint="eastAsia"/>
                <w:bCs/>
                <w:color w:val="auto"/>
                <w:szCs w:val="21"/>
                <w:lang w:val="en-US" w:eastAsia="zh-CN"/>
              </w:rPr>
              <w:t xml:space="preserve">，危废代码 </w:t>
            </w:r>
            <w:r>
              <w:rPr>
                <w:rFonts w:hint="default"/>
                <w:bCs/>
                <w:color w:val="auto"/>
                <w:szCs w:val="21"/>
                <w:lang w:val="en-US" w:eastAsia="zh-CN"/>
              </w:rPr>
              <w:t>841-001-01</w:t>
            </w:r>
            <w:r>
              <w:rPr>
                <w:rFonts w:hint="eastAsia"/>
                <w:bCs/>
                <w:color w:val="auto"/>
                <w:szCs w:val="21"/>
                <w:lang w:val="en-US" w:eastAsia="zh-CN"/>
              </w:rPr>
              <w:t xml:space="preserve">。 </w:t>
            </w:r>
          </w:p>
          <w:p w14:paraId="79F8063A">
            <w:pPr>
              <w:spacing w:line="360" w:lineRule="auto"/>
              <w:ind w:firstLine="420" w:firstLineChars="200"/>
              <w:rPr>
                <w:rFonts w:hint="eastAsia"/>
                <w:bCs/>
                <w:color w:val="auto"/>
                <w:szCs w:val="21"/>
                <w:lang w:val="en-US" w:eastAsia="zh-CN"/>
              </w:rPr>
            </w:pPr>
            <w:r>
              <w:rPr>
                <w:rFonts w:hint="eastAsia"/>
                <w:bCs/>
                <w:color w:val="auto"/>
                <w:szCs w:val="21"/>
                <w:lang w:val="en-US" w:eastAsia="zh-CN"/>
              </w:rPr>
              <w:t>③生活垃圾：本项目共有</w:t>
            </w:r>
            <w:r>
              <w:rPr>
                <w:rFonts w:hint="default"/>
                <w:bCs/>
                <w:color w:val="auto"/>
                <w:szCs w:val="21"/>
                <w:lang w:val="en-US" w:eastAsia="zh-CN"/>
              </w:rPr>
              <w:t>100</w:t>
            </w:r>
            <w:r>
              <w:rPr>
                <w:rFonts w:hint="eastAsia"/>
                <w:bCs/>
                <w:color w:val="auto"/>
                <w:szCs w:val="21"/>
                <w:lang w:val="en-US" w:eastAsia="zh-CN"/>
              </w:rPr>
              <w:t>人，每人每天产生垃圾以</w:t>
            </w:r>
            <w:r>
              <w:rPr>
                <w:rFonts w:hint="default"/>
                <w:bCs/>
                <w:color w:val="auto"/>
                <w:szCs w:val="21"/>
                <w:lang w:val="en-US" w:eastAsia="zh-CN"/>
              </w:rPr>
              <w:t xml:space="preserve">0.5kg </w:t>
            </w:r>
            <w:r>
              <w:rPr>
                <w:rFonts w:hint="eastAsia"/>
                <w:bCs/>
                <w:color w:val="auto"/>
                <w:szCs w:val="21"/>
                <w:lang w:val="en-US" w:eastAsia="zh-CN"/>
              </w:rPr>
              <w:t>计，则共产生生活垃圾</w:t>
            </w:r>
            <w:r>
              <w:rPr>
                <w:rFonts w:hint="default"/>
                <w:bCs/>
                <w:color w:val="auto"/>
                <w:szCs w:val="21"/>
                <w:lang w:val="en-US" w:eastAsia="zh-CN"/>
              </w:rPr>
              <w:t>18.25t/a</w:t>
            </w:r>
            <w:r>
              <w:rPr>
                <w:rFonts w:hint="eastAsia"/>
                <w:bCs/>
                <w:color w:val="auto"/>
                <w:szCs w:val="21"/>
                <w:lang w:val="en-US" w:eastAsia="zh-CN"/>
              </w:rPr>
              <w:t xml:space="preserve">。 </w:t>
            </w:r>
          </w:p>
          <w:p w14:paraId="3F351769">
            <w:pPr>
              <w:spacing w:line="360" w:lineRule="auto"/>
              <w:ind w:firstLine="420" w:firstLineChars="200"/>
              <w:rPr>
                <w:rFonts w:hint="eastAsia"/>
                <w:bCs/>
                <w:color w:val="auto"/>
                <w:szCs w:val="21"/>
                <w:lang w:val="en-US" w:eastAsia="zh-CN"/>
              </w:rPr>
            </w:pPr>
            <w:r>
              <w:rPr>
                <w:rFonts w:hint="eastAsia"/>
                <w:bCs/>
                <w:color w:val="auto"/>
                <w:szCs w:val="21"/>
                <w:lang w:val="en-US" w:eastAsia="zh-CN"/>
              </w:rPr>
              <w:t>（</w:t>
            </w:r>
            <w:r>
              <w:rPr>
                <w:rFonts w:hint="default"/>
                <w:bCs/>
                <w:color w:val="auto"/>
                <w:szCs w:val="21"/>
                <w:lang w:val="en-US" w:eastAsia="zh-CN"/>
              </w:rPr>
              <w:t>2</w:t>
            </w:r>
            <w:r>
              <w:rPr>
                <w:rFonts w:hint="eastAsia"/>
                <w:bCs/>
                <w:color w:val="auto"/>
                <w:szCs w:val="21"/>
                <w:lang w:val="en-US" w:eastAsia="zh-CN"/>
              </w:rPr>
              <w:t xml:space="preserve">）固体废物处理方式及去向 </w:t>
            </w:r>
          </w:p>
          <w:p w14:paraId="00848910">
            <w:pPr>
              <w:spacing w:line="360" w:lineRule="auto"/>
              <w:ind w:firstLine="420" w:firstLineChars="200"/>
              <w:rPr>
                <w:rFonts w:hint="eastAsia"/>
                <w:bCs/>
                <w:color w:val="auto"/>
                <w:szCs w:val="21"/>
                <w:lang w:val="en-US" w:eastAsia="zh-CN"/>
              </w:rPr>
            </w:pPr>
            <w:r>
              <w:rPr>
                <w:rFonts w:hint="eastAsia"/>
                <w:bCs/>
                <w:color w:val="auto"/>
                <w:szCs w:val="21"/>
                <w:lang w:val="en-US" w:eastAsia="zh-CN"/>
              </w:rPr>
              <w:t xml:space="preserve">①危险废物 </w:t>
            </w:r>
          </w:p>
          <w:p w14:paraId="59C55E0F">
            <w:pPr>
              <w:spacing w:line="360" w:lineRule="auto"/>
              <w:ind w:firstLine="420" w:firstLineChars="200"/>
              <w:rPr>
                <w:rFonts w:hint="eastAsia"/>
                <w:bCs/>
                <w:color w:val="auto"/>
                <w:szCs w:val="21"/>
                <w:lang w:val="en-US" w:eastAsia="zh-CN"/>
              </w:rPr>
            </w:pPr>
            <w:r>
              <w:rPr>
                <w:rFonts w:hint="eastAsia"/>
                <w:bCs/>
                <w:color w:val="auto"/>
                <w:szCs w:val="21"/>
                <w:lang w:val="en-US" w:eastAsia="zh-CN"/>
              </w:rPr>
              <w:t>营运期项目产生的医疗垃圾、污水处理产生的栅渣及污泥等为危险废物。项目设置</w:t>
            </w:r>
            <w:r>
              <w:rPr>
                <w:rFonts w:hint="default"/>
                <w:bCs/>
                <w:color w:val="auto"/>
                <w:szCs w:val="21"/>
                <w:lang w:val="en-US" w:eastAsia="zh-CN"/>
              </w:rPr>
              <w:t xml:space="preserve">1 </w:t>
            </w:r>
            <w:r>
              <w:rPr>
                <w:rFonts w:hint="eastAsia"/>
                <w:bCs/>
                <w:color w:val="auto"/>
                <w:szCs w:val="21"/>
                <w:lang w:val="en-US" w:eastAsia="zh-CN"/>
              </w:rPr>
              <w:t>座医疗废物贮存库，建筑面积 2</w:t>
            </w:r>
            <w:r>
              <w:rPr>
                <w:rFonts w:hint="default"/>
                <w:bCs/>
                <w:color w:val="auto"/>
                <w:szCs w:val="21"/>
                <w:lang w:val="en-US" w:eastAsia="zh-CN"/>
              </w:rPr>
              <w:t>0m</w:t>
            </w:r>
            <w:r>
              <w:rPr>
                <w:rFonts w:hint="default"/>
                <w:bCs/>
                <w:color w:val="auto"/>
                <w:szCs w:val="21"/>
                <w:vertAlign w:val="superscript"/>
                <w:lang w:val="en-US" w:eastAsia="zh-CN"/>
              </w:rPr>
              <w:t>2</w:t>
            </w:r>
            <w:r>
              <w:rPr>
                <w:rFonts w:hint="eastAsia"/>
                <w:bCs/>
                <w:color w:val="auto"/>
                <w:szCs w:val="21"/>
                <w:lang w:val="en-US" w:eastAsia="zh-CN"/>
              </w:rPr>
              <w:t xml:space="preserve">；污泥、医疗垃圾等经收集后采用专用容器储存于医疗废物贮存库内，委托有相应处理资质的单位进行清运处置。贮存库内设紫外消毒灯，尽量做到日产日清，医疗废物暂时贮存设施、设备应当定期消毒和清洁，地面排水收集后进入医院污水处理设施处理。 </w:t>
            </w:r>
          </w:p>
          <w:p w14:paraId="422C91F5">
            <w:pPr>
              <w:spacing w:line="360" w:lineRule="auto"/>
              <w:ind w:firstLine="420" w:firstLineChars="200"/>
              <w:rPr>
                <w:rFonts w:hint="eastAsia"/>
                <w:bCs/>
                <w:color w:val="auto"/>
                <w:szCs w:val="21"/>
                <w:lang w:val="en-US" w:eastAsia="zh-CN"/>
              </w:rPr>
            </w:pPr>
            <w:r>
              <w:rPr>
                <w:rFonts w:hint="eastAsia"/>
                <w:bCs/>
                <w:color w:val="auto"/>
                <w:szCs w:val="21"/>
                <w:lang w:val="en-US" w:eastAsia="zh-CN"/>
              </w:rPr>
              <w:t xml:space="preserve">②生活垃圾 </w:t>
            </w:r>
          </w:p>
          <w:p w14:paraId="02272F40">
            <w:pPr>
              <w:spacing w:line="360" w:lineRule="auto"/>
              <w:ind w:firstLine="420" w:firstLineChars="200"/>
              <w:rPr>
                <w:rFonts w:hint="eastAsia"/>
                <w:bCs/>
                <w:color w:val="auto"/>
                <w:szCs w:val="21"/>
                <w:lang w:val="en-US" w:eastAsia="zh-CN"/>
              </w:rPr>
            </w:pPr>
            <w:r>
              <w:rPr>
                <w:rFonts w:hint="eastAsia"/>
                <w:bCs/>
                <w:color w:val="auto"/>
                <w:szCs w:val="21"/>
                <w:lang w:val="en-US" w:eastAsia="zh-CN"/>
              </w:rPr>
              <w:t>本项目设有中医科，有中药渣产生；根据《医疗废物分类目录》（</w:t>
            </w:r>
            <w:r>
              <w:rPr>
                <w:rFonts w:hint="default"/>
                <w:bCs/>
                <w:color w:val="auto"/>
                <w:szCs w:val="21"/>
                <w:lang w:val="en-US" w:eastAsia="zh-CN"/>
              </w:rPr>
              <w:t>2021</w:t>
            </w:r>
            <w:r>
              <w:rPr>
                <w:rFonts w:hint="eastAsia"/>
                <w:bCs/>
                <w:color w:val="auto"/>
                <w:szCs w:val="21"/>
                <w:lang w:val="en-US" w:eastAsia="zh-CN"/>
              </w:rPr>
              <w:t>年版）中规定，中医科产生的中药渣属于生活垃圾，不属于医疗废物，根据建设单位提供资料，项目中药渣产生量较小，约</w:t>
            </w:r>
            <w:r>
              <w:rPr>
                <w:rFonts w:hint="default"/>
                <w:bCs/>
                <w:color w:val="auto"/>
                <w:szCs w:val="21"/>
                <w:lang w:val="en-US" w:eastAsia="zh-CN"/>
              </w:rPr>
              <w:t>2t/a</w:t>
            </w:r>
            <w:r>
              <w:rPr>
                <w:rFonts w:hint="eastAsia"/>
                <w:bCs/>
                <w:color w:val="auto"/>
                <w:szCs w:val="21"/>
                <w:lang w:val="en-US" w:eastAsia="zh-CN"/>
              </w:rPr>
              <w:t>，混入生活垃圾处置；环评要求项目在各楼层设置封闭式垃圾桶，经收集后由环卫部门处置。</w:t>
            </w:r>
          </w:p>
          <w:p w14:paraId="3170F14C">
            <w:pPr>
              <w:spacing w:line="360" w:lineRule="auto"/>
              <w:ind w:firstLine="420" w:firstLineChars="200"/>
              <w:rPr>
                <w:rFonts w:hint="eastAsia"/>
                <w:bCs/>
                <w:color w:val="auto"/>
                <w:szCs w:val="21"/>
                <w:lang w:val="en-US" w:eastAsia="zh-CN"/>
              </w:rPr>
            </w:pPr>
            <w:r>
              <w:rPr>
                <w:rFonts w:hint="eastAsia"/>
                <w:bCs/>
                <w:color w:val="auto"/>
                <w:szCs w:val="21"/>
                <w:lang w:val="en-US" w:eastAsia="zh-CN"/>
              </w:rPr>
              <w:t>采取以上针对措施后，项目固体废物对周围环境影响较小。</w:t>
            </w:r>
          </w:p>
          <w:p w14:paraId="2E9C1B49">
            <w:pPr>
              <w:widowControl/>
              <w:snapToGrid w:val="0"/>
              <w:jc w:val="center"/>
              <w:rPr>
                <w:b/>
                <w:bCs/>
                <w:color w:val="auto"/>
                <w:sz w:val="18"/>
                <w:szCs w:val="18"/>
                <w:highlight w:val="yellow"/>
              </w:rPr>
            </w:pPr>
            <w:r>
              <w:rPr>
                <w:rFonts w:hint="eastAsia"/>
                <w:b/>
                <w:bCs/>
                <w:color w:val="auto"/>
                <w:sz w:val="18"/>
                <w:szCs w:val="18"/>
                <w:highlight w:val="none"/>
              </w:rPr>
              <w:t>表4-1</w:t>
            </w:r>
            <w:r>
              <w:rPr>
                <w:rFonts w:hint="eastAsia"/>
                <w:b/>
                <w:bCs/>
                <w:color w:val="auto"/>
                <w:sz w:val="18"/>
                <w:szCs w:val="18"/>
                <w:highlight w:val="none"/>
                <w:lang w:val="en-US" w:eastAsia="zh-CN"/>
              </w:rPr>
              <w:t>0</w:t>
            </w:r>
            <w:r>
              <w:rPr>
                <w:rFonts w:hint="eastAsia"/>
                <w:b/>
                <w:bCs/>
                <w:color w:val="auto"/>
                <w:sz w:val="18"/>
                <w:szCs w:val="18"/>
                <w:highlight w:val="none"/>
              </w:rPr>
              <w:t xml:space="preserve">    固废产生情况及处理处置措施一览表</w:t>
            </w:r>
          </w:p>
          <w:tbl>
            <w:tblPr>
              <w:tblStyle w:val="48"/>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67"/>
              <w:gridCol w:w="838"/>
              <w:gridCol w:w="508"/>
              <w:gridCol w:w="1195"/>
              <w:gridCol w:w="867"/>
              <w:gridCol w:w="943"/>
              <w:gridCol w:w="867"/>
              <w:gridCol w:w="1476"/>
              <w:gridCol w:w="462"/>
            </w:tblGrid>
            <w:tr w14:paraId="1B09777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blHeader/>
              </w:trPr>
              <w:tc>
                <w:tcPr>
                  <w:tcW w:w="540" w:type="pct"/>
                  <w:tcBorders>
                    <w:tl2br w:val="nil"/>
                    <w:tr2bl w:val="nil"/>
                  </w:tcBorders>
                  <w:vAlign w:val="center"/>
                </w:tcPr>
                <w:p w14:paraId="11A86EB0">
                  <w:pPr>
                    <w:pStyle w:val="74"/>
                    <w:spacing w:line="240" w:lineRule="exact"/>
                    <w:ind w:firstLine="0" w:firstLineChars="0"/>
                    <w:jc w:val="center"/>
                    <w:rPr>
                      <w:rFonts w:hint="default" w:eastAsia="宋体"/>
                      <w:color w:val="auto"/>
                      <w:sz w:val="18"/>
                      <w:szCs w:val="18"/>
                      <w:lang w:val="en-US" w:eastAsia="zh-CN"/>
                    </w:rPr>
                  </w:pPr>
                  <w:r>
                    <w:rPr>
                      <w:rFonts w:hint="eastAsia"/>
                      <w:color w:val="auto"/>
                      <w:sz w:val="18"/>
                      <w:szCs w:val="18"/>
                      <w:lang w:val="en-US" w:eastAsia="zh-CN"/>
                    </w:rPr>
                    <w:t>主要生产单元</w:t>
                  </w:r>
                </w:p>
              </w:tc>
              <w:tc>
                <w:tcPr>
                  <w:tcW w:w="522" w:type="pct"/>
                  <w:tcBorders>
                    <w:tl2br w:val="nil"/>
                    <w:tr2bl w:val="nil"/>
                  </w:tcBorders>
                  <w:vAlign w:val="center"/>
                </w:tcPr>
                <w:p w14:paraId="5BA34CE3">
                  <w:pPr>
                    <w:pStyle w:val="74"/>
                    <w:spacing w:line="240" w:lineRule="exact"/>
                    <w:ind w:firstLine="0" w:firstLineChars="0"/>
                    <w:jc w:val="center"/>
                    <w:rPr>
                      <w:color w:val="auto"/>
                      <w:sz w:val="18"/>
                      <w:szCs w:val="18"/>
                    </w:rPr>
                  </w:pPr>
                  <w:r>
                    <w:rPr>
                      <w:color w:val="auto"/>
                      <w:sz w:val="18"/>
                      <w:szCs w:val="18"/>
                    </w:rPr>
                    <w:t>名称</w:t>
                  </w:r>
                </w:p>
              </w:tc>
              <w:tc>
                <w:tcPr>
                  <w:tcW w:w="316" w:type="pct"/>
                  <w:tcBorders>
                    <w:tl2br w:val="nil"/>
                    <w:tr2bl w:val="nil"/>
                  </w:tcBorders>
                  <w:vAlign w:val="center"/>
                </w:tcPr>
                <w:p w14:paraId="047DC2BC">
                  <w:pPr>
                    <w:pStyle w:val="74"/>
                    <w:spacing w:line="240" w:lineRule="exact"/>
                    <w:ind w:firstLine="0" w:firstLineChars="0"/>
                    <w:jc w:val="center"/>
                    <w:rPr>
                      <w:color w:val="auto"/>
                      <w:sz w:val="18"/>
                      <w:szCs w:val="18"/>
                    </w:rPr>
                  </w:pPr>
                  <w:r>
                    <w:rPr>
                      <w:color w:val="auto"/>
                      <w:sz w:val="18"/>
                      <w:szCs w:val="18"/>
                    </w:rPr>
                    <w:t>属性</w:t>
                  </w:r>
                </w:p>
              </w:tc>
              <w:tc>
                <w:tcPr>
                  <w:tcW w:w="744" w:type="pct"/>
                  <w:tcBorders>
                    <w:tl2br w:val="nil"/>
                    <w:tr2bl w:val="nil"/>
                  </w:tcBorders>
                  <w:vAlign w:val="center"/>
                </w:tcPr>
                <w:p w14:paraId="0FFF74C1">
                  <w:pPr>
                    <w:pStyle w:val="74"/>
                    <w:spacing w:line="240" w:lineRule="exact"/>
                    <w:ind w:firstLine="0" w:firstLineChars="0"/>
                    <w:jc w:val="center"/>
                    <w:rPr>
                      <w:color w:val="auto"/>
                      <w:sz w:val="18"/>
                      <w:szCs w:val="18"/>
                    </w:rPr>
                  </w:pPr>
                  <w:r>
                    <w:rPr>
                      <w:color w:val="auto"/>
                      <w:sz w:val="18"/>
                      <w:szCs w:val="18"/>
                    </w:rPr>
                    <w:t>废物代码</w:t>
                  </w:r>
                </w:p>
              </w:tc>
              <w:tc>
                <w:tcPr>
                  <w:tcW w:w="540" w:type="pct"/>
                  <w:tcBorders>
                    <w:tl2br w:val="nil"/>
                    <w:tr2bl w:val="nil"/>
                  </w:tcBorders>
                  <w:vAlign w:val="center"/>
                </w:tcPr>
                <w:p w14:paraId="6A648054">
                  <w:pPr>
                    <w:pStyle w:val="74"/>
                    <w:spacing w:line="240" w:lineRule="exact"/>
                    <w:ind w:firstLine="0" w:firstLineChars="0"/>
                    <w:jc w:val="center"/>
                    <w:rPr>
                      <w:color w:val="auto"/>
                      <w:sz w:val="18"/>
                      <w:szCs w:val="18"/>
                    </w:rPr>
                  </w:pPr>
                  <w:r>
                    <w:rPr>
                      <w:color w:val="auto"/>
                      <w:sz w:val="18"/>
                      <w:szCs w:val="18"/>
                    </w:rPr>
                    <w:t>产生量（t/a）</w:t>
                  </w:r>
                </w:p>
              </w:tc>
              <w:tc>
                <w:tcPr>
                  <w:tcW w:w="587" w:type="pct"/>
                  <w:tcBorders>
                    <w:tl2br w:val="nil"/>
                    <w:tr2bl w:val="nil"/>
                  </w:tcBorders>
                  <w:vAlign w:val="center"/>
                </w:tcPr>
                <w:p w14:paraId="551AECA6">
                  <w:pPr>
                    <w:pStyle w:val="74"/>
                    <w:spacing w:line="240" w:lineRule="exact"/>
                    <w:ind w:firstLine="0" w:firstLineChars="0"/>
                    <w:jc w:val="center"/>
                    <w:rPr>
                      <w:rFonts w:hint="default" w:eastAsia="宋体"/>
                      <w:color w:val="auto"/>
                      <w:sz w:val="18"/>
                      <w:szCs w:val="18"/>
                      <w:lang w:val="en-US" w:eastAsia="zh-CN"/>
                    </w:rPr>
                  </w:pPr>
                  <w:r>
                    <w:rPr>
                      <w:rFonts w:hint="eastAsia"/>
                      <w:color w:val="auto"/>
                      <w:sz w:val="18"/>
                      <w:szCs w:val="18"/>
                      <w:lang w:val="en-US" w:eastAsia="zh-CN"/>
                    </w:rPr>
                    <w:t>综合利用量（t/a）</w:t>
                  </w:r>
                </w:p>
              </w:tc>
              <w:tc>
                <w:tcPr>
                  <w:tcW w:w="540" w:type="pct"/>
                  <w:tcBorders>
                    <w:tl2br w:val="nil"/>
                    <w:tr2bl w:val="nil"/>
                  </w:tcBorders>
                  <w:vAlign w:val="center"/>
                </w:tcPr>
                <w:p w14:paraId="5DF25E21">
                  <w:pPr>
                    <w:pStyle w:val="74"/>
                    <w:spacing w:line="240" w:lineRule="exact"/>
                    <w:ind w:firstLine="0" w:firstLineChars="0"/>
                    <w:jc w:val="center"/>
                    <w:rPr>
                      <w:rFonts w:hint="default"/>
                      <w:color w:val="auto"/>
                      <w:sz w:val="18"/>
                      <w:szCs w:val="18"/>
                      <w:lang w:val="en-US" w:eastAsia="zh-CN"/>
                    </w:rPr>
                  </w:pPr>
                  <w:r>
                    <w:rPr>
                      <w:rFonts w:hint="eastAsia"/>
                      <w:color w:val="auto"/>
                      <w:sz w:val="18"/>
                      <w:szCs w:val="18"/>
                      <w:lang w:val="en-US" w:eastAsia="zh-CN"/>
                    </w:rPr>
                    <w:t>处置量（t/a）</w:t>
                  </w:r>
                </w:p>
              </w:tc>
              <w:tc>
                <w:tcPr>
                  <w:tcW w:w="919" w:type="pct"/>
                  <w:tcBorders>
                    <w:tl2br w:val="nil"/>
                    <w:tr2bl w:val="nil"/>
                  </w:tcBorders>
                  <w:vAlign w:val="center"/>
                </w:tcPr>
                <w:p w14:paraId="2BF6506E">
                  <w:pPr>
                    <w:pStyle w:val="74"/>
                    <w:spacing w:line="240" w:lineRule="exact"/>
                    <w:ind w:firstLine="0" w:firstLineChars="0"/>
                    <w:jc w:val="center"/>
                    <w:rPr>
                      <w:rFonts w:hint="default" w:eastAsia="宋体"/>
                      <w:color w:val="auto"/>
                      <w:sz w:val="18"/>
                      <w:szCs w:val="18"/>
                      <w:lang w:val="en-US" w:eastAsia="zh-CN"/>
                    </w:rPr>
                  </w:pPr>
                  <w:r>
                    <w:rPr>
                      <w:rFonts w:hint="eastAsia"/>
                      <w:color w:val="auto"/>
                      <w:sz w:val="18"/>
                      <w:szCs w:val="18"/>
                      <w:lang w:val="en-US" w:eastAsia="zh-CN"/>
                    </w:rPr>
                    <w:t>综合利用或处置方式</w:t>
                  </w:r>
                </w:p>
              </w:tc>
              <w:tc>
                <w:tcPr>
                  <w:tcW w:w="287" w:type="pct"/>
                  <w:tcBorders>
                    <w:tl2br w:val="nil"/>
                    <w:tr2bl w:val="nil"/>
                  </w:tcBorders>
                  <w:vAlign w:val="center"/>
                </w:tcPr>
                <w:p w14:paraId="096EEC2A">
                  <w:pPr>
                    <w:pStyle w:val="74"/>
                    <w:spacing w:line="240" w:lineRule="exact"/>
                    <w:ind w:firstLine="0" w:firstLineChars="0"/>
                    <w:jc w:val="center"/>
                    <w:rPr>
                      <w:rFonts w:hint="eastAsia"/>
                      <w:color w:val="auto"/>
                      <w:sz w:val="18"/>
                      <w:szCs w:val="18"/>
                      <w:lang w:val="en-US" w:eastAsia="zh-CN"/>
                    </w:rPr>
                  </w:pPr>
                  <w:r>
                    <w:rPr>
                      <w:rFonts w:hint="eastAsia"/>
                      <w:color w:val="auto"/>
                      <w:sz w:val="18"/>
                      <w:szCs w:val="18"/>
                      <w:lang w:val="en-US" w:eastAsia="zh-CN"/>
                    </w:rPr>
                    <w:t>产废</w:t>
                  </w:r>
                </w:p>
                <w:p w14:paraId="60EEDDBA">
                  <w:pPr>
                    <w:pStyle w:val="74"/>
                    <w:spacing w:line="240" w:lineRule="exact"/>
                    <w:ind w:firstLine="0" w:firstLineChars="0"/>
                    <w:jc w:val="center"/>
                    <w:rPr>
                      <w:rFonts w:hint="default"/>
                      <w:color w:val="auto"/>
                      <w:sz w:val="18"/>
                      <w:szCs w:val="18"/>
                      <w:lang w:val="en-US" w:eastAsia="zh-CN"/>
                    </w:rPr>
                  </w:pPr>
                  <w:r>
                    <w:rPr>
                      <w:rFonts w:hint="eastAsia"/>
                      <w:color w:val="auto"/>
                      <w:sz w:val="18"/>
                      <w:szCs w:val="18"/>
                      <w:lang w:val="en-US" w:eastAsia="zh-CN"/>
                    </w:rPr>
                    <w:t>周期</w:t>
                  </w:r>
                </w:p>
              </w:tc>
            </w:tr>
            <w:tr w14:paraId="601E485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40" w:type="pct"/>
                  <w:vMerge w:val="restart"/>
                  <w:tcBorders>
                    <w:tl2br w:val="nil"/>
                    <w:tr2bl w:val="nil"/>
                  </w:tcBorders>
                  <w:vAlign w:val="center"/>
                </w:tcPr>
                <w:p w14:paraId="13FF21D6">
                  <w:pPr>
                    <w:pStyle w:val="74"/>
                    <w:spacing w:line="240" w:lineRule="exact"/>
                    <w:ind w:firstLine="0" w:firstLineChars="0"/>
                    <w:jc w:val="center"/>
                    <w:rPr>
                      <w:rFonts w:hint="eastAsia"/>
                      <w:color w:val="auto"/>
                      <w:sz w:val="18"/>
                      <w:szCs w:val="18"/>
                    </w:rPr>
                  </w:pPr>
                  <w:r>
                    <w:rPr>
                      <w:rFonts w:hint="eastAsia"/>
                      <w:color w:val="auto"/>
                      <w:sz w:val="18"/>
                      <w:szCs w:val="18"/>
                      <w:lang w:val="en-US" w:eastAsia="zh-CN"/>
                    </w:rPr>
                    <w:t>门（急）诊</w:t>
                  </w:r>
                </w:p>
              </w:tc>
              <w:tc>
                <w:tcPr>
                  <w:tcW w:w="522" w:type="pct"/>
                  <w:vMerge w:val="restart"/>
                  <w:tcBorders>
                    <w:tl2br w:val="nil"/>
                    <w:tr2bl w:val="nil"/>
                  </w:tcBorders>
                  <w:vAlign w:val="center"/>
                </w:tcPr>
                <w:p w14:paraId="09FF1CB4">
                  <w:pPr>
                    <w:pStyle w:val="74"/>
                    <w:spacing w:line="240" w:lineRule="exact"/>
                    <w:ind w:firstLine="0" w:firstLineChars="0"/>
                    <w:jc w:val="center"/>
                    <w:rPr>
                      <w:rFonts w:hint="default" w:eastAsia="宋体"/>
                      <w:color w:val="auto"/>
                      <w:sz w:val="18"/>
                      <w:szCs w:val="18"/>
                      <w:lang w:val="en-US" w:eastAsia="zh-CN"/>
                    </w:rPr>
                  </w:pPr>
                  <w:r>
                    <w:rPr>
                      <w:rFonts w:hint="eastAsia"/>
                      <w:color w:val="auto"/>
                      <w:sz w:val="18"/>
                      <w:szCs w:val="18"/>
                      <w:lang w:val="en-US" w:eastAsia="zh-CN"/>
                    </w:rPr>
                    <w:t>医疗废物、废药物等</w:t>
                  </w:r>
                </w:p>
              </w:tc>
              <w:tc>
                <w:tcPr>
                  <w:tcW w:w="316" w:type="pct"/>
                  <w:vMerge w:val="restart"/>
                  <w:tcBorders>
                    <w:tl2br w:val="nil"/>
                    <w:tr2bl w:val="nil"/>
                  </w:tcBorders>
                  <w:vAlign w:val="center"/>
                </w:tcPr>
                <w:p w14:paraId="4107E2C6">
                  <w:pPr>
                    <w:pStyle w:val="74"/>
                    <w:spacing w:line="240" w:lineRule="exact"/>
                    <w:ind w:firstLine="0" w:firstLineChars="0"/>
                    <w:jc w:val="center"/>
                    <w:rPr>
                      <w:color w:val="auto"/>
                      <w:sz w:val="18"/>
                      <w:szCs w:val="18"/>
                    </w:rPr>
                  </w:pPr>
                  <w:r>
                    <w:rPr>
                      <w:color w:val="auto"/>
                      <w:sz w:val="18"/>
                      <w:szCs w:val="18"/>
                    </w:rPr>
                    <w:t>危险废物</w:t>
                  </w:r>
                </w:p>
              </w:tc>
              <w:tc>
                <w:tcPr>
                  <w:tcW w:w="744" w:type="pct"/>
                  <w:tcBorders>
                    <w:tl2br w:val="nil"/>
                    <w:tr2bl w:val="nil"/>
                  </w:tcBorders>
                  <w:vAlign w:val="center"/>
                </w:tcPr>
                <w:p w14:paraId="0CA53074">
                  <w:pPr>
                    <w:keepNext w:val="0"/>
                    <w:keepLines w:val="0"/>
                    <w:widowControl/>
                    <w:suppressLineNumbers w:val="0"/>
                    <w:jc w:val="left"/>
                    <w:rPr>
                      <w:rFonts w:hint="default" w:eastAsia="宋体"/>
                      <w:color w:val="auto"/>
                      <w:sz w:val="18"/>
                      <w:szCs w:val="18"/>
                      <w:lang w:val="en-US" w:eastAsia="zh-CN"/>
                    </w:rPr>
                  </w:pPr>
                  <w:r>
                    <w:rPr>
                      <w:rFonts w:hint="default" w:ascii="Times New Roman" w:hAnsi="Times New Roman" w:eastAsia="宋体" w:cs="Times New Roman"/>
                      <w:color w:val="000000"/>
                      <w:kern w:val="0"/>
                      <w:sz w:val="18"/>
                      <w:szCs w:val="18"/>
                      <w:lang w:val="en-US" w:eastAsia="zh-CN" w:bidi="ar"/>
                    </w:rPr>
                    <w:t>HW01</w:t>
                  </w:r>
                  <w:r>
                    <w:rPr>
                      <w:rFonts w:hint="eastAsia" w:ascii="宋体" w:hAnsi="宋体" w:eastAsia="宋体" w:cs="宋体"/>
                      <w:color w:val="000000"/>
                      <w:kern w:val="0"/>
                      <w:sz w:val="18"/>
                      <w:szCs w:val="18"/>
                      <w:lang w:val="en-US" w:eastAsia="zh-CN" w:bidi="ar"/>
                    </w:rPr>
                    <w:t>，</w:t>
                  </w:r>
                  <w:r>
                    <w:rPr>
                      <w:rFonts w:hint="default" w:ascii="Times New Roman" w:hAnsi="Times New Roman" w:eastAsia="宋体" w:cs="Times New Roman"/>
                      <w:color w:val="000000"/>
                      <w:kern w:val="0"/>
                      <w:sz w:val="18"/>
                      <w:szCs w:val="18"/>
                      <w:lang w:val="en-US" w:eastAsia="zh-CN" w:bidi="ar"/>
                    </w:rPr>
                    <w:t>841-001-01</w:t>
                  </w:r>
                </w:p>
              </w:tc>
              <w:tc>
                <w:tcPr>
                  <w:tcW w:w="540" w:type="pct"/>
                  <w:vMerge w:val="restart"/>
                  <w:tcBorders>
                    <w:tl2br w:val="nil"/>
                    <w:tr2bl w:val="nil"/>
                  </w:tcBorders>
                  <w:vAlign w:val="center"/>
                </w:tcPr>
                <w:p w14:paraId="56A13350">
                  <w:pPr>
                    <w:pStyle w:val="74"/>
                    <w:spacing w:line="240" w:lineRule="exact"/>
                    <w:ind w:firstLine="0" w:firstLineChars="0"/>
                    <w:jc w:val="center"/>
                    <w:rPr>
                      <w:rFonts w:hint="default" w:eastAsia="宋体"/>
                      <w:color w:val="auto"/>
                      <w:sz w:val="18"/>
                      <w:szCs w:val="18"/>
                      <w:lang w:val="en-US" w:eastAsia="zh-CN"/>
                    </w:rPr>
                  </w:pPr>
                  <w:r>
                    <w:rPr>
                      <w:rFonts w:hint="eastAsia"/>
                      <w:bCs/>
                      <w:color w:val="auto"/>
                      <w:sz w:val="18"/>
                      <w:szCs w:val="18"/>
                      <w:lang w:val="en-US" w:eastAsia="zh-CN"/>
                    </w:rPr>
                    <w:t>93.44</w:t>
                  </w:r>
                </w:p>
              </w:tc>
              <w:tc>
                <w:tcPr>
                  <w:tcW w:w="587" w:type="pct"/>
                  <w:vMerge w:val="restart"/>
                  <w:tcBorders>
                    <w:tl2br w:val="nil"/>
                    <w:tr2bl w:val="nil"/>
                  </w:tcBorders>
                  <w:vAlign w:val="center"/>
                </w:tcPr>
                <w:p w14:paraId="4B10B802">
                  <w:pPr>
                    <w:pStyle w:val="74"/>
                    <w:spacing w:line="240" w:lineRule="exact"/>
                    <w:ind w:firstLine="0" w:firstLineChars="0"/>
                    <w:jc w:val="center"/>
                    <w:rPr>
                      <w:rFonts w:hint="default"/>
                      <w:bCs/>
                      <w:color w:val="auto"/>
                      <w:sz w:val="18"/>
                      <w:szCs w:val="18"/>
                      <w:lang w:val="en-US" w:eastAsia="zh-CN"/>
                    </w:rPr>
                  </w:pPr>
                  <w:r>
                    <w:rPr>
                      <w:rFonts w:hint="eastAsia"/>
                      <w:bCs/>
                      <w:color w:val="auto"/>
                      <w:sz w:val="18"/>
                      <w:szCs w:val="18"/>
                      <w:lang w:val="en-US" w:eastAsia="zh-CN"/>
                    </w:rPr>
                    <w:t>0</w:t>
                  </w:r>
                </w:p>
              </w:tc>
              <w:tc>
                <w:tcPr>
                  <w:tcW w:w="540" w:type="pct"/>
                  <w:vMerge w:val="restart"/>
                  <w:tcBorders>
                    <w:tl2br w:val="nil"/>
                    <w:tr2bl w:val="nil"/>
                  </w:tcBorders>
                  <w:vAlign w:val="center"/>
                </w:tcPr>
                <w:p w14:paraId="090BCE01">
                  <w:pPr>
                    <w:pStyle w:val="74"/>
                    <w:spacing w:line="240" w:lineRule="exact"/>
                    <w:ind w:firstLine="0" w:firstLineChars="0"/>
                    <w:jc w:val="center"/>
                    <w:rPr>
                      <w:rFonts w:hint="default"/>
                      <w:bCs/>
                      <w:color w:val="auto"/>
                      <w:sz w:val="18"/>
                      <w:szCs w:val="18"/>
                      <w:lang w:val="en-US" w:eastAsia="zh-CN"/>
                    </w:rPr>
                  </w:pPr>
                  <w:r>
                    <w:rPr>
                      <w:rFonts w:hint="eastAsia"/>
                      <w:bCs/>
                      <w:color w:val="auto"/>
                      <w:sz w:val="18"/>
                      <w:szCs w:val="18"/>
                      <w:lang w:val="en-US" w:eastAsia="zh-CN"/>
                    </w:rPr>
                    <w:t>0</w:t>
                  </w:r>
                </w:p>
              </w:tc>
              <w:tc>
                <w:tcPr>
                  <w:tcW w:w="919" w:type="pct"/>
                  <w:vMerge w:val="restart"/>
                  <w:tcBorders>
                    <w:tl2br w:val="nil"/>
                    <w:tr2bl w:val="nil"/>
                  </w:tcBorders>
                  <w:vAlign w:val="center"/>
                </w:tcPr>
                <w:p w14:paraId="42FB7DAE">
                  <w:pPr>
                    <w:pStyle w:val="74"/>
                    <w:spacing w:line="240" w:lineRule="exact"/>
                    <w:ind w:firstLine="0" w:firstLineChars="0"/>
                    <w:jc w:val="center"/>
                    <w:rPr>
                      <w:rFonts w:hint="default" w:eastAsia="宋体"/>
                      <w:color w:val="auto"/>
                      <w:sz w:val="18"/>
                      <w:szCs w:val="18"/>
                      <w:lang w:val="en-US" w:eastAsia="zh-CN"/>
                    </w:rPr>
                  </w:pPr>
                  <w:r>
                    <w:rPr>
                      <w:color w:val="auto"/>
                      <w:sz w:val="18"/>
                      <w:szCs w:val="18"/>
                    </w:rPr>
                    <w:t>收集于</w:t>
                  </w:r>
                  <w:r>
                    <w:rPr>
                      <w:rFonts w:hint="eastAsia"/>
                      <w:color w:val="auto"/>
                      <w:sz w:val="18"/>
                      <w:szCs w:val="18"/>
                      <w:lang w:val="en-US" w:eastAsia="zh-CN"/>
                    </w:rPr>
                    <w:t>医疗废物</w:t>
                  </w:r>
                  <w:r>
                    <w:rPr>
                      <w:rFonts w:hint="eastAsia"/>
                      <w:color w:val="auto"/>
                      <w:sz w:val="18"/>
                      <w:szCs w:val="18"/>
                      <w:lang w:eastAsia="zh-CN"/>
                    </w:rPr>
                    <w:t>贮存库</w:t>
                  </w:r>
                  <w:r>
                    <w:rPr>
                      <w:color w:val="auto"/>
                      <w:sz w:val="18"/>
                      <w:szCs w:val="18"/>
                    </w:rPr>
                    <w:t>暂存</w:t>
                  </w:r>
                  <w:r>
                    <w:rPr>
                      <w:rFonts w:hint="eastAsia"/>
                      <w:color w:val="auto"/>
                      <w:sz w:val="18"/>
                      <w:szCs w:val="18"/>
                    </w:rPr>
                    <w:t>，</w:t>
                  </w:r>
                  <w:r>
                    <w:rPr>
                      <w:color w:val="auto"/>
                      <w:sz w:val="18"/>
                      <w:szCs w:val="18"/>
                    </w:rPr>
                    <w:t>定期委托有资质单位清运处置</w:t>
                  </w:r>
                </w:p>
              </w:tc>
              <w:tc>
                <w:tcPr>
                  <w:tcW w:w="287" w:type="pct"/>
                  <w:vMerge w:val="restart"/>
                  <w:tcBorders>
                    <w:tl2br w:val="nil"/>
                    <w:tr2bl w:val="nil"/>
                  </w:tcBorders>
                  <w:vAlign w:val="center"/>
                </w:tcPr>
                <w:p w14:paraId="5AF6F2D0">
                  <w:pPr>
                    <w:pStyle w:val="74"/>
                    <w:spacing w:line="240" w:lineRule="exact"/>
                    <w:ind w:firstLine="0" w:firstLineChars="0"/>
                    <w:jc w:val="center"/>
                    <w:rPr>
                      <w:rFonts w:hint="default"/>
                      <w:color w:val="auto"/>
                      <w:sz w:val="18"/>
                      <w:szCs w:val="18"/>
                      <w:lang w:val="en-US" w:eastAsia="zh-CN"/>
                    </w:rPr>
                  </w:pPr>
                  <w:r>
                    <w:rPr>
                      <w:rFonts w:hint="eastAsia"/>
                      <w:color w:val="auto"/>
                      <w:sz w:val="18"/>
                      <w:szCs w:val="18"/>
                      <w:lang w:val="en-US" w:eastAsia="zh-CN"/>
                    </w:rPr>
                    <w:t>每日</w:t>
                  </w:r>
                </w:p>
              </w:tc>
            </w:tr>
            <w:tr w14:paraId="65BAB08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40" w:type="pct"/>
                  <w:vMerge w:val="continue"/>
                  <w:tcBorders>
                    <w:tl2br w:val="nil"/>
                    <w:tr2bl w:val="nil"/>
                  </w:tcBorders>
                  <w:vAlign w:val="center"/>
                </w:tcPr>
                <w:p w14:paraId="17C34DA8">
                  <w:pPr>
                    <w:pStyle w:val="74"/>
                    <w:spacing w:line="240" w:lineRule="exact"/>
                    <w:ind w:firstLine="0" w:firstLineChars="0"/>
                    <w:jc w:val="center"/>
                    <w:rPr>
                      <w:rFonts w:hint="eastAsia"/>
                      <w:color w:val="auto"/>
                      <w:sz w:val="18"/>
                      <w:szCs w:val="18"/>
                      <w:lang w:val="en-US" w:eastAsia="zh-CN"/>
                    </w:rPr>
                  </w:pPr>
                </w:p>
              </w:tc>
              <w:tc>
                <w:tcPr>
                  <w:tcW w:w="522" w:type="pct"/>
                  <w:vMerge w:val="continue"/>
                  <w:tcBorders>
                    <w:tl2br w:val="nil"/>
                    <w:tr2bl w:val="nil"/>
                  </w:tcBorders>
                  <w:vAlign w:val="center"/>
                </w:tcPr>
                <w:p w14:paraId="5B046338">
                  <w:pPr>
                    <w:pStyle w:val="74"/>
                    <w:spacing w:line="240" w:lineRule="exact"/>
                    <w:ind w:firstLine="0" w:firstLineChars="0"/>
                    <w:jc w:val="center"/>
                    <w:rPr>
                      <w:rFonts w:hint="eastAsia"/>
                      <w:color w:val="auto"/>
                      <w:sz w:val="18"/>
                      <w:szCs w:val="18"/>
                      <w:lang w:val="en-US" w:eastAsia="zh-CN"/>
                    </w:rPr>
                  </w:pPr>
                </w:p>
              </w:tc>
              <w:tc>
                <w:tcPr>
                  <w:tcW w:w="316" w:type="pct"/>
                  <w:vMerge w:val="continue"/>
                  <w:tcBorders>
                    <w:tl2br w:val="nil"/>
                    <w:tr2bl w:val="nil"/>
                  </w:tcBorders>
                  <w:vAlign w:val="center"/>
                </w:tcPr>
                <w:p w14:paraId="7393DA73">
                  <w:pPr>
                    <w:pStyle w:val="74"/>
                    <w:spacing w:line="240" w:lineRule="exact"/>
                    <w:ind w:firstLine="0" w:firstLineChars="0"/>
                    <w:jc w:val="center"/>
                    <w:rPr>
                      <w:color w:val="auto"/>
                      <w:sz w:val="18"/>
                      <w:szCs w:val="18"/>
                    </w:rPr>
                  </w:pPr>
                </w:p>
              </w:tc>
              <w:tc>
                <w:tcPr>
                  <w:tcW w:w="744" w:type="pct"/>
                  <w:tcBorders>
                    <w:tl2br w:val="nil"/>
                    <w:tr2bl w:val="nil"/>
                  </w:tcBorders>
                  <w:vAlign w:val="center"/>
                </w:tcPr>
                <w:p w14:paraId="659BCD02">
                  <w:pPr>
                    <w:keepNext w:val="0"/>
                    <w:keepLines w:val="0"/>
                    <w:widowControl/>
                    <w:suppressLineNumbers w:val="0"/>
                    <w:jc w:val="left"/>
                    <w:rPr>
                      <w:rFonts w:hint="eastAsia"/>
                      <w:color w:val="auto"/>
                      <w:sz w:val="18"/>
                      <w:szCs w:val="18"/>
                      <w:lang w:val="en-US" w:eastAsia="zh-CN"/>
                    </w:rPr>
                  </w:pPr>
                  <w:r>
                    <w:rPr>
                      <w:rFonts w:hint="default" w:ascii="Times New Roman" w:hAnsi="Times New Roman" w:eastAsia="宋体" w:cs="Times New Roman"/>
                      <w:color w:val="000000"/>
                      <w:kern w:val="0"/>
                      <w:sz w:val="18"/>
                      <w:szCs w:val="18"/>
                      <w:lang w:val="en-US" w:eastAsia="zh-CN" w:bidi="ar"/>
                    </w:rPr>
                    <w:t>HW01</w:t>
                  </w:r>
                  <w:r>
                    <w:rPr>
                      <w:rFonts w:hint="eastAsia" w:ascii="宋体" w:hAnsi="宋体" w:eastAsia="宋体" w:cs="宋体"/>
                      <w:color w:val="000000"/>
                      <w:kern w:val="0"/>
                      <w:sz w:val="18"/>
                      <w:szCs w:val="18"/>
                      <w:lang w:val="en-US" w:eastAsia="zh-CN" w:bidi="ar"/>
                    </w:rPr>
                    <w:t>，</w:t>
                  </w:r>
                  <w:r>
                    <w:rPr>
                      <w:rFonts w:hint="default" w:ascii="Times New Roman" w:hAnsi="Times New Roman" w:eastAsia="宋体" w:cs="Times New Roman"/>
                      <w:color w:val="000000"/>
                      <w:kern w:val="0"/>
                      <w:sz w:val="18"/>
                      <w:szCs w:val="18"/>
                      <w:lang w:val="en-US" w:eastAsia="zh-CN" w:bidi="ar"/>
                    </w:rPr>
                    <w:t>841-002-01</w:t>
                  </w:r>
                </w:p>
              </w:tc>
              <w:tc>
                <w:tcPr>
                  <w:tcW w:w="540" w:type="pct"/>
                  <w:vMerge w:val="continue"/>
                  <w:tcBorders>
                    <w:tl2br w:val="nil"/>
                    <w:tr2bl w:val="nil"/>
                  </w:tcBorders>
                  <w:vAlign w:val="center"/>
                </w:tcPr>
                <w:p w14:paraId="1271674E">
                  <w:pPr>
                    <w:pStyle w:val="74"/>
                    <w:spacing w:line="240" w:lineRule="exact"/>
                    <w:ind w:firstLine="0" w:firstLineChars="0"/>
                    <w:jc w:val="center"/>
                    <w:rPr>
                      <w:rFonts w:hint="eastAsia"/>
                      <w:bCs/>
                      <w:color w:val="auto"/>
                      <w:sz w:val="18"/>
                      <w:szCs w:val="18"/>
                      <w:lang w:val="en-US" w:eastAsia="zh-CN"/>
                    </w:rPr>
                  </w:pPr>
                </w:p>
              </w:tc>
              <w:tc>
                <w:tcPr>
                  <w:tcW w:w="587" w:type="pct"/>
                  <w:vMerge w:val="continue"/>
                  <w:tcBorders>
                    <w:tl2br w:val="nil"/>
                    <w:tr2bl w:val="nil"/>
                  </w:tcBorders>
                  <w:vAlign w:val="center"/>
                </w:tcPr>
                <w:p w14:paraId="2D75EC75">
                  <w:pPr>
                    <w:pStyle w:val="74"/>
                    <w:spacing w:line="240" w:lineRule="exact"/>
                    <w:ind w:firstLine="0" w:firstLineChars="0"/>
                    <w:jc w:val="center"/>
                    <w:rPr>
                      <w:rFonts w:hint="eastAsia"/>
                      <w:bCs/>
                      <w:color w:val="auto"/>
                      <w:sz w:val="18"/>
                      <w:szCs w:val="18"/>
                      <w:lang w:val="en-US" w:eastAsia="zh-CN"/>
                    </w:rPr>
                  </w:pPr>
                </w:p>
              </w:tc>
              <w:tc>
                <w:tcPr>
                  <w:tcW w:w="540" w:type="pct"/>
                  <w:vMerge w:val="continue"/>
                  <w:tcBorders>
                    <w:tl2br w:val="nil"/>
                    <w:tr2bl w:val="nil"/>
                  </w:tcBorders>
                  <w:vAlign w:val="center"/>
                </w:tcPr>
                <w:p w14:paraId="2EF7F216">
                  <w:pPr>
                    <w:pStyle w:val="74"/>
                    <w:spacing w:line="240" w:lineRule="exact"/>
                    <w:ind w:firstLine="0" w:firstLineChars="0"/>
                    <w:jc w:val="center"/>
                    <w:rPr>
                      <w:rFonts w:hint="eastAsia"/>
                      <w:bCs/>
                      <w:color w:val="auto"/>
                      <w:sz w:val="18"/>
                      <w:szCs w:val="18"/>
                      <w:lang w:val="en-US" w:eastAsia="zh-CN"/>
                    </w:rPr>
                  </w:pPr>
                </w:p>
              </w:tc>
              <w:tc>
                <w:tcPr>
                  <w:tcW w:w="919" w:type="pct"/>
                  <w:vMerge w:val="continue"/>
                  <w:tcBorders>
                    <w:tl2br w:val="nil"/>
                    <w:tr2bl w:val="nil"/>
                  </w:tcBorders>
                  <w:vAlign w:val="center"/>
                </w:tcPr>
                <w:p w14:paraId="36B8E538">
                  <w:pPr>
                    <w:pStyle w:val="74"/>
                    <w:spacing w:line="240" w:lineRule="exact"/>
                    <w:ind w:firstLine="0" w:firstLineChars="0"/>
                    <w:jc w:val="center"/>
                    <w:rPr>
                      <w:rFonts w:hint="eastAsia"/>
                      <w:color w:val="auto"/>
                      <w:sz w:val="18"/>
                      <w:szCs w:val="18"/>
                      <w:lang w:val="en-US" w:eastAsia="zh-CN"/>
                    </w:rPr>
                  </w:pPr>
                </w:p>
              </w:tc>
              <w:tc>
                <w:tcPr>
                  <w:tcW w:w="287" w:type="pct"/>
                  <w:vMerge w:val="continue"/>
                  <w:tcBorders>
                    <w:tl2br w:val="nil"/>
                    <w:tr2bl w:val="nil"/>
                  </w:tcBorders>
                  <w:vAlign w:val="center"/>
                </w:tcPr>
                <w:p w14:paraId="7CFFE6C3">
                  <w:pPr>
                    <w:pStyle w:val="74"/>
                    <w:spacing w:line="240" w:lineRule="exact"/>
                    <w:ind w:firstLine="0" w:firstLineChars="0"/>
                    <w:jc w:val="center"/>
                    <w:rPr>
                      <w:rFonts w:hint="eastAsia"/>
                      <w:color w:val="auto"/>
                      <w:sz w:val="18"/>
                      <w:szCs w:val="18"/>
                      <w:lang w:val="en-US" w:eastAsia="zh-CN"/>
                    </w:rPr>
                  </w:pPr>
                </w:p>
              </w:tc>
            </w:tr>
            <w:tr w14:paraId="628E5C8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40" w:type="pct"/>
                  <w:vMerge w:val="continue"/>
                  <w:tcBorders>
                    <w:tl2br w:val="nil"/>
                    <w:tr2bl w:val="nil"/>
                  </w:tcBorders>
                  <w:vAlign w:val="center"/>
                </w:tcPr>
                <w:p w14:paraId="37F207F5">
                  <w:pPr>
                    <w:pStyle w:val="74"/>
                    <w:spacing w:line="240" w:lineRule="exact"/>
                    <w:ind w:firstLine="0" w:firstLineChars="0"/>
                    <w:jc w:val="center"/>
                    <w:rPr>
                      <w:rFonts w:hint="eastAsia"/>
                      <w:color w:val="auto"/>
                      <w:sz w:val="18"/>
                      <w:szCs w:val="18"/>
                      <w:lang w:val="en-US" w:eastAsia="zh-CN"/>
                    </w:rPr>
                  </w:pPr>
                </w:p>
              </w:tc>
              <w:tc>
                <w:tcPr>
                  <w:tcW w:w="522" w:type="pct"/>
                  <w:vMerge w:val="continue"/>
                  <w:tcBorders>
                    <w:tl2br w:val="nil"/>
                    <w:tr2bl w:val="nil"/>
                  </w:tcBorders>
                  <w:vAlign w:val="center"/>
                </w:tcPr>
                <w:p w14:paraId="3D5EC884">
                  <w:pPr>
                    <w:pStyle w:val="74"/>
                    <w:spacing w:line="240" w:lineRule="exact"/>
                    <w:ind w:firstLine="0" w:firstLineChars="0"/>
                    <w:jc w:val="center"/>
                    <w:rPr>
                      <w:rFonts w:hint="eastAsia"/>
                      <w:color w:val="auto"/>
                      <w:sz w:val="18"/>
                      <w:szCs w:val="18"/>
                      <w:lang w:val="en-US" w:eastAsia="zh-CN"/>
                    </w:rPr>
                  </w:pPr>
                </w:p>
              </w:tc>
              <w:tc>
                <w:tcPr>
                  <w:tcW w:w="316" w:type="pct"/>
                  <w:vMerge w:val="continue"/>
                  <w:tcBorders>
                    <w:tl2br w:val="nil"/>
                    <w:tr2bl w:val="nil"/>
                  </w:tcBorders>
                  <w:vAlign w:val="center"/>
                </w:tcPr>
                <w:p w14:paraId="5DF5FBE1">
                  <w:pPr>
                    <w:pStyle w:val="74"/>
                    <w:spacing w:line="240" w:lineRule="exact"/>
                    <w:ind w:firstLine="0" w:firstLineChars="0"/>
                    <w:jc w:val="center"/>
                    <w:rPr>
                      <w:color w:val="auto"/>
                      <w:sz w:val="18"/>
                      <w:szCs w:val="18"/>
                    </w:rPr>
                  </w:pPr>
                </w:p>
              </w:tc>
              <w:tc>
                <w:tcPr>
                  <w:tcW w:w="744" w:type="pct"/>
                  <w:tcBorders>
                    <w:tl2br w:val="nil"/>
                    <w:tr2bl w:val="nil"/>
                  </w:tcBorders>
                  <w:vAlign w:val="center"/>
                </w:tcPr>
                <w:p w14:paraId="049BFBA4">
                  <w:pPr>
                    <w:keepNext w:val="0"/>
                    <w:keepLines w:val="0"/>
                    <w:widowControl/>
                    <w:suppressLineNumbers w:val="0"/>
                    <w:jc w:val="left"/>
                    <w:rPr>
                      <w:rFonts w:hint="eastAsia"/>
                      <w:color w:val="auto"/>
                      <w:sz w:val="18"/>
                      <w:szCs w:val="18"/>
                      <w:lang w:val="en-US" w:eastAsia="zh-CN"/>
                    </w:rPr>
                  </w:pPr>
                  <w:r>
                    <w:rPr>
                      <w:rFonts w:hint="default" w:ascii="Times New Roman" w:hAnsi="Times New Roman" w:eastAsia="宋体" w:cs="Times New Roman"/>
                      <w:color w:val="000000"/>
                      <w:kern w:val="0"/>
                      <w:sz w:val="18"/>
                      <w:szCs w:val="18"/>
                      <w:lang w:val="en-US" w:eastAsia="zh-CN" w:bidi="ar"/>
                    </w:rPr>
                    <w:t>HW01</w:t>
                  </w:r>
                  <w:r>
                    <w:rPr>
                      <w:rFonts w:hint="eastAsia" w:ascii="宋体" w:hAnsi="宋体" w:eastAsia="宋体" w:cs="宋体"/>
                      <w:color w:val="000000"/>
                      <w:kern w:val="0"/>
                      <w:sz w:val="18"/>
                      <w:szCs w:val="18"/>
                      <w:lang w:val="en-US" w:eastAsia="zh-CN" w:bidi="ar"/>
                    </w:rPr>
                    <w:t>，</w:t>
                  </w:r>
                  <w:r>
                    <w:rPr>
                      <w:rFonts w:hint="default" w:ascii="Times New Roman" w:hAnsi="Times New Roman" w:eastAsia="宋体" w:cs="Times New Roman"/>
                      <w:color w:val="000000"/>
                      <w:kern w:val="0"/>
                      <w:sz w:val="18"/>
                      <w:szCs w:val="18"/>
                      <w:lang w:val="en-US" w:eastAsia="zh-CN" w:bidi="ar"/>
                    </w:rPr>
                    <w:t>841-003-01</w:t>
                  </w:r>
                </w:p>
              </w:tc>
              <w:tc>
                <w:tcPr>
                  <w:tcW w:w="540" w:type="pct"/>
                  <w:vMerge w:val="continue"/>
                  <w:tcBorders>
                    <w:tl2br w:val="nil"/>
                    <w:tr2bl w:val="nil"/>
                  </w:tcBorders>
                  <w:vAlign w:val="center"/>
                </w:tcPr>
                <w:p w14:paraId="1B64D920">
                  <w:pPr>
                    <w:pStyle w:val="74"/>
                    <w:spacing w:line="240" w:lineRule="exact"/>
                    <w:ind w:firstLine="0" w:firstLineChars="0"/>
                    <w:jc w:val="center"/>
                    <w:rPr>
                      <w:rFonts w:hint="eastAsia"/>
                      <w:bCs/>
                      <w:color w:val="auto"/>
                      <w:sz w:val="18"/>
                      <w:szCs w:val="18"/>
                      <w:lang w:val="en-US" w:eastAsia="zh-CN"/>
                    </w:rPr>
                  </w:pPr>
                </w:p>
              </w:tc>
              <w:tc>
                <w:tcPr>
                  <w:tcW w:w="587" w:type="pct"/>
                  <w:vMerge w:val="continue"/>
                  <w:tcBorders>
                    <w:tl2br w:val="nil"/>
                    <w:tr2bl w:val="nil"/>
                  </w:tcBorders>
                  <w:vAlign w:val="center"/>
                </w:tcPr>
                <w:p w14:paraId="348A1BF5">
                  <w:pPr>
                    <w:pStyle w:val="74"/>
                    <w:spacing w:line="240" w:lineRule="exact"/>
                    <w:ind w:firstLine="0" w:firstLineChars="0"/>
                    <w:jc w:val="center"/>
                    <w:rPr>
                      <w:rFonts w:hint="eastAsia"/>
                      <w:bCs/>
                      <w:color w:val="auto"/>
                      <w:sz w:val="18"/>
                      <w:szCs w:val="18"/>
                      <w:lang w:val="en-US" w:eastAsia="zh-CN"/>
                    </w:rPr>
                  </w:pPr>
                </w:p>
              </w:tc>
              <w:tc>
                <w:tcPr>
                  <w:tcW w:w="540" w:type="pct"/>
                  <w:vMerge w:val="continue"/>
                  <w:tcBorders>
                    <w:tl2br w:val="nil"/>
                    <w:tr2bl w:val="nil"/>
                  </w:tcBorders>
                  <w:vAlign w:val="center"/>
                </w:tcPr>
                <w:p w14:paraId="14189B5B">
                  <w:pPr>
                    <w:pStyle w:val="74"/>
                    <w:spacing w:line="240" w:lineRule="exact"/>
                    <w:ind w:firstLine="0" w:firstLineChars="0"/>
                    <w:jc w:val="center"/>
                    <w:rPr>
                      <w:rFonts w:hint="eastAsia"/>
                      <w:bCs/>
                      <w:color w:val="auto"/>
                      <w:sz w:val="18"/>
                      <w:szCs w:val="18"/>
                      <w:lang w:val="en-US" w:eastAsia="zh-CN"/>
                    </w:rPr>
                  </w:pPr>
                </w:p>
              </w:tc>
              <w:tc>
                <w:tcPr>
                  <w:tcW w:w="919" w:type="pct"/>
                  <w:vMerge w:val="continue"/>
                  <w:tcBorders>
                    <w:tl2br w:val="nil"/>
                    <w:tr2bl w:val="nil"/>
                  </w:tcBorders>
                  <w:vAlign w:val="center"/>
                </w:tcPr>
                <w:p w14:paraId="5CDDEB64">
                  <w:pPr>
                    <w:pStyle w:val="74"/>
                    <w:spacing w:line="240" w:lineRule="exact"/>
                    <w:ind w:firstLine="0" w:firstLineChars="0"/>
                    <w:jc w:val="center"/>
                    <w:rPr>
                      <w:rFonts w:hint="eastAsia"/>
                      <w:color w:val="auto"/>
                      <w:sz w:val="18"/>
                      <w:szCs w:val="18"/>
                      <w:lang w:val="en-US" w:eastAsia="zh-CN"/>
                    </w:rPr>
                  </w:pPr>
                </w:p>
              </w:tc>
              <w:tc>
                <w:tcPr>
                  <w:tcW w:w="287" w:type="pct"/>
                  <w:vMerge w:val="continue"/>
                  <w:tcBorders>
                    <w:tl2br w:val="nil"/>
                    <w:tr2bl w:val="nil"/>
                  </w:tcBorders>
                  <w:vAlign w:val="center"/>
                </w:tcPr>
                <w:p w14:paraId="79990992">
                  <w:pPr>
                    <w:pStyle w:val="74"/>
                    <w:spacing w:line="240" w:lineRule="exact"/>
                    <w:ind w:firstLine="0" w:firstLineChars="0"/>
                    <w:jc w:val="center"/>
                    <w:rPr>
                      <w:rFonts w:hint="eastAsia"/>
                      <w:color w:val="auto"/>
                      <w:sz w:val="18"/>
                      <w:szCs w:val="18"/>
                      <w:lang w:val="en-US" w:eastAsia="zh-CN"/>
                    </w:rPr>
                  </w:pPr>
                </w:p>
              </w:tc>
            </w:tr>
            <w:tr w14:paraId="67A8953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40" w:type="pct"/>
                  <w:vMerge w:val="continue"/>
                  <w:tcBorders>
                    <w:tl2br w:val="nil"/>
                    <w:tr2bl w:val="nil"/>
                  </w:tcBorders>
                  <w:vAlign w:val="center"/>
                </w:tcPr>
                <w:p w14:paraId="0724DF65">
                  <w:pPr>
                    <w:pStyle w:val="74"/>
                    <w:spacing w:line="240" w:lineRule="exact"/>
                    <w:ind w:firstLine="0" w:firstLineChars="0"/>
                    <w:jc w:val="center"/>
                    <w:rPr>
                      <w:rFonts w:hint="eastAsia"/>
                      <w:color w:val="auto"/>
                      <w:sz w:val="18"/>
                      <w:szCs w:val="18"/>
                      <w:lang w:val="en-US" w:eastAsia="zh-CN"/>
                    </w:rPr>
                  </w:pPr>
                </w:p>
              </w:tc>
              <w:tc>
                <w:tcPr>
                  <w:tcW w:w="522" w:type="pct"/>
                  <w:vMerge w:val="continue"/>
                  <w:tcBorders>
                    <w:tl2br w:val="nil"/>
                    <w:tr2bl w:val="nil"/>
                  </w:tcBorders>
                  <w:vAlign w:val="center"/>
                </w:tcPr>
                <w:p w14:paraId="3C48E898">
                  <w:pPr>
                    <w:pStyle w:val="74"/>
                    <w:spacing w:line="240" w:lineRule="exact"/>
                    <w:ind w:firstLine="0" w:firstLineChars="0"/>
                    <w:jc w:val="center"/>
                    <w:rPr>
                      <w:rFonts w:hint="eastAsia"/>
                      <w:color w:val="auto"/>
                      <w:sz w:val="18"/>
                      <w:szCs w:val="18"/>
                      <w:lang w:val="en-US" w:eastAsia="zh-CN"/>
                    </w:rPr>
                  </w:pPr>
                </w:p>
              </w:tc>
              <w:tc>
                <w:tcPr>
                  <w:tcW w:w="316" w:type="pct"/>
                  <w:vMerge w:val="continue"/>
                  <w:tcBorders>
                    <w:tl2br w:val="nil"/>
                    <w:tr2bl w:val="nil"/>
                  </w:tcBorders>
                  <w:vAlign w:val="center"/>
                </w:tcPr>
                <w:p w14:paraId="07D1807E">
                  <w:pPr>
                    <w:pStyle w:val="74"/>
                    <w:spacing w:line="240" w:lineRule="exact"/>
                    <w:ind w:firstLine="0" w:firstLineChars="0"/>
                    <w:jc w:val="center"/>
                    <w:rPr>
                      <w:color w:val="auto"/>
                      <w:sz w:val="18"/>
                      <w:szCs w:val="18"/>
                    </w:rPr>
                  </w:pPr>
                </w:p>
              </w:tc>
              <w:tc>
                <w:tcPr>
                  <w:tcW w:w="744" w:type="pct"/>
                  <w:tcBorders>
                    <w:tl2br w:val="nil"/>
                    <w:tr2bl w:val="nil"/>
                  </w:tcBorders>
                  <w:vAlign w:val="center"/>
                </w:tcPr>
                <w:p w14:paraId="5DF1A443">
                  <w:pPr>
                    <w:keepNext w:val="0"/>
                    <w:keepLines w:val="0"/>
                    <w:widowControl/>
                    <w:suppressLineNumbers w:val="0"/>
                    <w:jc w:val="left"/>
                    <w:rPr>
                      <w:rFonts w:hint="eastAsia"/>
                      <w:color w:val="auto"/>
                      <w:sz w:val="18"/>
                      <w:szCs w:val="18"/>
                      <w:lang w:val="en-US" w:eastAsia="zh-CN"/>
                    </w:rPr>
                  </w:pPr>
                  <w:r>
                    <w:rPr>
                      <w:rFonts w:hint="default" w:ascii="Times New Roman" w:hAnsi="Times New Roman" w:eastAsia="宋体" w:cs="Times New Roman"/>
                      <w:color w:val="000000"/>
                      <w:kern w:val="0"/>
                      <w:sz w:val="18"/>
                      <w:szCs w:val="18"/>
                      <w:lang w:val="en-US" w:eastAsia="zh-CN" w:bidi="ar"/>
                    </w:rPr>
                    <w:t>HW01</w:t>
                  </w:r>
                  <w:r>
                    <w:rPr>
                      <w:rFonts w:hint="eastAsia" w:ascii="宋体" w:hAnsi="宋体" w:eastAsia="宋体" w:cs="宋体"/>
                      <w:color w:val="000000"/>
                      <w:kern w:val="0"/>
                      <w:sz w:val="18"/>
                      <w:szCs w:val="18"/>
                      <w:lang w:val="en-US" w:eastAsia="zh-CN" w:bidi="ar"/>
                    </w:rPr>
                    <w:t>，</w:t>
                  </w:r>
                  <w:r>
                    <w:rPr>
                      <w:rFonts w:hint="default" w:ascii="Times New Roman" w:hAnsi="Times New Roman" w:eastAsia="宋体" w:cs="Times New Roman"/>
                      <w:color w:val="000000"/>
                      <w:kern w:val="0"/>
                      <w:sz w:val="18"/>
                      <w:szCs w:val="18"/>
                      <w:lang w:val="en-US" w:eastAsia="zh-CN" w:bidi="ar"/>
                    </w:rPr>
                    <w:t>841-004-01</w:t>
                  </w:r>
                </w:p>
              </w:tc>
              <w:tc>
                <w:tcPr>
                  <w:tcW w:w="540" w:type="pct"/>
                  <w:vMerge w:val="continue"/>
                  <w:tcBorders>
                    <w:tl2br w:val="nil"/>
                    <w:tr2bl w:val="nil"/>
                  </w:tcBorders>
                  <w:vAlign w:val="center"/>
                </w:tcPr>
                <w:p w14:paraId="49A19286">
                  <w:pPr>
                    <w:pStyle w:val="74"/>
                    <w:spacing w:line="240" w:lineRule="exact"/>
                    <w:ind w:firstLine="0" w:firstLineChars="0"/>
                    <w:jc w:val="center"/>
                    <w:rPr>
                      <w:rFonts w:hint="eastAsia"/>
                      <w:bCs/>
                      <w:color w:val="auto"/>
                      <w:sz w:val="18"/>
                      <w:szCs w:val="18"/>
                      <w:lang w:val="en-US" w:eastAsia="zh-CN"/>
                    </w:rPr>
                  </w:pPr>
                </w:p>
              </w:tc>
              <w:tc>
                <w:tcPr>
                  <w:tcW w:w="587" w:type="pct"/>
                  <w:vMerge w:val="continue"/>
                  <w:tcBorders>
                    <w:tl2br w:val="nil"/>
                    <w:tr2bl w:val="nil"/>
                  </w:tcBorders>
                  <w:vAlign w:val="center"/>
                </w:tcPr>
                <w:p w14:paraId="143D50BE">
                  <w:pPr>
                    <w:pStyle w:val="74"/>
                    <w:spacing w:line="240" w:lineRule="exact"/>
                    <w:ind w:firstLine="0" w:firstLineChars="0"/>
                    <w:jc w:val="center"/>
                    <w:rPr>
                      <w:rFonts w:hint="eastAsia"/>
                      <w:bCs/>
                      <w:color w:val="auto"/>
                      <w:sz w:val="18"/>
                      <w:szCs w:val="18"/>
                      <w:lang w:val="en-US" w:eastAsia="zh-CN"/>
                    </w:rPr>
                  </w:pPr>
                </w:p>
              </w:tc>
              <w:tc>
                <w:tcPr>
                  <w:tcW w:w="540" w:type="pct"/>
                  <w:vMerge w:val="continue"/>
                  <w:tcBorders>
                    <w:tl2br w:val="nil"/>
                    <w:tr2bl w:val="nil"/>
                  </w:tcBorders>
                  <w:vAlign w:val="center"/>
                </w:tcPr>
                <w:p w14:paraId="4A28D8AC">
                  <w:pPr>
                    <w:pStyle w:val="74"/>
                    <w:spacing w:line="240" w:lineRule="exact"/>
                    <w:ind w:firstLine="0" w:firstLineChars="0"/>
                    <w:jc w:val="center"/>
                    <w:rPr>
                      <w:rFonts w:hint="eastAsia"/>
                      <w:bCs/>
                      <w:color w:val="auto"/>
                      <w:sz w:val="18"/>
                      <w:szCs w:val="18"/>
                      <w:lang w:val="en-US" w:eastAsia="zh-CN"/>
                    </w:rPr>
                  </w:pPr>
                </w:p>
              </w:tc>
              <w:tc>
                <w:tcPr>
                  <w:tcW w:w="919" w:type="pct"/>
                  <w:vMerge w:val="continue"/>
                  <w:tcBorders>
                    <w:tl2br w:val="nil"/>
                    <w:tr2bl w:val="nil"/>
                  </w:tcBorders>
                  <w:vAlign w:val="center"/>
                </w:tcPr>
                <w:p w14:paraId="220C1AF8">
                  <w:pPr>
                    <w:pStyle w:val="74"/>
                    <w:spacing w:line="240" w:lineRule="exact"/>
                    <w:ind w:firstLine="0" w:firstLineChars="0"/>
                    <w:jc w:val="center"/>
                    <w:rPr>
                      <w:rFonts w:hint="eastAsia"/>
                      <w:color w:val="auto"/>
                      <w:sz w:val="18"/>
                      <w:szCs w:val="18"/>
                      <w:lang w:val="en-US" w:eastAsia="zh-CN"/>
                    </w:rPr>
                  </w:pPr>
                </w:p>
              </w:tc>
              <w:tc>
                <w:tcPr>
                  <w:tcW w:w="287" w:type="pct"/>
                  <w:vMerge w:val="continue"/>
                  <w:tcBorders>
                    <w:tl2br w:val="nil"/>
                    <w:tr2bl w:val="nil"/>
                  </w:tcBorders>
                  <w:vAlign w:val="center"/>
                </w:tcPr>
                <w:p w14:paraId="1D5077F5">
                  <w:pPr>
                    <w:pStyle w:val="74"/>
                    <w:spacing w:line="240" w:lineRule="exact"/>
                    <w:ind w:firstLine="0" w:firstLineChars="0"/>
                    <w:jc w:val="center"/>
                    <w:rPr>
                      <w:rFonts w:hint="eastAsia"/>
                      <w:color w:val="auto"/>
                      <w:sz w:val="18"/>
                      <w:szCs w:val="18"/>
                      <w:lang w:val="en-US" w:eastAsia="zh-CN"/>
                    </w:rPr>
                  </w:pPr>
                </w:p>
              </w:tc>
            </w:tr>
            <w:tr w14:paraId="6A20CDA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40" w:type="pct"/>
                  <w:vMerge w:val="continue"/>
                  <w:tcBorders>
                    <w:tl2br w:val="nil"/>
                    <w:tr2bl w:val="nil"/>
                  </w:tcBorders>
                  <w:vAlign w:val="center"/>
                </w:tcPr>
                <w:p w14:paraId="3D754CEA">
                  <w:pPr>
                    <w:pStyle w:val="74"/>
                    <w:spacing w:line="240" w:lineRule="exact"/>
                    <w:ind w:firstLine="0" w:firstLineChars="0"/>
                    <w:jc w:val="center"/>
                    <w:rPr>
                      <w:rFonts w:hint="eastAsia"/>
                      <w:color w:val="auto"/>
                      <w:sz w:val="18"/>
                      <w:szCs w:val="18"/>
                    </w:rPr>
                  </w:pPr>
                </w:p>
              </w:tc>
              <w:tc>
                <w:tcPr>
                  <w:tcW w:w="522" w:type="pct"/>
                  <w:vMerge w:val="continue"/>
                  <w:tcBorders>
                    <w:tl2br w:val="nil"/>
                    <w:tr2bl w:val="nil"/>
                  </w:tcBorders>
                  <w:vAlign w:val="center"/>
                </w:tcPr>
                <w:p w14:paraId="1D13E6BC">
                  <w:pPr>
                    <w:pStyle w:val="74"/>
                    <w:spacing w:line="240" w:lineRule="exact"/>
                    <w:ind w:firstLine="0" w:firstLineChars="0"/>
                    <w:jc w:val="center"/>
                    <w:rPr>
                      <w:rFonts w:hint="eastAsia" w:eastAsia="宋体"/>
                      <w:color w:val="auto"/>
                      <w:sz w:val="18"/>
                      <w:szCs w:val="18"/>
                      <w:lang w:eastAsia="zh-CN"/>
                    </w:rPr>
                  </w:pPr>
                </w:p>
              </w:tc>
              <w:tc>
                <w:tcPr>
                  <w:tcW w:w="316" w:type="pct"/>
                  <w:vMerge w:val="continue"/>
                  <w:tcBorders>
                    <w:tl2br w:val="nil"/>
                    <w:tr2bl w:val="nil"/>
                  </w:tcBorders>
                  <w:vAlign w:val="center"/>
                </w:tcPr>
                <w:p w14:paraId="3ECA338F">
                  <w:pPr>
                    <w:pStyle w:val="74"/>
                    <w:spacing w:line="240" w:lineRule="exact"/>
                    <w:ind w:firstLine="0" w:firstLineChars="0"/>
                    <w:jc w:val="center"/>
                    <w:rPr>
                      <w:color w:val="auto"/>
                      <w:sz w:val="18"/>
                      <w:szCs w:val="18"/>
                    </w:rPr>
                  </w:pPr>
                </w:p>
              </w:tc>
              <w:tc>
                <w:tcPr>
                  <w:tcW w:w="744" w:type="pct"/>
                  <w:tcBorders>
                    <w:tl2br w:val="nil"/>
                    <w:tr2bl w:val="nil"/>
                  </w:tcBorders>
                  <w:vAlign w:val="center"/>
                </w:tcPr>
                <w:p w14:paraId="6C9C4816">
                  <w:pPr>
                    <w:keepNext w:val="0"/>
                    <w:keepLines w:val="0"/>
                    <w:widowControl/>
                    <w:suppressLineNumbers w:val="0"/>
                    <w:jc w:val="left"/>
                    <w:rPr>
                      <w:rFonts w:hint="default" w:eastAsia="宋体"/>
                      <w:color w:val="auto"/>
                      <w:sz w:val="18"/>
                      <w:szCs w:val="18"/>
                      <w:lang w:val="en-US" w:eastAsia="zh-CN"/>
                    </w:rPr>
                  </w:pPr>
                  <w:r>
                    <w:rPr>
                      <w:rFonts w:hint="default" w:ascii="Times New Roman" w:hAnsi="Times New Roman" w:eastAsia="宋体" w:cs="Times New Roman"/>
                      <w:color w:val="000000"/>
                      <w:kern w:val="0"/>
                      <w:sz w:val="18"/>
                      <w:szCs w:val="18"/>
                      <w:lang w:val="en-US" w:eastAsia="zh-CN" w:bidi="ar"/>
                    </w:rPr>
                    <w:t>HW01</w:t>
                  </w:r>
                  <w:r>
                    <w:rPr>
                      <w:rFonts w:hint="eastAsia" w:ascii="宋体" w:hAnsi="宋体" w:eastAsia="宋体" w:cs="宋体"/>
                      <w:color w:val="000000"/>
                      <w:kern w:val="0"/>
                      <w:sz w:val="18"/>
                      <w:szCs w:val="18"/>
                      <w:lang w:val="en-US" w:eastAsia="zh-CN" w:bidi="ar"/>
                    </w:rPr>
                    <w:t>，</w:t>
                  </w:r>
                  <w:r>
                    <w:rPr>
                      <w:rFonts w:hint="default" w:ascii="Times New Roman" w:hAnsi="Times New Roman" w:eastAsia="宋体" w:cs="Times New Roman"/>
                      <w:color w:val="000000"/>
                      <w:kern w:val="0"/>
                      <w:sz w:val="18"/>
                      <w:szCs w:val="18"/>
                      <w:lang w:val="en-US" w:eastAsia="zh-CN" w:bidi="ar"/>
                    </w:rPr>
                    <w:t>841-005-01</w:t>
                  </w:r>
                </w:p>
              </w:tc>
              <w:tc>
                <w:tcPr>
                  <w:tcW w:w="540" w:type="pct"/>
                  <w:vMerge w:val="continue"/>
                  <w:tcBorders>
                    <w:tl2br w:val="nil"/>
                    <w:tr2bl w:val="nil"/>
                  </w:tcBorders>
                  <w:vAlign w:val="center"/>
                </w:tcPr>
                <w:p w14:paraId="61EB8766">
                  <w:pPr>
                    <w:pStyle w:val="74"/>
                    <w:spacing w:line="240" w:lineRule="exact"/>
                    <w:ind w:firstLine="0" w:firstLineChars="0"/>
                    <w:jc w:val="center"/>
                    <w:rPr>
                      <w:color w:val="auto"/>
                      <w:sz w:val="18"/>
                      <w:szCs w:val="18"/>
                    </w:rPr>
                  </w:pPr>
                </w:p>
              </w:tc>
              <w:tc>
                <w:tcPr>
                  <w:tcW w:w="587" w:type="pct"/>
                  <w:vMerge w:val="continue"/>
                  <w:tcBorders>
                    <w:tl2br w:val="nil"/>
                    <w:tr2bl w:val="nil"/>
                  </w:tcBorders>
                  <w:vAlign w:val="center"/>
                </w:tcPr>
                <w:p w14:paraId="22849DF9">
                  <w:pPr>
                    <w:pStyle w:val="74"/>
                    <w:spacing w:line="240" w:lineRule="exact"/>
                    <w:ind w:firstLine="0" w:firstLineChars="0"/>
                    <w:jc w:val="center"/>
                    <w:rPr>
                      <w:color w:val="auto"/>
                      <w:sz w:val="18"/>
                      <w:szCs w:val="18"/>
                    </w:rPr>
                  </w:pPr>
                </w:p>
              </w:tc>
              <w:tc>
                <w:tcPr>
                  <w:tcW w:w="540" w:type="pct"/>
                  <w:vMerge w:val="continue"/>
                  <w:tcBorders>
                    <w:tl2br w:val="nil"/>
                    <w:tr2bl w:val="nil"/>
                  </w:tcBorders>
                  <w:vAlign w:val="center"/>
                </w:tcPr>
                <w:p w14:paraId="50A3BF69">
                  <w:pPr>
                    <w:pStyle w:val="74"/>
                    <w:spacing w:line="240" w:lineRule="exact"/>
                    <w:ind w:firstLine="0" w:firstLineChars="0"/>
                    <w:jc w:val="center"/>
                    <w:rPr>
                      <w:color w:val="auto"/>
                      <w:sz w:val="18"/>
                      <w:szCs w:val="18"/>
                    </w:rPr>
                  </w:pPr>
                </w:p>
              </w:tc>
              <w:tc>
                <w:tcPr>
                  <w:tcW w:w="919" w:type="pct"/>
                  <w:vMerge w:val="continue"/>
                  <w:tcBorders>
                    <w:tl2br w:val="nil"/>
                    <w:tr2bl w:val="nil"/>
                  </w:tcBorders>
                  <w:vAlign w:val="center"/>
                </w:tcPr>
                <w:p w14:paraId="12B09B0C">
                  <w:pPr>
                    <w:pStyle w:val="74"/>
                    <w:spacing w:line="240" w:lineRule="exact"/>
                    <w:ind w:firstLine="0" w:firstLineChars="0"/>
                    <w:jc w:val="center"/>
                    <w:rPr>
                      <w:rFonts w:hint="default" w:eastAsia="宋体"/>
                      <w:color w:val="auto"/>
                      <w:sz w:val="18"/>
                      <w:szCs w:val="18"/>
                      <w:lang w:val="en-US" w:eastAsia="zh-CN"/>
                    </w:rPr>
                  </w:pPr>
                </w:p>
              </w:tc>
              <w:tc>
                <w:tcPr>
                  <w:tcW w:w="287" w:type="pct"/>
                  <w:vMerge w:val="continue"/>
                  <w:tcBorders>
                    <w:tl2br w:val="nil"/>
                    <w:tr2bl w:val="nil"/>
                  </w:tcBorders>
                  <w:vAlign w:val="center"/>
                </w:tcPr>
                <w:p w14:paraId="7EA114BC">
                  <w:pPr>
                    <w:pStyle w:val="74"/>
                    <w:spacing w:line="240" w:lineRule="exact"/>
                    <w:ind w:firstLine="0" w:firstLineChars="0"/>
                    <w:jc w:val="center"/>
                    <w:rPr>
                      <w:rFonts w:hint="default" w:eastAsia="宋体"/>
                      <w:color w:val="auto"/>
                      <w:sz w:val="18"/>
                      <w:szCs w:val="18"/>
                      <w:lang w:val="en-US" w:eastAsia="zh-CN"/>
                    </w:rPr>
                  </w:pPr>
                </w:p>
              </w:tc>
            </w:tr>
            <w:tr w14:paraId="7A68364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40" w:type="pct"/>
                  <w:tcBorders>
                    <w:tl2br w:val="nil"/>
                    <w:tr2bl w:val="nil"/>
                  </w:tcBorders>
                  <w:vAlign w:val="center"/>
                </w:tcPr>
                <w:p w14:paraId="45A514A4">
                  <w:pPr>
                    <w:pStyle w:val="74"/>
                    <w:spacing w:line="240" w:lineRule="exact"/>
                    <w:ind w:firstLine="0" w:firstLineChars="0"/>
                    <w:jc w:val="center"/>
                    <w:rPr>
                      <w:rFonts w:hint="default" w:eastAsia="宋体"/>
                      <w:color w:val="auto"/>
                      <w:sz w:val="18"/>
                      <w:szCs w:val="18"/>
                      <w:lang w:val="en-US" w:eastAsia="zh-CN"/>
                    </w:rPr>
                  </w:pPr>
                  <w:r>
                    <w:rPr>
                      <w:rFonts w:hint="eastAsia"/>
                      <w:color w:val="auto"/>
                      <w:sz w:val="18"/>
                      <w:szCs w:val="18"/>
                      <w:lang w:val="en-US" w:eastAsia="zh-CN"/>
                    </w:rPr>
                    <w:t>污水处理站</w:t>
                  </w:r>
                </w:p>
              </w:tc>
              <w:tc>
                <w:tcPr>
                  <w:tcW w:w="522" w:type="pct"/>
                  <w:tcBorders>
                    <w:tl2br w:val="nil"/>
                    <w:tr2bl w:val="nil"/>
                  </w:tcBorders>
                  <w:vAlign w:val="center"/>
                </w:tcPr>
                <w:p w14:paraId="02936257">
                  <w:pPr>
                    <w:pStyle w:val="74"/>
                    <w:spacing w:line="240" w:lineRule="exact"/>
                    <w:ind w:firstLine="0" w:firstLineChars="0"/>
                    <w:jc w:val="center"/>
                    <w:rPr>
                      <w:rFonts w:hint="default" w:eastAsia="宋体"/>
                      <w:color w:val="auto"/>
                      <w:sz w:val="18"/>
                      <w:szCs w:val="18"/>
                      <w:lang w:val="en-US" w:eastAsia="zh-CN"/>
                    </w:rPr>
                  </w:pPr>
                  <w:r>
                    <w:rPr>
                      <w:rFonts w:hint="eastAsia"/>
                      <w:color w:val="auto"/>
                      <w:sz w:val="18"/>
                      <w:szCs w:val="18"/>
                      <w:lang w:val="en-US" w:eastAsia="zh-CN"/>
                    </w:rPr>
                    <w:t>污泥</w:t>
                  </w:r>
                </w:p>
              </w:tc>
              <w:tc>
                <w:tcPr>
                  <w:tcW w:w="316" w:type="pct"/>
                  <w:vMerge w:val="continue"/>
                  <w:tcBorders>
                    <w:tl2br w:val="nil"/>
                    <w:tr2bl w:val="nil"/>
                  </w:tcBorders>
                  <w:vAlign w:val="center"/>
                </w:tcPr>
                <w:p w14:paraId="08AC1B99">
                  <w:pPr>
                    <w:pStyle w:val="74"/>
                    <w:spacing w:line="240" w:lineRule="exact"/>
                    <w:ind w:firstLine="0" w:firstLineChars="0"/>
                    <w:jc w:val="center"/>
                    <w:rPr>
                      <w:color w:val="auto"/>
                      <w:sz w:val="18"/>
                      <w:szCs w:val="18"/>
                    </w:rPr>
                  </w:pPr>
                </w:p>
              </w:tc>
              <w:tc>
                <w:tcPr>
                  <w:tcW w:w="744" w:type="pct"/>
                  <w:tcBorders>
                    <w:tl2br w:val="nil"/>
                    <w:tr2bl w:val="nil"/>
                  </w:tcBorders>
                  <w:vAlign w:val="center"/>
                </w:tcPr>
                <w:p w14:paraId="20042A55">
                  <w:pPr>
                    <w:keepNext w:val="0"/>
                    <w:keepLines w:val="0"/>
                    <w:widowControl/>
                    <w:suppressLineNumbers w:val="0"/>
                    <w:jc w:val="left"/>
                    <w:rPr>
                      <w:rFonts w:hint="default" w:ascii="Times New Roman" w:hAnsi="Times New Roman" w:eastAsia="宋体" w:cs="Times New Roman"/>
                      <w:color w:val="000000"/>
                      <w:kern w:val="0"/>
                      <w:sz w:val="18"/>
                      <w:szCs w:val="18"/>
                      <w:lang w:val="en-US" w:eastAsia="zh-CN" w:bidi="ar"/>
                    </w:rPr>
                  </w:pPr>
                  <w:r>
                    <w:rPr>
                      <w:rFonts w:hint="default" w:ascii="Times New Roman" w:hAnsi="Times New Roman" w:eastAsia="宋体" w:cs="Times New Roman"/>
                      <w:color w:val="000000"/>
                      <w:kern w:val="0"/>
                      <w:sz w:val="18"/>
                      <w:szCs w:val="18"/>
                      <w:lang w:val="en-US" w:eastAsia="zh-CN" w:bidi="ar"/>
                    </w:rPr>
                    <w:t>HW01</w:t>
                  </w:r>
                  <w:r>
                    <w:rPr>
                      <w:rFonts w:hint="eastAsia" w:ascii="宋体" w:hAnsi="宋体" w:eastAsia="宋体" w:cs="宋体"/>
                      <w:color w:val="000000"/>
                      <w:kern w:val="0"/>
                      <w:sz w:val="18"/>
                      <w:szCs w:val="18"/>
                      <w:lang w:val="en-US" w:eastAsia="zh-CN" w:bidi="ar"/>
                    </w:rPr>
                    <w:t>，</w:t>
                  </w:r>
                  <w:r>
                    <w:rPr>
                      <w:rFonts w:hint="default" w:ascii="Times New Roman" w:hAnsi="Times New Roman" w:eastAsia="宋体" w:cs="Times New Roman"/>
                      <w:color w:val="000000"/>
                      <w:kern w:val="0"/>
                      <w:sz w:val="18"/>
                      <w:szCs w:val="18"/>
                      <w:lang w:val="en-US" w:eastAsia="zh-CN" w:bidi="ar"/>
                    </w:rPr>
                    <w:t>841-001-01</w:t>
                  </w:r>
                </w:p>
              </w:tc>
              <w:tc>
                <w:tcPr>
                  <w:tcW w:w="540" w:type="pct"/>
                  <w:tcBorders>
                    <w:tl2br w:val="nil"/>
                    <w:tr2bl w:val="nil"/>
                  </w:tcBorders>
                  <w:vAlign w:val="center"/>
                </w:tcPr>
                <w:p w14:paraId="34995BA1">
                  <w:pPr>
                    <w:pStyle w:val="74"/>
                    <w:spacing w:line="240" w:lineRule="exact"/>
                    <w:ind w:firstLine="0" w:firstLineChars="0"/>
                    <w:jc w:val="center"/>
                    <w:rPr>
                      <w:rFonts w:hint="default" w:eastAsia="宋体"/>
                      <w:color w:val="auto"/>
                      <w:sz w:val="18"/>
                      <w:szCs w:val="18"/>
                      <w:lang w:val="en-US" w:eastAsia="zh-CN"/>
                    </w:rPr>
                  </w:pPr>
                  <w:r>
                    <w:rPr>
                      <w:rFonts w:hint="eastAsia"/>
                      <w:color w:val="auto"/>
                      <w:sz w:val="18"/>
                      <w:szCs w:val="18"/>
                      <w:lang w:val="en-US" w:eastAsia="zh-CN"/>
                    </w:rPr>
                    <w:t>10.0</w:t>
                  </w:r>
                </w:p>
              </w:tc>
              <w:tc>
                <w:tcPr>
                  <w:tcW w:w="587" w:type="pct"/>
                  <w:tcBorders>
                    <w:tl2br w:val="nil"/>
                    <w:tr2bl w:val="nil"/>
                  </w:tcBorders>
                  <w:vAlign w:val="center"/>
                </w:tcPr>
                <w:p w14:paraId="09E58C0D">
                  <w:pPr>
                    <w:pStyle w:val="74"/>
                    <w:spacing w:line="240" w:lineRule="exact"/>
                    <w:ind w:firstLine="0" w:firstLineChars="0"/>
                    <w:jc w:val="center"/>
                    <w:rPr>
                      <w:rFonts w:hint="eastAsia" w:eastAsia="宋体"/>
                      <w:color w:val="auto"/>
                      <w:sz w:val="18"/>
                      <w:szCs w:val="18"/>
                      <w:lang w:val="en-US" w:eastAsia="zh-CN"/>
                    </w:rPr>
                  </w:pPr>
                  <w:r>
                    <w:rPr>
                      <w:rFonts w:hint="eastAsia"/>
                      <w:color w:val="auto"/>
                      <w:sz w:val="18"/>
                      <w:szCs w:val="18"/>
                      <w:lang w:val="en-US" w:eastAsia="zh-CN"/>
                    </w:rPr>
                    <w:t>0</w:t>
                  </w:r>
                </w:p>
              </w:tc>
              <w:tc>
                <w:tcPr>
                  <w:tcW w:w="540" w:type="pct"/>
                  <w:tcBorders>
                    <w:tl2br w:val="nil"/>
                    <w:tr2bl w:val="nil"/>
                  </w:tcBorders>
                  <w:vAlign w:val="center"/>
                </w:tcPr>
                <w:p w14:paraId="6E65A73D">
                  <w:pPr>
                    <w:pStyle w:val="74"/>
                    <w:spacing w:line="240" w:lineRule="exact"/>
                    <w:ind w:firstLine="0" w:firstLineChars="0"/>
                    <w:jc w:val="center"/>
                    <w:rPr>
                      <w:rFonts w:hint="eastAsia" w:eastAsia="宋体"/>
                      <w:color w:val="auto"/>
                      <w:sz w:val="18"/>
                      <w:szCs w:val="18"/>
                      <w:lang w:val="en-US" w:eastAsia="zh-CN"/>
                    </w:rPr>
                  </w:pPr>
                  <w:r>
                    <w:rPr>
                      <w:rFonts w:hint="eastAsia"/>
                      <w:color w:val="auto"/>
                      <w:sz w:val="18"/>
                      <w:szCs w:val="18"/>
                      <w:lang w:val="en-US" w:eastAsia="zh-CN"/>
                    </w:rPr>
                    <w:t>0</w:t>
                  </w:r>
                </w:p>
              </w:tc>
              <w:tc>
                <w:tcPr>
                  <w:tcW w:w="919" w:type="pct"/>
                  <w:vMerge w:val="continue"/>
                  <w:tcBorders>
                    <w:tl2br w:val="nil"/>
                    <w:tr2bl w:val="nil"/>
                  </w:tcBorders>
                  <w:vAlign w:val="center"/>
                </w:tcPr>
                <w:p w14:paraId="007D035F">
                  <w:pPr>
                    <w:pStyle w:val="74"/>
                    <w:spacing w:line="240" w:lineRule="exact"/>
                    <w:ind w:firstLine="0" w:firstLineChars="0"/>
                    <w:jc w:val="center"/>
                    <w:rPr>
                      <w:rFonts w:hint="default" w:eastAsia="宋体"/>
                      <w:color w:val="auto"/>
                      <w:sz w:val="18"/>
                      <w:szCs w:val="18"/>
                      <w:lang w:val="en-US" w:eastAsia="zh-CN"/>
                    </w:rPr>
                  </w:pPr>
                </w:p>
              </w:tc>
              <w:tc>
                <w:tcPr>
                  <w:tcW w:w="287" w:type="pct"/>
                  <w:tcBorders>
                    <w:tl2br w:val="nil"/>
                    <w:tr2bl w:val="nil"/>
                  </w:tcBorders>
                  <w:vAlign w:val="center"/>
                </w:tcPr>
                <w:p w14:paraId="1A6AE431">
                  <w:pPr>
                    <w:pStyle w:val="74"/>
                    <w:spacing w:line="240" w:lineRule="exact"/>
                    <w:ind w:firstLine="0" w:firstLineChars="0"/>
                    <w:jc w:val="center"/>
                    <w:rPr>
                      <w:rFonts w:hint="default" w:eastAsia="宋体"/>
                      <w:color w:val="auto"/>
                      <w:sz w:val="18"/>
                      <w:szCs w:val="18"/>
                      <w:lang w:val="en-US" w:eastAsia="zh-CN"/>
                    </w:rPr>
                  </w:pPr>
                  <w:r>
                    <w:rPr>
                      <w:rFonts w:hint="eastAsia"/>
                      <w:color w:val="auto"/>
                      <w:sz w:val="18"/>
                      <w:szCs w:val="18"/>
                      <w:lang w:val="en-US" w:eastAsia="zh-CN"/>
                    </w:rPr>
                    <w:t>每日</w:t>
                  </w:r>
                </w:p>
              </w:tc>
            </w:tr>
            <w:tr w14:paraId="4DF010D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40" w:type="pct"/>
                  <w:tcBorders>
                    <w:tl2br w:val="nil"/>
                    <w:tr2bl w:val="nil"/>
                  </w:tcBorders>
                  <w:vAlign w:val="center"/>
                </w:tcPr>
                <w:p w14:paraId="5ECCCE8E">
                  <w:pPr>
                    <w:pStyle w:val="74"/>
                    <w:spacing w:line="240" w:lineRule="exact"/>
                    <w:ind w:firstLine="0" w:firstLineChars="0"/>
                    <w:jc w:val="center"/>
                    <w:rPr>
                      <w:color w:val="auto"/>
                      <w:sz w:val="18"/>
                      <w:szCs w:val="18"/>
                    </w:rPr>
                  </w:pPr>
                  <w:r>
                    <w:rPr>
                      <w:color w:val="auto"/>
                      <w:sz w:val="18"/>
                      <w:szCs w:val="18"/>
                    </w:rPr>
                    <w:t>办公</w:t>
                  </w:r>
                </w:p>
                <w:p w14:paraId="4E71A69E">
                  <w:pPr>
                    <w:pStyle w:val="74"/>
                    <w:spacing w:line="240" w:lineRule="exact"/>
                    <w:ind w:firstLine="0" w:firstLineChars="0"/>
                    <w:jc w:val="center"/>
                    <w:rPr>
                      <w:rFonts w:hint="eastAsia"/>
                      <w:color w:val="auto"/>
                      <w:sz w:val="18"/>
                      <w:szCs w:val="18"/>
                    </w:rPr>
                  </w:pPr>
                  <w:r>
                    <w:rPr>
                      <w:color w:val="auto"/>
                      <w:sz w:val="18"/>
                      <w:szCs w:val="18"/>
                    </w:rPr>
                    <w:t>生活</w:t>
                  </w:r>
                </w:p>
              </w:tc>
              <w:tc>
                <w:tcPr>
                  <w:tcW w:w="522" w:type="pct"/>
                  <w:tcBorders>
                    <w:tl2br w:val="nil"/>
                    <w:tr2bl w:val="nil"/>
                  </w:tcBorders>
                  <w:vAlign w:val="center"/>
                </w:tcPr>
                <w:p w14:paraId="3FD73727">
                  <w:pPr>
                    <w:pStyle w:val="74"/>
                    <w:spacing w:line="240" w:lineRule="exact"/>
                    <w:ind w:firstLine="0" w:firstLineChars="0"/>
                    <w:jc w:val="center"/>
                    <w:rPr>
                      <w:rFonts w:hint="eastAsia"/>
                      <w:color w:val="auto"/>
                      <w:sz w:val="18"/>
                      <w:szCs w:val="18"/>
                      <w:lang w:val="en-US" w:eastAsia="zh-CN"/>
                    </w:rPr>
                  </w:pPr>
                  <w:r>
                    <w:rPr>
                      <w:rFonts w:hint="eastAsia"/>
                      <w:color w:val="auto"/>
                      <w:sz w:val="18"/>
                      <w:szCs w:val="18"/>
                      <w:lang w:val="en-US" w:eastAsia="zh-CN"/>
                    </w:rPr>
                    <w:t>生活</w:t>
                  </w:r>
                </w:p>
                <w:p w14:paraId="093E77CF">
                  <w:pPr>
                    <w:pStyle w:val="74"/>
                    <w:spacing w:line="240" w:lineRule="exact"/>
                    <w:ind w:firstLine="0" w:firstLineChars="0"/>
                    <w:jc w:val="center"/>
                    <w:rPr>
                      <w:rFonts w:hint="eastAsia"/>
                      <w:color w:val="auto"/>
                      <w:sz w:val="18"/>
                      <w:szCs w:val="18"/>
                      <w:lang w:val="en-US" w:eastAsia="zh-CN"/>
                    </w:rPr>
                  </w:pPr>
                  <w:r>
                    <w:rPr>
                      <w:rFonts w:hint="eastAsia"/>
                      <w:color w:val="auto"/>
                      <w:sz w:val="18"/>
                      <w:szCs w:val="18"/>
                      <w:lang w:val="en-US" w:eastAsia="zh-CN"/>
                    </w:rPr>
                    <w:t>垃圾</w:t>
                  </w:r>
                </w:p>
              </w:tc>
              <w:tc>
                <w:tcPr>
                  <w:tcW w:w="316" w:type="pct"/>
                  <w:tcBorders>
                    <w:tl2br w:val="nil"/>
                    <w:tr2bl w:val="nil"/>
                  </w:tcBorders>
                  <w:vAlign w:val="center"/>
                </w:tcPr>
                <w:p w14:paraId="4007555E">
                  <w:pPr>
                    <w:pStyle w:val="74"/>
                    <w:spacing w:line="240" w:lineRule="exact"/>
                    <w:ind w:firstLine="0" w:firstLineChars="0"/>
                    <w:jc w:val="center"/>
                    <w:rPr>
                      <w:color w:val="auto"/>
                      <w:sz w:val="18"/>
                      <w:szCs w:val="18"/>
                    </w:rPr>
                  </w:pPr>
                  <w:r>
                    <w:rPr>
                      <w:rFonts w:hint="eastAsia"/>
                      <w:color w:val="auto"/>
                      <w:sz w:val="18"/>
                      <w:szCs w:val="18"/>
                    </w:rPr>
                    <w:t>生活</w:t>
                  </w:r>
                  <w:r>
                    <w:rPr>
                      <w:color w:val="auto"/>
                      <w:sz w:val="18"/>
                      <w:szCs w:val="18"/>
                    </w:rPr>
                    <w:t>垃圾</w:t>
                  </w:r>
                </w:p>
              </w:tc>
              <w:tc>
                <w:tcPr>
                  <w:tcW w:w="744" w:type="pct"/>
                  <w:tcBorders>
                    <w:tl2br w:val="nil"/>
                    <w:tr2bl w:val="nil"/>
                  </w:tcBorders>
                  <w:vAlign w:val="center"/>
                </w:tcPr>
                <w:p w14:paraId="02423B69">
                  <w:pPr>
                    <w:pStyle w:val="74"/>
                    <w:spacing w:line="240" w:lineRule="exact"/>
                    <w:ind w:firstLine="0" w:firstLineChars="0"/>
                    <w:jc w:val="center"/>
                    <w:rPr>
                      <w:color w:val="auto"/>
                      <w:sz w:val="18"/>
                      <w:szCs w:val="18"/>
                    </w:rPr>
                  </w:pPr>
                  <w:r>
                    <w:rPr>
                      <w:color w:val="auto"/>
                      <w:sz w:val="18"/>
                      <w:szCs w:val="18"/>
                    </w:rPr>
                    <w:t>-</w:t>
                  </w:r>
                </w:p>
              </w:tc>
              <w:tc>
                <w:tcPr>
                  <w:tcW w:w="540" w:type="pct"/>
                  <w:tcBorders>
                    <w:tl2br w:val="nil"/>
                    <w:tr2bl w:val="nil"/>
                  </w:tcBorders>
                  <w:vAlign w:val="center"/>
                </w:tcPr>
                <w:p w14:paraId="60867BE2">
                  <w:pPr>
                    <w:pStyle w:val="74"/>
                    <w:spacing w:line="240" w:lineRule="exact"/>
                    <w:ind w:firstLine="0" w:firstLineChars="0"/>
                    <w:jc w:val="center"/>
                    <w:rPr>
                      <w:rFonts w:hint="default" w:eastAsia="宋体"/>
                      <w:color w:val="auto"/>
                      <w:sz w:val="18"/>
                      <w:szCs w:val="18"/>
                      <w:lang w:val="en-US" w:eastAsia="zh-CN"/>
                    </w:rPr>
                  </w:pPr>
                  <w:r>
                    <w:rPr>
                      <w:rFonts w:hint="eastAsia"/>
                      <w:color w:val="auto"/>
                      <w:sz w:val="18"/>
                      <w:szCs w:val="18"/>
                      <w:lang w:val="en-US" w:eastAsia="zh-CN"/>
                    </w:rPr>
                    <w:t>18.25</w:t>
                  </w:r>
                </w:p>
              </w:tc>
              <w:tc>
                <w:tcPr>
                  <w:tcW w:w="587" w:type="pct"/>
                  <w:tcBorders>
                    <w:tl2br w:val="nil"/>
                    <w:tr2bl w:val="nil"/>
                  </w:tcBorders>
                  <w:vAlign w:val="center"/>
                </w:tcPr>
                <w:p w14:paraId="00A703E5">
                  <w:pPr>
                    <w:pStyle w:val="74"/>
                    <w:spacing w:line="240" w:lineRule="exact"/>
                    <w:ind w:firstLine="0" w:firstLineChars="0"/>
                    <w:jc w:val="center"/>
                    <w:rPr>
                      <w:rFonts w:hint="default"/>
                      <w:color w:val="auto"/>
                      <w:sz w:val="18"/>
                      <w:szCs w:val="18"/>
                      <w:lang w:val="en-US" w:eastAsia="zh-CN"/>
                    </w:rPr>
                  </w:pPr>
                  <w:r>
                    <w:rPr>
                      <w:rFonts w:hint="eastAsia"/>
                      <w:color w:val="auto"/>
                      <w:sz w:val="18"/>
                      <w:szCs w:val="18"/>
                      <w:lang w:val="en-US" w:eastAsia="zh-CN"/>
                    </w:rPr>
                    <w:t>0</w:t>
                  </w:r>
                </w:p>
              </w:tc>
              <w:tc>
                <w:tcPr>
                  <w:tcW w:w="540" w:type="pct"/>
                  <w:tcBorders>
                    <w:tl2br w:val="nil"/>
                    <w:tr2bl w:val="nil"/>
                  </w:tcBorders>
                  <w:vAlign w:val="center"/>
                </w:tcPr>
                <w:p w14:paraId="60FD4575">
                  <w:pPr>
                    <w:pStyle w:val="74"/>
                    <w:spacing w:line="240" w:lineRule="exact"/>
                    <w:ind w:firstLine="0" w:firstLineChars="0"/>
                    <w:jc w:val="center"/>
                    <w:rPr>
                      <w:rFonts w:hint="default"/>
                      <w:color w:val="auto"/>
                      <w:sz w:val="18"/>
                      <w:szCs w:val="18"/>
                      <w:lang w:val="en-US" w:eastAsia="zh-CN"/>
                    </w:rPr>
                  </w:pPr>
                  <w:r>
                    <w:rPr>
                      <w:rFonts w:hint="eastAsia"/>
                      <w:color w:val="auto"/>
                      <w:sz w:val="18"/>
                      <w:szCs w:val="18"/>
                      <w:lang w:val="en-US" w:eastAsia="zh-CN"/>
                    </w:rPr>
                    <w:t>0</w:t>
                  </w:r>
                </w:p>
              </w:tc>
              <w:tc>
                <w:tcPr>
                  <w:tcW w:w="919" w:type="pct"/>
                  <w:vMerge w:val="restart"/>
                  <w:tcBorders>
                    <w:tl2br w:val="nil"/>
                    <w:tr2bl w:val="nil"/>
                  </w:tcBorders>
                  <w:vAlign w:val="center"/>
                </w:tcPr>
                <w:p w14:paraId="007F2F44">
                  <w:pPr>
                    <w:pStyle w:val="74"/>
                    <w:spacing w:line="240" w:lineRule="exact"/>
                    <w:ind w:firstLine="0" w:firstLineChars="0"/>
                    <w:jc w:val="center"/>
                    <w:rPr>
                      <w:color w:val="auto"/>
                      <w:sz w:val="18"/>
                      <w:szCs w:val="18"/>
                    </w:rPr>
                  </w:pPr>
                  <w:r>
                    <w:rPr>
                      <w:color w:val="auto"/>
                      <w:sz w:val="18"/>
                      <w:szCs w:val="18"/>
                    </w:rPr>
                    <w:t>收集于封闭式垃圾箱内，定期由环卫部门清运处置</w:t>
                  </w:r>
                </w:p>
              </w:tc>
              <w:tc>
                <w:tcPr>
                  <w:tcW w:w="287" w:type="pct"/>
                  <w:tcBorders>
                    <w:tl2br w:val="nil"/>
                    <w:tr2bl w:val="nil"/>
                  </w:tcBorders>
                  <w:vAlign w:val="center"/>
                </w:tcPr>
                <w:p w14:paraId="2CFFFE69">
                  <w:pPr>
                    <w:pStyle w:val="74"/>
                    <w:spacing w:line="240" w:lineRule="exact"/>
                    <w:ind w:firstLine="0" w:firstLineChars="0"/>
                    <w:jc w:val="center"/>
                    <w:rPr>
                      <w:rFonts w:hint="default" w:eastAsia="宋体"/>
                      <w:color w:val="auto"/>
                      <w:sz w:val="18"/>
                      <w:szCs w:val="18"/>
                      <w:lang w:val="en-US" w:eastAsia="zh-CN"/>
                    </w:rPr>
                  </w:pPr>
                  <w:r>
                    <w:rPr>
                      <w:rFonts w:hint="eastAsia"/>
                      <w:color w:val="auto"/>
                      <w:sz w:val="18"/>
                      <w:szCs w:val="18"/>
                      <w:lang w:val="en-US" w:eastAsia="zh-CN"/>
                    </w:rPr>
                    <w:t>每日</w:t>
                  </w:r>
                </w:p>
              </w:tc>
            </w:tr>
            <w:tr w14:paraId="3FCA074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40" w:type="pct"/>
                  <w:tcBorders>
                    <w:tl2br w:val="nil"/>
                    <w:tr2bl w:val="nil"/>
                  </w:tcBorders>
                  <w:vAlign w:val="center"/>
                </w:tcPr>
                <w:p w14:paraId="42A6343B">
                  <w:pPr>
                    <w:pStyle w:val="74"/>
                    <w:spacing w:line="240" w:lineRule="exact"/>
                    <w:ind w:firstLine="0" w:firstLineChars="0"/>
                    <w:jc w:val="center"/>
                    <w:rPr>
                      <w:rFonts w:hint="eastAsia"/>
                      <w:color w:val="auto"/>
                      <w:sz w:val="18"/>
                      <w:szCs w:val="18"/>
                      <w:lang w:val="en-US" w:eastAsia="zh-CN"/>
                    </w:rPr>
                  </w:pPr>
                  <w:r>
                    <w:rPr>
                      <w:rFonts w:hint="eastAsia"/>
                      <w:color w:val="auto"/>
                      <w:sz w:val="18"/>
                      <w:szCs w:val="18"/>
                      <w:lang w:val="en-US" w:eastAsia="zh-CN"/>
                    </w:rPr>
                    <w:t>中药</w:t>
                  </w:r>
                </w:p>
                <w:p w14:paraId="30177806">
                  <w:pPr>
                    <w:pStyle w:val="74"/>
                    <w:spacing w:line="240" w:lineRule="exact"/>
                    <w:ind w:firstLine="0" w:firstLineChars="0"/>
                    <w:jc w:val="center"/>
                    <w:rPr>
                      <w:rFonts w:hint="default" w:eastAsia="宋体"/>
                      <w:color w:val="auto"/>
                      <w:sz w:val="18"/>
                      <w:szCs w:val="18"/>
                      <w:lang w:val="en-US" w:eastAsia="zh-CN"/>
                    </w:rPr>
                  </w:pPr>
                  <w:r>
                    <w:rPr>
                      <w:rFonts w:hint="eastAsia"/>
                      <w:color w:val="auto"/>
                      <w:sz w:val="18"/>
                      <w:szCs w:val="18"/>
                      <w:lang w:val="en-US" w:eastAsia="zh-CN"/>
                    </w:rPr>
                    <w:t>熬制</w:t>
                  </w:r>
                </w:p>
              </w:tc>
              <w:tc>
                <w:tcPr>
                  <w:tcW w:w="522" w:type="pct"/>
                  <w:tcBorders>
                    <w:tl2br w:val="nil"/>
                    <w:tr2bl w:val="nil"/>
                  </w:tcBorders>
                  <w:vAlign w:val="center"/>
                </w:tcPr>
                <w:p w14:paraId="19028740">
                  <w:pPr>
                    <w:pStyle w:val="74"/>
                    <w:spacing w:line="240" w:lineRule="exact"/>
                    <w:ind w:firstLine="0" w:firstLineChars="0"/>
                    <w:jc w:val="center"/>
                    <w:rPr>
                      <w:rFonts w:hint="default"/>
                      <w:color w:val="auto"/>
                      <w:sz w:val="18"/>
                      <w:szCs w:val="18"/>
                      <w:lang w:val="en-US" w:eastAsia="zh-CN"/>
                    </w:rPr>
                  </w:pPr>
                  <w:r>
                    <w:rPr>
                      <w:rFonts w:hint="eastAsia"/>
                      <w:color w:val="auto"/>
                      <w:sz w:val="18"/>
                      <w:szCs w:val="18"/>
                      <w:lang w:val="en-US" w:eastAsia="zh-CN"/>
                    </w:rPr>
                    <w:t>中药渣</w:t>
                  </w:r>
                </w:p>
              </w:tc>
              <w:tc>
                <w:tcPr>
                  <w:tcW w:w="316" w:type="pct"/>
                  <w:tcBorders>
                    <w:tl2br w:val="nil"/>
                    <w:tr2bl w:val="nil"/>
                  </w:tcBorders>
                  <w:vAlign w:val="center"/>
                </w:tcPr>
                <w:p w14:paraId="3AEF5774">
                  <w:pPr>
                    <w:pStyle w:val="74"/>
                    <w:spacing w:line="240" w:lineRule="exact"/>
                    <w:ind w:firstLine="0" w:firstLineChars="0"/>
                    <w:jc w:val="center"/>
                    <w:rPr>
                      <w:rFonts w:hint="eastAsia" w:eastAsia="宋体"/>
                      <w:color w:val="auto"/>
                      <w:sz w:val="18"/>
                      <w:szCs w:val="18"/>
                      <w:lang w:val="en-US" w:eastAsia="zh-CN"/>
                    </w:rPr>
                  </w:pPr>
                  <w:r>
                    <w:rPr>
                      <w:rFonts w:hint="eastAsia"/>
                      <w:color w:val="auto"/>
                      <w:sz w:val="18"/>
                      <w:szCs w:val="18"/>
                      <w:lang w:val="en-US" w:eastAsia="zh-CN"/>
                    </w:rPr>
                    <w:t>-</w:t>
                  </w:r>
                </w:p>
              </w:tc>
              <w:tc>
                <w:tcPr>
                  <w:tcW w:w="744" w:type="pct"/>
                  <w:tcBorders>
                    <w:tl2br w:val="nil"/>
                    <w:tr2bl w:val="nil"/>
                  </w:tcBorders>
                  <w:vAlign w:val="center"/>
                </w:tcPr>
                <w:p w14:paraId="1F6E8A4A">
                  <w:pPr>
                    <w:pStyle w:val="74"/>
                    <w:spacing w:line="240" w:lineRule="exact"/>
                    <w:ind w:firstLine="0" w:firstLineChars="0"/>
                    <w:jc w:val="center"/>
                    <w:rPr>
                      <w:rFonts w:hint="eastAsia" w:eastAsia="宋体"/>
                      <w:color w:val="auto"/>
                      <w:sz w:val="18"/>
                      <w:szCs w:val="18"/>
                      <w:lang w:val="en-US" w:eastAsia="zh-CN"/>
                    </w:rPr>
                  </w:pPr>
                  <w:r>
                    <w:rPr>
                      <w:rFonts w:hint="eastAsia"/>
                      <w:color w:val="auto"/>
                      <w:sz w:val="18"/>
                      <w:szCs w:val="18"/>
                      <w:lang w:val="en-US" w:eastAsia="zh-CN"/>
                    </w:rPr>
                    <w:t>-</w:t>
                  </w:r>
                </w:p>
              </w:tc>
              <w:tc>
                <w:tcPr>
                  <w:tcW w:w="540" w:type="pct"/>
                  <w:tcBorders>
                    <w:tl2br w:val="nil"/>
                    <w:tr2bl w:val="nil"/>
                  </w:tcBorders>
                  <w:vAlign w:val="center"/>
                </w:tcPr>
                <w:p w14:paraId="07D99510">
                  <w:pPr>
                    <w:pStyle w:val="74"/>
                    <w:spacing w:line="240" w:lineRule="exact"/>
                    <w:ind w:firstLine="0" w:firstLineChars="0"/>
                    <w:jc w:val="center"/>
                    <w:rPr>
                      <w:rFonts w:hint="default"/>
                      <w:color w:val="auto"/>
                      <w:sz w:val="18"/>
                      <w:szCs w:val="18"/>
                      <w:lang w:val="en-US" w:eastAsia="zh-CN"/>
                    </w:rPr>
                  </w:pPr>
                  <w:r>
                    <w:rPr>
                      <w:rFonts w:hint="eastAsia"/>
                      <w:color w:val="auto"/>
                      <w:sz w:val="18"/>
                      <w:szCs w:val="18"/>
                      <w:lang w:val="en-US" w:eastAsia="zh-CN"/>
                    </w:rPr>
                    <w:t>2.0</w:t>
                  </w:r>
                </w:p>
              </w:tc>
              <w:tc>
                <w:tcPr>
                  <w:tcW w:w="587" w:type="pct"/>
                  <w:tcBorders>
                    <w:tl2br w:val="nil"/>
                    <w:tr2bl w:val="nil"/>
                  </w:tcBorders>
                  <w:vAlign w:val="center"/>
                </w:tcPr>
                <w:p w14:paraId="0DA69172">
                  <w:pPr>
                    <w:pStyle w:val="74"/>
                    <w:spacing w:line="240" w:lineRule="exact"/>
                    <w:ind w:firstLine="0" w:firstLineChars="0"/>
                    <w:jc w:val="center"/>
                    <w:rPr>
                      <w:rFonts w:hint="default"/>
                      <w:color w:val="auto"/>
                      <w:sz w:val="18"/>
                      <w:szCs w:val="18"/>
                      <w:lang w:val="en-US" w:eastAsia="zh-CN"/>
                    </w:rPr>
                  </w:pPr>
                  <w:r>
                    <w:rPr>
                      <w:rFonts w:hint="eastAsia"/>
                      <w:color w:val="auto"/>
                      <w:sz w:val="18"/>
                      <w:szCs w:val="18"/>
                      <w:lang w:val="en-US" w:eastAsia="zh-CN"/>
                    </w:rPr>
                    <w:t>0</w:t>
                  </w:r>
                </w:p>
              </w:tc>
              <w:tc>
                <w:tcPr>
                  <w:tcW w:w="540" w:type="pct"/>
                  <w:tcBorders>
                    <w:tl2br w:val="nil"/>
                    <w:tr2bl w:val="nil"/>
                  </w:tcBorders>
                  <w:vAlign w:val="center"/>
                </w:tcPr>
                <w:p w14:paraId="3F400AE4">
                  <w:pPr>
                    <w:pStyle w:val="74"/>
                    <w:spacing w:line="240" w:lineRule="exact"/>
                    <w:ind w:firstLine="0" w:firstLineChars="0"/>
                    <w:jc w:val="center"/>
                    <w:rPr>
                      <w:rFonts w:hint="default"/>
                      <w:color w:val="auto"/>
                      <w:sz w:val="18"/>
                      <w:szCs w:val="18"/>
                      <w:lang w:val="en-US" w:eastAsia="zh-CN"/>
                    </w:rPr>
                  </w:pPr>
                  <w:r>
                    <w:rPr>
                      <w:rFonts w:hint="eastAsia"/>
                      <w:color w:val="auto"/>
                      <w:sz w:val="18"/>
                      <w:szCs w:val="18"/>
                      <w:lang w:val="en-US" w:eastAsia="zh-CN"/>
                    </w:rPr>
                    <w:t>0</w:t>
                  </w:r>
                </w:p>
              </w:tc>
              <w:tc>
                <w:tcPr>
                  <w:tcW w:w="919" w:type="pct"/>
                  <w:vMerge w:val="continue"/>
                  <w:tcBorders>
                    <w:tl2br w:val="nil"/>
                    <w:tr2bl w:val="nil"/>
                  </w:tcBorders>
                  <w:vAlign w:val="center"/>
                </w:tcPr>
                <w:p w14:paraId="5D044EB2">
                  <w:pPr>
                    <w:pStyle w:val="74"/>
                    <w:spacing w:line="240" w:lineRule="exact"/>
                    <w:ind w:firstLine="0" w:firstLineChars="0"/>
                    <w:jc w:val="center"/>
                    <w:rPr>
                      <w:color w:val="auto"/>
                      <w:sz w:val="18"/>
                      <w:szCs w:val="18"/>
                    </w:rPr>
                  </w:pPr>
                </w:p>
              </w:tc>
              <w:tc>
                <w:tcPr>
                  <w:tcW w:w="287" w:type="pct"/>
                  <w:tcBorders>
                    <w:tl2br w:val="nil"/>
                    <w:tr2bl w:val="nil"/>
                  </w:tcBorders>
                  <w:vAlign w:val="center"/>
                </w:tcPr>
                <w:p w14:paraId="3C1FE88D">
                  <w:pPr>
                    <w:pStyle w:val="74"/>
                    <w:spacing w:line="240" w:lineRule="exact"/>
                    <w:ind w:firstLine="0" w:firstLineChars="0"/>
                    <w:jc w:val="center"/>
                    <w:rPr>
                      <w:rFonts w:hint="default"/>
                      <w:color w:val="auto"/>
                      <w:sz w:val="18"/>
                      <w:szCs w:val="18"/>
                      <w:lang w:val="en-US" w:eastAsia="zh-CN"/>
                    </w:rPr>
                  </w:pPr>
                  <w:r>
                    <w:rPr>
                      <w:rFonts w:hint="eastAsia"/>
                      <w:color w:val="auto"/>
                      <w:sz w:val="18"/>
                      <w:szCs w:val="18"/>
                      <w:lang w:val="en-US" w:eastAsia="zh-CN"/>
                    </w:rPr>
                    <w:t>每日</w:t>
                  </w:r>
                </w:p>
              </w:tc>
            </w:tr>
          </w:tbl>
          <w:p w14:paraId="5D2F5647">
            <w:pPr>
              <w:spacing w:line="360" w:lineRule="auto"/>
              <w:ind w:firstLine="420" w:firstLineChars="200"/>
              <w:rPr>
                <w:rFonts w:hint="eastAsia"/>
                <w:bCs/>
                <w:color w:val="auto"/>
                <w:szCs w:val="21"/>
                <w:lang w:val="en-US" w:eastAsia="zh-CN"/>
              </w:rPr>
            </w:pPr>
            <w:r>
              <w:rPr>
                <w:rFonts w:hint="eastAsia"/>
                <w:bCs/>
                <w:color w:val="auto"/>
                <w:szCs w:val="21"/>
                <w:lang w:val="en-US" w:eastAsia="zh-CN"/>
              </w:rPr>
              <w:t>（</w:t>
            </w:r>
            <w:r>
              <w:rPr>
                <w:rFonts w:hint="default"/>
                <w:bCs/>
                <w:color w:val="auto"/>
                <w:szCs w:val="21"/>
                <w:lang w:val="en-US" w:eastAsia="zh-CN"/>
              </w:rPr>
              <w:t>3</w:t>
            </w:r>
            <w:r>
              <w:rPr>
                <w:rFonts w:hint="eastAsia"/>
                <w:bCs/>
                <w:color w:val="auto"/>
                <w:szCs w:val="21"/>
                <w:lang w:val="en-US" w:eastAsia="zh-CN"/>
              </w:rPr>
              <w:t xml:space="preserve">）危险废物管理要求 </w:t>
            </w:r>
          </w:p>
          <w:p w14:paraId="5F63A987">
            <w:pPr>
              <w:spacing w:line="360" w:lineRule="auto"/>
              <w:ind w:firstLine="420" w:firstLineChars="200"/>
              <w:rPr>
                <w:rFonts w:hint="eastAsia"/>
                <w:bCs/>
                <w:color w:val="auto"/>
                <w:szCs w:val="21"/>
                <w:lang w:val="en-US" w:eastAsia="zh-CN"/>
              </w:rPr>
            </w:pPr>
            <w:r>
              <w:rPr>
                <w:rFonts w:hint="eastAsia"/>
                <w:bCs/>
                <w:color w:val="auto"/>
                <w:szCs w:val="21"/>
                <w:lang w:val="en-US" w:eastAsia="zh-CN"/>
              </w:rPr>
              <w:t>项目建设</w:t>
            </w:r>
            <w:r>
              <w:rPr>
                <w:rFonts w:hint="default"/>
                <w:bCs/>
                <w:color w:val="auto"/>
                <w:szCs w:val="21"/>
                <w:lang w:val="en-US" w:eastAsia="zh-CN"/>
              </w:rPr>
              <w:t>1</w:t>
            </w:r>
            <w:r>
              <w:rPr>
                <w:rFonts w:hint="eastAsia"/>
                <w:bCs/>
                <w:color w:val="auto"/>
                <w:szCs w:val="21"/>
                <w:lang w:val="en-US" w:eastAsia="zh-CN"/>
              </w:rPr>
              <w:t>座2</w:t>
            </w:r>
            <w:r>
              <w:rPr>
                <w:rFonts w:hint="default"/>
                <w:bCs/>
                <w:color w:val="auto"/>
                <w:szCs w:val="21"/>
                <w:lang w:val="en-US" w:eastAsia="zh-CN"/>
              </w:rPr>
              <w:t>0m</w:t>
            </w:r>
            <w:r>
              <w:rPr>
                <w:rFonts w:hint="default"/>
                <w:bCs/>
                <w:color w:val="auto"/>
                <w:szCs w:val="21"/>
                <w:vertAlign w:val="superscript"/>
                <w:lang w:val="en-US" w:eastAsia="zh-CN"/>
              </w:rPr>
              <w:t>2</w:t>
            </w:r>
            <w:r>
              <w:rPr>
                <w:rFonts w:hint="eastAsia"/>
                <w:bCs/>
                <w:color w:val="auto"/>
                <w:szCs w:val="21"/>
                <w:lang w:val="en-US" w:eastAsia="zh-CN"/>
              </w:rPr>
              <w:t>的医疗废物贮存库，医疗垃圾、污泥经收集后由专用容器储存在医疗废物贮存库内，危险废物收集、贮存严格按照《危险废物贮存污染控制标准》（</w:t>
            </w:r>
            <w:r>
              <w:rPr>
                <w:rFonts w:hint="default"/>
                <w:bCs/>
                <w:color w:val="auto"/>
                <w:szCs w:val="21"/>
                <w:lang w:val="en-US" w:eastAsia="zh-CN"/>
              </w:rPr>
              <w:t>GB18597-2023</w:t>
            </w:r>
            <w:r>
              <w:rPr>
                <w:rFonts w:hint="eastAsia"/>
                <w:bCs/>
                <w:color w:val="auto"/>
                <w:szCs w:val="21"/>
                <w:lang w:val="en-US" w:eastAsia="zh-CN"/>
              </w:rPr>
              <w:t>）执行。</w:t>
            </w:r>
          </w:p>
          <w:p w14:paraId="164BDFCB">
            <w:pPr>
              <w:widowControl/>
              <w:snapToGrid w:val="0"/>
              <w:jc w:val="center"/>
              <w:rPr>
                <w:b/>
                <w:bCs/>
                <w:color w:val="auto"/>
                <w:sz w:val="18"/>
                <w:szCs w:val="18"/>
              </w:rPr>
            </w:pPr>
            <w:r>
              <w:rPr>
                <w:rFonts w:hint="eastAsia"/>
                <w:b/>
                <w:bCs/>
                <w:color w:val="auto"/>
                <w:sz w:val="18"/>
                <w:szCs w:val="18"/>
              </w:rPr>
              <w:t>表4-1</w:t>
            </w:r>
            <w:r>
              <w:rPr>
                <w:rFonts w:hint="eastAsia"/>
                <w:b/>
                <w:bCs/>
                <w:color w:val="auto"/>
                <w:sz w:val="18"/>
                <w:szCs w:val="18"/>
                <w:lang w:val="en-US" w:eastAsia="zh-CN"/>
              </w:rPr>
              <w:t xml:space="preserve">2 </w:t>
            </w:r>
            <w:r>
              <w:rPr>
                <w:rFonts w:hint="eastAsia"/>
                <w:b/>
                <w:bCs/>
                <w:color w:val="auto"/>
                <w:sz w:val="18"/>
                <w:szCs w:val="18"/>
              </w:rPr>
              <w:t xml:space="preserve">   建设项目危险废物贮存场所（设施）基本情况表</w:t>
            </w:r>
          </w:p>
          <w:tbl>
            <w:tblPr>
              <w:tblStyle w:val="47"/>
              <w:tblW w:w="8023"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777"/>
              <w:gridCol w:w="1306"/>
              <w:gridCol w:w="775"/>
              <w:gridCol w:w="1338"/>
              <w:gridCol w:w="840"/>
              <w:gridCol w:w="717"/>
              <w:gridCol w:w="775"/>
              <w:gridCol w:w="775"/>
              <w:gridCol w:w="720"/>
            </w:tblGrid>
            <w:tr w14:paraId="7D119DC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32" w:hRule="atLeast"/>
                <w:jc w:val="center"/>
              </w:trPr>
              <w:tc>
                <w:tcPr>
                  <w:tcW w:w="777" w:type="dxa"/>
                  <w:vAlign w:val="center"/>
                </w:tcPr>
                <w:p w14:paraId="57CF8958">
                  <w:pPr>
                    <w:topLinePunct/>
                    <w:snapToGrid w:val="0"/>
                    <w:jc w:val="center"/>
                    <w:rPr>
                      <w:color w:val="auto"/>
                      <w:kern w:val="0"/>
                      <w:sz w:val="18"/>
                      <w:szCs w:val="18"/>
                    </w:rPr>
                  </w:pPr>
                  <w:r>
                    <w:rPr>
                      <w:rFonts w:hint="eastAsia"/>
                      <w:color w:val="auto"/>
                      <w:kern w:val="0"/>
                      <w:sz w:val="18"/>
                      <w:szCs w:val="18"/>
                    </w:rPr>
                    <w:t>场所</w:t>
                  </w:r>
                </w:p>
                <w:p w14:paraId="3231C16D">
                  <w:pPr>
                    <w:topLinePunct/>
                    <w:snapToGrid w:val="0"/>
                    <w:jc w:val="center"/>
                    <w:rPr>
                      <w:color w:val="auto"/>
                      <w:kern w:val="0"/>
                      <w:sz w:val="18"/>
                      <w:szCs w:val="18"/>
                    </w:rPr>
                  </w:pPr>
                  <w:r>
                    <w:rPr>
                      <w:rFonts w:hint="eastAsia"/>
                      <w:color w:val="auto"/>
                      <w:kern w:val="0"/>
                      <w:sz w:val="18"/>
                      <w:szCs w:val="18"/>
                    </w:rPr>
                    <w:t>名称</w:t>
                  </w:r>
                </w:p>
              </w:tc>
              <w:tc>
                <w:tcPr>
                  <w:tcW w:w="1306" w:type="dxa"/>
                  <w:vAlign w:val="center"/>
                </w:tcPr>
                <w:p w14:paraId="1CC2B5BD">
                  <w:pPr>
                    <w:topLinePunct/>
                    <w:snapToGrid w:val="0"/>
                    <w:jc w:val="center"/>
                    <w:rPr>
                      <w:color w:val="auto"/>
                      <w:kern w:val="0"/>
                      <w:sz w:val="18"/>
                      <w:szCs w:val="18"/>
                    </w:rPr>
                  </w:pPr>
                  <w:r>
                    <w:rPr>
                      <w:rFonts w:hint="eastAsia"/>
                      <w:color w:val="auto"/>
                      <w:kern w:val="0"/>
                      <w:sz w:val="18"/>
                      <w:szCs w:val="18"/>
                    </w:rPr>
                    <w:t>危险废物名称</w:t>
                  </w:r>
                </w:p>
              </w:tc>
              <w:tc>
                <w:tcPr>
                  <w:tcW w:w="775" w:type="dxa"/>
                  <w:vAlign w:val="center"/>
                </w:tcPr>
                <w:p w14:paraId="745DFCE8">
                  <w:pPr>
                    <w:topLinePunct/>
                    <w:snapToGrid w:val="0"/>
                    <w:jc w:val="center"/>
                    <w:rPr>
                      <w:color w:val="auto"/>
                      <w:kern w:val="0"/>
                      <w:sz w:val="18"/>
                      <w:szCs w:val="18"/>
                    </w:rPr>
                  </w:pPr>
                  <w:r>
                    <w:rPr>
                      <w:rFonts w:hint="eastAsia"/>
                      <w:color w:val="auto"/>
                      <w:kern w:val="0"/>
                      <w:sz w:val="18"/>
                      <w:szCs w:val="18"/>
                    </w:rPr>
                    <w:t>废物</w:t>
                  </w:r>
                </w:p>
                <w:p w14:paraId="0A6A22EB">
                  <w:pPr>
                    <w:topLinePunct/>
                    <w:snapToGrid w:val="0"/>
                    <w:jc w:val="center"/>
                    <w:rPr>
                      <w:color w:val="auto"/>
                      <w:kern w:val="0"/>
                      <w:sz w:val="18"/>
                      <w:szCs w:val="18"/>
                    </w:rPr>
                  </w:pPr>
                  <w:r>
                    <w:rPr>
                      <w:rFonts w:hint="eastAsia"/>
                      <w:color w:val="auto"/>
                      <w:kern w:val="0"/>
                      <w:sz w:val="18"/>
                      <w:szCs w:val="18"/>
                    </w:rPr>
                    <w:t>类别</w:t>
                  </w:r>
                </w:p>
              </w:tc>
              <w:tc>
                <w:tcPr>
                  <w:tcW w:w="1338" w:type="dxa"/>
                  <w:vAlign w:val="center"/>
                </w:tcPr>
                <w:p w14:paraId="7610A862">
                  <w:pPr>
                    <w:topLinePunct/>
                    <w:snapToGrid w:val="0"/>
                    <w:jc w:val="center"/>
                    <w:rPr>
                      <w:color w:val="auto"/>
                      <w:kern w:val="0"/>
                      <w:sz w:val="18"/>
                      <w:szCs w:val="18"/>
                    </w:rPr>
                  </w:pPr>
                  <w:r>
                    <w:rPr>
                      <w:rFonts w:hint="eastAsia"/>
                      <w:color w:val="auto"/>
                      <w:kern w:val="0"/>
                      <w:sz w:val="18"/>
                      <w:szCs w:val="18"/>
                    </w:rPr>
                    <w:t>危险废物代码</w:t>
                  </w:r>
                </w:p>
              </w:tc>
              <w:tc>
                <w:tcPr>
                  <w:tcW w:w="840" w:type="dxa"/>
                  <w:vAlign w:val="center"/>
                </w:tcPr>
                <w:p w14:paraId="337998AC">
                  <w:pPr>
                    <w:topLinePunct/>
                    <w:snapToGrid w:val="0"/>
                    <w:jc w:val="center"/>
                    <w:rPr>
                      <w:color w:val="auto"/>
                      <w:kern w:val="0"/>
                      <w:sz w:val="18"/>
                      <w:szCs w:val="18"/>
                    </w:rPr>
                  </w:pPr>
                  <w:r>
                    <w:rPr>
                      <w:rFonts w:hint="eastAsia"/>
                      <w:color w:val="auto"/>
                      <w:kern w:val="0"/>
                      <w:sz w:val="18"/>
                      <w:szCs w:val="18"/>
                    </w:rPr>
                    <w:t>位置</w:t>
                  </w:r>
                </w:p>
              </w:tc>
              <w:tc>
                <w:tcPr>
                  <w:tcW w:w="717" w:type="dxa"/>
                  <w:vAlign w:val="center"/>
                </w:tcPr>
                <w:p w14:paraId="44F2F1A3">
                  <w:pPr>
                    <w:topLinePunct/>
                    <w:snapToGrid w:val="0"/>
                    <w:jc w:val="center"/>
                    <w:rPr>
                      <w:color w:val="auto"/>
                      <w:kern w:val="0"/>
                      <w:sz w:val="18"/>
                      <w:szCs w:val="18"/>
                    </w:rPr>
                  </w:pPr>
                  <w:r>
                    <w:rPr>
                      <w:rFonts w:hint="eastAsia"/>
                      <w:color w:val="auto"/>
                      <w:kern w:val="0"/>
                      <w:sz w:val="18"/>
                      <w:szCs w:val="18"/>
                    </w:rPr>
                    <w:t>占地面积</w:t>
                  </w:r>
                </w:p>
              </w:tc>
              <w:tc>
                <w:tcPr>
                  <w:tcW w:w="775" w:type="dxa"/>
                  <w:vAlign w:val="center"/>
                </w:tcPr>
                <w:p w14:paraId="57DE2EAF">
                  <w:pPr>
                    <w:topLinePunct/>
                    <w:snapToGrid w:val="0"/>
                    <w:jc w:val="center"/>
                    <w:rPr>
                      <w:color w:val="auto"/>
                      <w:kern w:val="0"/>
                      <w:sz w:val="18"/>
                      <w:szCs w:val="18"/>
                    </w:rPr>
                  </w:pPr>
                  <w:r>
                    <w:rPr>
                      <w:rFonts w:hint="eastAsia"/>
                      <w:color w:val="auto"/>
                      <w:kern w:val="0"/>
                      <w:sz w:val="18"/>
                      <w:szCs w:val="18"/>
                    </w:rPr>
                    <w:t>贮存</w:t>
                  </w:r>
                </w:p>
                <w:p w14:paraId="22788400">
                  <w:pPr>
                    <w:topLinePunct/>
                    <w:snapToGrid w:val="0"/>
                    <w:jc w:val="center"/>
                    <w:rPr>
                      <w:color w:val="auto"/>
                      <w:kern w:val="0"/>
                      <w:sz w:val="18"/>
                      <w:szCs w:val="18"/>
                    </w:rPr>
                  </w:pPr>
                  <w:r>
                    <w:rPr>
                      <w:rFonts w:hint="eastAsia"/>
                      <w:color w:val="auto"/>
                      <w:kern w:val="0"/>
                      <w:sz w:val="18"/>
                      <w:szCs w:val="18"/>
                    </w:rPr>
                    <w:t>方式</w:t>
                  </w:r>
                </w:p>
              </w:tc>
              <w:tc>
                <w:tcPr>
                  <w:tcW w:w="775" w:type="dxa"/>
                  <w:vAlign w:val="center"/>
                </w:tcPr>
                <w:p w14:paraId="166C2ED9">
                  <w:pPr>
                    <w:topLinePunct/>
                    <w:snapToGrid w:val="0"/>
                    <w:jc w:val="center"/>
                    <w:rPr>
                      <w:color w:val="auto"/>
                      <w:kern w:val="0"/>
                      <w:sz w:val="18"/>
                      <w:szCs w:val="18"/>
                    </w:rPr>
                  </w:pPr>
                  <w:r>
                    <w:rPr>
                      <w:rFonts w:hint="eastAsia"/>
                      <w:color w:val="auto"/>
                      <w:kern w:val="0"/>
                      <w:sz w:val="18"/>
                      <w:szCs w:val="18"/>
                    </w:rPr>
                    <w:t>贮存</w:t>
                  </w:r>
                </w:p>
                <w:p w14:paraId="7CBD5D89">
                  <w:pPr>
                    <w:topLinePunct/>
                    <w:snapToGrid w:val="0"/>
                    <w:jc w:val="center"/>
                    <w:rPr>
                      <w:color w:val="auto"/>
                      <w:kern w:val="0"/>
                      <w:sz w:val="18"/>
                      <w:szCs w:val="18"/>
                    </w:rPr>
                  </w:pPr>
                  <w:r>
                    <w:rPr>
                      <w:rFonts w:hint="eastAsia"/>
                      <w:color w:val="auto"/>
                      <w:kern w:val="0"/>
                      <w:sz w:val="18"/>
                      <w:szCs w:val="18"/>
                    </w:rPr>
                    <w:t>能力</w:t>
                  </w:r>
                </w:p>
              </w:tc>
              <w:tc>
                <w:tcPr>
                  <w:tcW w:w="720" w:type="dxa"/>
                  <w:vAlign w:val="center"/>
                </w:tcPr>
                <w:p w14:paraId="7D261ACE">
                  <w:pPr>
                    <w:topLinePunct/>
                    <w:snapToGrid w:val="0"/>
                    <w:jc w:val="center"/>
                    <w:rPr>
                      <w:color w:val="auto"/>
                      <w:kern w:val="0"/>
                      <w:sz w:val="18"/>
                      <w:szCs w:val="18"/>
                    </w:rPr>
                  </w:pPr>
                  <w:r>
                    <w:rPr>
                      <w:rFonts w:hint="eastAsia"/>
                      <w:color w:val="auto"/>
                      <w:kern w:val="0"/>
                      <w:sz w:val="18"/>
                      <w:szCs w:val="18"/>
                    </w:rPr>
                    <w:t>贮存</w:t>
                  </w:r>
                </w:p>
                <w:p w14:paraId="365BA4EB">
                  <w:pPr>
                    <w:topLinePunct/>
                    <w:snapToGrid w:val="0"/>
                    <w:jc w:val="center"/>
                    <w:rPr>
                      <w:color w:val="auto"/>
                      <w:kern w:val="0"/>
                      <w:sz w:val="18"/>
                      <w:szCs w:val="18"/>
                    </w:rPr>
                  </w:pPr>
                  <w:r>
                    <w:rPr>
                      <w:rFonts w:hint="eastAsia"/>
                      <w:color w:val="auto"/>
                      <w:kern w:val="0"/>
                      <w:sz w:val="18"/>
                      <w:szCs w:val="18"/>
                    </w:rPr>
                    <w:t>周期</w:t>
                  </w:r>
                </w:p>
              </w:tc>
            </w:tr>
            <w:tr w14:paraId="651AB92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35" w:hRule="atLeast"/>
                <w:jc w:val="center"/>
              </w:trPr>
              <w:tc>
                <w:tcPr>
                  <w:tcW w:w="777" w:type="dxa"/>
                  <w:vMerge w:val="restart"/>
                  <w:vAlign w:val="center"/>
                </w:tcPr>
                <w:p w14:paraId="15DC0B69">
                  <w:pPr>
                    <w:topLinePunct/>
                    <w:snapToGrid w:val="0"/>
                    <w:jc w:val="center"/>
                    <w:rPr>
                      <w:rFonts w:hint="eastAsia" w:eastAsia="宋体"/>
                      <w:color w:val="auto"/>
                      <w:kern w:val="0"/>
                      <w:sz w:val="18"/>
                      <w:szCs w:val="18"/>
                      <w:lang w:eastAsia="zh-CN"/>
                    </w:rPr>
                  </w:pPr>
                  <w:r>
                    <w:rPr>
                      <w:rFonts w:hint="eastAsia"/>
                      <w:color w:val="auto"/>
                      <w:kern w:val="0"/>
                      <w:sz w:val="18"/>
                      <w:szCs w:val="18"/>
                      <w:lang w:val="en-US" w:eastAsia="zh-CN"/>
                    </w:rPr>
                    <w:t>医疗废物</w:t>
                  </w:r>
                  <w:r>
                    <w:rPr>
                      <w:rFonts w:hint="eastAsia"/>
                      <w:color w:val="auto"/>
                      <w:kern w:val="0"/>
                      <w:sz w:val="18"/>
                      <w:szCs w:val="18"/>
                      <w:lang w:eastAsia="zh-CN"/>
                    </w:rPr>
                    <w:t>贮存库</w:t>
                  </w:r>
                </w:p>
              </w:tc>
              <w:tc>
                <w:tcPr>
                  <w:tcW w:w="1306" w:type="dxa"/>
                  <w:vAlign w:val="center"/>
                </w:tcPr>
                <w:p w14:paraId="4064360E">
                  <w:pPr>
                    <w:topLinePunct/>
                    <w:snapToGrid w:val="0"/>
                    <w:jc w:val="center"/>
                    <w:rPr>
                      <w:rFonts w:hint="default" w:eastAsia="宋体"/>
                      <w:color w:val="auto"/>
                      <w:kern w:val="0"/>
                      <w:sz w:val="18"/>
                      <w:szCs w:val="18"/>
                      <w:lang w:val="en-US" w:eastAsia="zh-CN"/>
                    </w:rPr>
                  </w:pPr>
                  <w:r>
                    <w:rPr>
                      <w:rFonts w:hint="eastAsia"/>
                      <w:color w:val="auto"/>
                      <w:kern w:val="0"/>
                      <w:sz w:val="18"/>
                      <w:szCs w:val="18"/>
                      <w:lang w:val="en-US" w:eastAsia="zh-CN"/>
                    </w:rPr>
                    <w:t>医疗废物</w:t>
                  </w:r>
                </w:p>
              </w:tc>
              <w:tc>
                <w:tcPr>
                  <w:tcW w:w="775" w:type="dxa"/>
                  <w:vAlign w:val="center"/>
                </w:tcPr>
                <w:p w14:paraId="3672932D">
                  <w:pPr>
                    <w:adjustRightInd w:val="0"/>
                    <w:snapToGrid w:val="0"/>
                    <w:jc w:val="center"/>
                    <w:rPr>
                      <w:rFonts w:hint="default" w:eastAsia="宋体"/>
                      <w:color w:val="auto"/>
                      <w:kern w:val="0"/>
                      <w:sz w:val="18"/>
                      <w:szCs w:val="18"/>
                      <w:lang w:val="en-US" w:eastAsia="zh-CN"/>
                    </w:rPr>
                  </w:pPr>
                  <w:r>
                    <w:rPr>
                      <w:rFonts w:hint="eastAsia"/>
                      <w:color w:val="auto"/>
                      <w:kern w:val="0"/>
                      <w:sz w:val="18"/>
                      <w:szCs w:val="18"/>
                      <w:lang w:val="en-US" w:eastAsia="zh-CN"/>
                    </w:rPr>
                    <w:t>HW01</w:t>
                  </w:r>
                </w:p>
              </w:tc>
              <w:tc>
                <w:tcPr>
                  <w:tcW w:w="1338" w:type="dxa"/>
                  <w:shd w:val="clear" w:color="auto" w:fill="auto"/>
                  <w:vAlign w:val="center"/>
                </w:tcPr>
                <w:p w14:paraId="41561CDE">
                  <w:pPr>
                    <w:keepNext w:val="0"/>
                    <w:keepLines w:val="0"/>
                    <w:widowControl/>
                    <w:suppressLineNumbers w:val="0"/>
                    <w:jc w:val="left"/>
                    <w:rPr>
                      <w:rFonts w:hint="default" w:ascii="Times New Roman" w:hAnsi="Times New Roman" w:eastAsia="宋体" w:cs="Times New Roman"/>
                      <w:color w:val="000000"/>
                      <w:kern w:val="0"/>
                      <w:sz w:val="18"/>
                      <w:szCs w:val="18"/>
                      <w:lang w:val="en-US" w:eastAsia="zh-CN" w:bidi="ar"/>
                    </w:rPr>
                  </w:pPr>
                  <w:r>
                    <w:rPr>
                      <w:rFonts w:hint="default" w:ascii="Times New Roman" w:hAnsi="Times New Roman" w:eastAsia="宋体" w:cs="Times New Roman"/>
                      <w:color w:val="000000"/>
                      <w:kern w:val="0"/>
                      <w:sz w:val="18"/>
                      <w:szCs w:val="18"/>
                      <w:lang w:val="en-US" w:eastAsia="zh-CN" w:bidi="ar"/>
                    </w:rPr>
                    <w:t>841-001-01</w:t>
                  </w:r>
                  <w:r>
                    <w:rPr>
                      <w:rFonts w:hint="eastAsia" w:cs="Times New Roman"/>
                      <w:color w:val="000000"/>
                      <w:kern w:val="0"/>
                      <w:sz w:val="18"/>
                      <w:szCs w:val="18"/>
                      <w:lang w:val="en-US" w:eastAsia="zh-CN" w:bidi="ar"/>
                    </w:rPr>
                    <w:t>、</w:t>
                  </w:r>
                </w:p>
                <w:p w14:paraId="6EC9311A">
                  <w:pPr>
                    <w:keepNext w:val="0"/>
                    <w:keepLines w:val="0"/>
                    <w:widowControl/>
                    <w:suppressLineNumbers w:val="0"/>
                    <w:jc w:val="left"/>
                    <w:rPr>
                      <w:rFonts w:hint="eastAsia"/>
                      <w:color w:val="auto"/>
                      <w:sz w:val="18"/>
                      <w:szCs w:val="18"/>
                      <w:lang w:val="en-US" w:eastAsia="zh-CN"/>
                    </w:rPr>
                  </w:pPr>
                  <w:r>
                    <w:rPr>
                      <w:rFonts w:hint="default" w:ascii="Times New Roman" w:hAnsi="Times New Roman" w:eastAsia="宋体" w:cs="Times New Roman"/>
                      <w:color w:val="000000"/>
                      <w:kern w:val="0"/>
                      <w:sz w:val="18"/>
                      <w:szCs w:val="18"/>
                      <w:lang w:val="en-US" w:eastAsia="zh-CN" w:bidi="ar"/>
                    </w:rPr>
                    <w:t>841-002-01</w:t>
                  </w:r>
                  <w:r>
                    <w:rPr>
                      <w:rFonts w:hint="eastAsia" w:cs="Times New Roman"/>
                      <w:color w:val="000000"/>
                      <w:kern w:val="0"/>
                      <w:sz w:val="18"/>
                      <w:szCs w:val="18"/>
                      <w:lang w:val="en-US" w:eastAsia="zh-CN" w:bidi="ar"/>
                    </w:rPr>
                    <w:t>、</w:t>
                  </w:r>
                </w:p>
                <w:p w14:paraId="0F218787">
                  <w:pPr>
                    <w:keepNext w:val="0"/>
                    <w:keepLines w:val="0"/>
                    <w:widowControl/>
                    <w:suppressLineNumbers w:val="0"/>
                    <w:jc w:val="left"/>
                    <w:rPr>
                      <w:rFonts w:hint="eastAsia"/>
                      <w:color w:val="auto"/>
                      <w:sz w:val="18"/>
                      <w:szCs w:val="18"/>
                      <w:lang w:val="en-US" w:eastAsia="zh-CN"/>
                    </w:rPr>
                  </w:pPr>
                  <w:r>
                    <w:rPr>
                      <w:rFonts w:hint="default" w:ascii="Times New Roman" w:hAnsi="Times New Roman" w:eastAsia="宋体" w:cs="Times New Roman"/>
                      <w:color w:val="000000"/>
                      <w:kern w:val="0"/>
                      <w:sz w:val="18"/>
                      <w:szCs w:val="18"/>
                      <w:lang w:val="en-US" w:eastAsia="zh-CN" w:bidi="ar"/>
                    </w:rPr>
                    <w:t>841-003-01</w:t>
                  </w:r>
                  <w:r>
                    <w:rPr>
                      <w:rFonts w:hint="eastAsia" w:cs="Times New Roman"/>
                      <w:color w:val="000000"/>
                      <w:kern w:val="0"/>
                      <w:sz w:val="18"/>
                      <w:szCs w:val="18"/>
                      <w:lang w:val="en-US" w:eastAsia="zh-CN" w:bidi="ar"/>
                    </w:rPr>
                    <w:t>、</w:t>
                  </w:r>
                </w:p>
                <w:p w14:paraId="5B9E92A3">
                  <w:pPr>
                    <w:keepNext w:val="0"/>
                    <w:keepLines w:val="0"/>
                    <w:widowControl/>
                    <w:suppressLineNumbers w:val="0"/>
                    <w:jc w:val="left"/>
                    <w:rPr>
                      <w:rFonts w:hint="eastAsia"/>
                      <w:color w:val="auto"/>
                      <w:sz w:val="18"/>
                      <w:szCs w:val="18"/>
                      <w:lang w:val="en-US" w:eastAsia="zh-CN"/>
                    </w:rPr>
                  </w:pPr>
                  <w:r>
                    <w:rPr>
                      <w:rFonts w:hint="default" w:ascii="Times New Roman" w:hAnsi="Times New Roman" w:eastAsia="宋体" w:cs="Times New Roman"/>
                      <w:color w:val="000000"/>
                      <w:kern w:val="0"/>
                      <w:sz w:val="18"/>
                      <w:szCs w:val="18"/>
                      <w:lang w:val="en-US" w:eastAsia="zh-CN" w:bidi="ar"/>
                    </w:rPr>
                    <w:t>841-004-01</w:t>
                  </w:r>
                  <w:r>
                    <w:rPr>
                      <w:rFonts w:hint="eastAsia" w:cs="Times New Roman"/>
                      <w:color w:val="000000"/>
                      <w:kern w:val="0"/>
                      <w:sz w:val="18"/>
                      <w:szCs w:val="18"/>
                      <w:lang w:val="en-US" w:eastAsia="zh-CN" w:bidi="ar"/>
                    </w:rPr>
                    <w:t>、</w:t>
                  </w:r>
                </w:p>
                <w:p w14:paraId="2D1FE65C">
                  <w:pPr>
                    <w:keepNext w:val="0"/>
                    <w:keepLines w:val="0"/>
                    <w:widowControl/>
                    <w:suppressLineNumbers w:val="0"/>
                    <w:jc w:val="left"/>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000000"/>
                      <w:kern w:val="0"/>
                      <w:sz w:val="18"/>
                      <w:szCs w:val="18"/>
                      <w:lang w:val="en-US" w:eastAsia="zh-CN" w:bidi="ar"/>
                    </w:rPr>
                    <w:t>841-005-01</w:t>
                  </w:r>
                </w:p>
              </w:tc>
              <w:tc>
                <w:tcPr>
                  <w:tcW w:w="840" w:type="dxa"/>
                  <w:vMerge w:val="restart"/>
                  <w:vAlign w:val="center"/>
                </w:tcPr>
                <w:p w14:paraId="67CA58FC">
                  <w:pPr>
                    <w:topLinePunct/>
                    <w:snapToGrid w:val="0"/>
                    <w:jc w:val="center"/>
                    <w:rPr>
                      <w:rFonts w:hint="default" w:eastAsia="宋体"/>
                      <w:color w:val="auto"/>
                      <w:kern w:val="0"/>
                      <w:sz w:val="18"/>
                      <w:szCs w:val="18"/>
                      <w:lang w:val="en-US" w:eastAsia="zh-CN"/>
                    </w:rPr>
                  </w:pPr>
                  <w:r>
                    <w:rPr>
                      <w:rFonts w:hint="eastAsia"/>
                      <w:color w:val="auto"/>
                      <w:kern w:val="0"/>
                      <w:sz w:val="18"/>
                      <w:szCs w:val="18"/>
                      <w:lang w:val="en-US" w:eastAsia="zh-CN"/>
                    </w:rPr>
                    <w:t>住院楼地下西南角处</w:t>
                  </w:r>
                </w:p>
              </w:tc>
              <w:tc>
                <w:tcPr>
                  <w:tcW w:w="717" w:type="dxa"/>
                  <w:vMerge w:val="restart"/>
                  <w:vAlign w:val="center"/>
                </w:tcPr>
                <w:p w14:paraId="5DAFD37C">
                  <w:pPr>
                    <w:topLinePunct/>
                    <w:snapToGrid w:val="0"/>
                    <w:jc w:val="center"/>
                    <w:rPr>
                      <w:color w:val="auto"/>
                      <w:kern w:val="0"/>
                      <w:sz w:val="18"/>
                      <w:szCs w:val="18"/>
                    </w:rPr>
                  </w:pPr>
                  <w:r>
                    <w:rPr>
                      <w:rFonts w:hint="eastAsia"/>
                      <w:color w:val="auto"/>
                      <w:kern w:val="0"/>
                      <w:sz w:val="18"/>
                      <w:szCs w:val="18"/>
                      <w:lang w:val="en-US" w:eastAsia="zh-CN"/>
                    </w:rPr>
                    <w:t>20</w:t>
                  </w:r>
                  <w:r>
                    <w:rPr>
                      <w:color w:val="auto"/>
                      <w:kern w:val="0"/>
                      <w:sz w:val="18"/>
                      <w:szCs w:val="18"/>
                    </w:rPr>
                    <w:t>m</w:t>
                  </w:r>
                  <w:r>
                    <w:rPr>
                      <w:color w:val="auto"/>
                      <w:kern w:val="0"/>
                      <w:sz w:val="18"/>
                      <w:szCs w:val="18"/>
                      <w:vertAlign w:val="superscript"/>
                    </w:rPr>
                    <w:t>2</w:t>
                  </w:r>
                </w:p>
              </w:tc>
              <w:tc>
                <w:tcPr>
                  <w:tcW w:w="775" w:type="dxa"/>
                  <w:vMerge w:val="restart"/>
                  <w:vAlign w:val="center"/>
                </w:tcPr>
                <w:p w14:paraId="3E2A2109">
                  <w:pPr>
                    <w:topLinePunct/>
                    <w:snapToGrid w:val="0"/>
                    <w:jc w:val="center"/>
                    <w:rPr>
                      <w:color w:val="auto"/>
                      <w:kern w:val="0"/>
                      <w:sz w:val="18"/>
                      <w:szCs w:val="18"/>
                    </w:rPr>
                  </w:pPr>
                  <w:r>
                    <w:rPr>
                      <w:rFonts w:hint="eastAsia"/>
                      <w:color w:val="auto"/>
                      <w:kern w:val="0"/>
                      <w:sz w:val="18"/>
                      <w:szCs w:val="18"/>
                      <w:lang w:val="en-US" w:eastAsia="zh-CN"/>
                    </w:rPr>
                    <w:t>桶、袋等专用</w:t>
                  </w:r>
                  <w:r>
                    <w:rPr>
                      <w:rFonts w:hint="eastAsia"/>
                      <w:color w:val="auto"/>
                      <w:kern w:val="0"/>
                      <w:sz w:val="18"/>
                      <w:szCs w:val="18"/>
                    </w:rPr>
                    <w:t>容器</w:t>
                  </w:r>
                </w:p>
              </w:tc>
              <w:tc>
                <w:tcPr>
                  <w:tcW w:w="775" w:type="dxa"/>
                  <w:vMerge w:val="restart"/>
                  <w:vAlign w:val="center"/>
                </w:tcPr>
                <w:p w14:paraId="499331EE">
                  <w:pPr>
                    <w:topLinePunct/>
                    <w:snapToGrid w:val="0"/>
                    <w:jc w:val="center"/>
                    <w:rPr>
                      <w:color w:val="auto"/>
                      <w:kern w:val="0"/>
                      <w:sz w:val="18"/>
                      <w:szCs w:val="18"/>
                    </w:rPr>
                  </w:pPr>
                  <w:r>
                    <w:rPr>
                      <w:rFonts w:hint="eastAsia"/>
                      <w:color w:val="auto"/>
                      <w:kern w:val="0"/>
                      <w:sz w:val="18"/>
                      <w:szCs w:val="18"/>
                      <w:lang w:val="en-US" w:eastAsia="zh-CN"/>
                    </w:rPr>
                    <w:t>8</w:t>
                  </w:r>
                  <w:r>
                    <w:rPr>
                      <w:color w:val="auto"/>
                      <w:kern w:val="0"/>
                      <w:sz w:val="18"/>
                      <w:szCs w:val="18"/>
                    </w:rPr>
                    <w:t>t</w:t>
                  </w:r>
                </w:p>
              </w:tc>
              <w:tc>
                <w:tcPr>
                  <w:tcW w:w="720" w:type="dxa"/>
                  <w:vMerge w:val="restart"/>
                  <w:vAlign w:val="center"/>
                </w:tcPr>
                <w:p w14:paraId="5F903EB5">
                  <w:pPr>
                    <w:topLinePunct/>
                    <w:snapToGrid w:val="0"/>
                    <w:jc w:val="center"/>
                    <w:rPr>
                      <w:rFonts w:hint="default" w:eastAsia="宋体"/>
                      <w:color w:val="auto"/>
                      <w:kern w:val="0"/>
                      <w:sz w:val="18"/>
                      <w:szCs w:val="18"/>
                      <w:lang w:val="en-US" w:eastAsia="zh-CN"/>
                    </w:rPr>
                  </w:pPr>
                  <w:r>
                    <w:rPr>
                      <w:rFonts w:hint="eastAsia"/>
                      <w:color w:val="auto"/>
                      <w:kern w:val="0"/>
                      <w:sz w:val="18"/>
                      <w:szCs w:val="18"/>
                      <w:lang w:val="en-US" w:eastAsia="zh-CN"/>
                    </w:rPr>
                    <w:t>尽量日产日清，最长贮存周期不超过48h</w:t>
                  </w:r>
                </w:p>
              </w:tc>
            </w:tr>
            <w:tr w14:paraId="64C4879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35" w:hRule="atLeast"/>
                <w:jc w:val="center"/>
              </w:trPr>
              <w:tc>
                <w:tcPr>
                  <w:tcW w:w="777" w:type="dxa"/>
                  <w:vMerge w:val="continue"/>
                  <w:vAlign w:val="center"/>
                </w:tcPr>
                <w:p w14:paraId="7CD88F56">
                  <w:pPr>
                    <w:topLinePunct/>
                    <w:snapToGrid w:val="0"/>
                    <w:jc w:val="center"/>
                    <w:rPr>
                      <w:rFonts w:hint="eastAsia"/>
                      <w:color w:val="auto"/>
                      <w:kern w:val="0"/>
                      <w:sz w:val="18"/>
                      <w:szCs w:val="18"/>
                      <w:lang w:eastAsia="zh-CN"/>
                    </w:rPr>
                  </w:pPr>
                </w:p>
              </w:tc>
              <w:tc>
                <w:tcPr>
                  <w:tcW w:w="1306" w:type="dxa"/>
                  <w:vAlign w:val="center"/>
                </w:tcPr>
                <w:p w14:paraId="35F81E09">
                  <w:pPr>
                    <w:topLinePunct/>
                    <w:snapToGrid w:val="0"/>
                    <w:jc w:val="center"/>
                    <w:rPr>
                      <w:rFonts w:hint="eastAsia" w:ascii="Times New Roman" w:hAnsi="Times New Roman" w:eastAsia="宋体" w:cs="Times New Roman"/>
                      <w:color w:val="auto"/>
                      <w:kern w:val="0"/>
                      <w:sz w:val="18"/>
                      <w:szCs w:val="18"/>
                      <w:lang w:val="en-US" w:eastAsia="zh-CN" w:bidi="ar-SA"/>
                    </w:rPr>
                  </w:pPr>
                  <w:r>
                    <w:rPr>
                      <w:rFonts w:hint="eastAsia"/>
                      <w:color w:val="auto"/>
                      <w:kern w:val="0"/>
                      <w:sz w:val="18"/>
                      <w:szCs w:val="18"/>
                      <w:lang w:val="en-US" w:eastAsia="zh-CN"/>
                    </w:rPr>
                    <w:t>污泥</w:t>
                  </w:r>
                </w:p>
              </w:tc>
              <w:tc>
                <w:tcPr>
                  <w:tcW w:w="775" w:type="dxa"/>
                  <w:vAlign w:val="center"/>
                </w:tcPr>
                <w:p w14:paraId="283D6085">
                  <w:pPr>
                    <w:adjustRightInd w:val="0"/>
                    <w:snapToGrid w:val="0"/>
                    <w:jc w:val="center"/>
                    <w:rPr>
                      <w:rFonts w:ascii="Times New Roman" w:hAnsi="Times New Roman" w:eastAsia="宋体" w:cs="Times New Roman"/>
                      <w:color w:val="auto"/>
                      <w:kern w:val="0"/>
                      <w:sz w:val="18"/>
                      <w:szCs w:val="18"/>
                      <w:lang w:val="en-US" w:eastAsia="zh-CN" w:bidi="ar-SA"/>
                    </w:rPr>
                  </w:pPr>
                  <w:r>
                    <w:rPr>
                      <w:color w:val="auto"/>
                      <w:sz w:val="18"/>
                      <w:szCs w:val="18"/>
                    </w:rPr>
                    <w:t>HW08</w:t>
                  </w:r>
                </w:p>
              </w:tc>
              <w:tc>
                <w:tcPr>
                  <w:tcW w:w="1338" w:type="dxa"/>
                  <w:vAlign w:val="center"/>
                </w:tcPr>
                <w:p w14:paraId="64EC678F">
                  <w:pPr>
                    <w:adjustRightInd w:val="0"/>
                    <w:snapToGrid w:val="0"/>
                    <w:jc w:val="center"/>
                    <w:rPr>
                      <w:rFonts w:hint="eastAsia" w:ascii="Times New Roman" w:hAnsi="Times New Roman" w:eastAsia="宋体" w:cs="Times New Roman"/>
                      <w:color w:val="auto"/>
                      <w:kern w:val="0"/>
                      <w:sz w:val="18"/>
                      <w:szCs w:val="18"/>
                      <w:lang w:val="en-US" w:eastAsia="zh-CN" w:bidi="ar-SA"/>
                    </w:rPr>
                  </w:pPr>
                  <w:r>
                    <w:rPr>
                      <w:rFonts w:hint="eastAsia"/>
                      <w:color w:val="auto"/>
                      <w:sz w:val="18"/>
                      <w:szCs w:val="18"/>
                    </w:rPr>
                    <w:t>900-214-08</w:t>
                  </w:r>
                </w:p>
              </w:tc>
              <w:tc>
                <w:tcPr>
                  <w:tcW w:w="840" w:type="dxa"/>
                  <w:vMerge w:val="continue"/>
                  <w:vAlign w:val="center"/>
                </w:tcPr>
                <w:p w14:paraId="7AD9B271">
                  <w:pPr>
                    <w:topLinePunct/>
                    <w:snapToGrid w:val="0"/>
                    <w:jc w:val="center"/>
                    <w:rPr>
                      <w:rFonts w:hint="eastAsia"/>
                      <w:color w:val="auto"/>
                      <w:kern w:val="0"/>
                      <w:sz w:val="18"/>
                      <w:szCs w:val="18"/>
                    </w:rPr>
                  </w:pPr>
                </w:p>
              </w:tc>
              <w:tc>
                <w:tcPr>
                  <w:tcW w:w="717" w:type="dxa"/>
                  <w:vMerge w:val="continue"/>
                  <w:vAlign w:val="center"/>
                </w:tcPr>
                <w:p w14:paraId="4A736E18">
                  <w:pPr>
                    <w:topLinePunct/>
                    <w:snapToGrid w:val="0"/>
                    <w:jc w:val="center"/>
                    <w:rPr>
                      <w:rFonts w:hint="eastAsia"/>
                      <w:color w:val="auto"/>
                      <w:kern w:val="0"/>
                      <w:sz w:val="18"/>
                      <w:szCs w:val="18"/>
                    </w:rPr>
                  </w:pPr>
                </w:p>
              </w:tc>
              <w:tc>
                <w:tcPr>
                  <w:tcW w:w="775" w:type="dxa"/>
                  <w:vMerge w:val="continue"/>
                  <w:vAlign w:val="center"/>
                </w:tcPr>
                <w:p w14:paraId="5C83CB49">
                  <w:pPr>
                    <w:topLinePunct/>
                    <w:snapToGrid w:val="0"/>
                    <w:jc w:val="center"/>
                    <w:rPr>
                      <w:rFonts w:hint="eastAsia"/>
                      <w:color w:val="auto"/>
                      <w:kern w:val="0"/>
                      <w:sz w:val="18"/>
                      <w:szCs w:val="18"/>
                    </w:rPr>
                  </w:pPr>
                </w:p>
              </w:tc>
              <w:tc>
                <w:tcPr>
                  <w:tcW w:w="775" w:type="dxa"/>
                  <w:vMerge w:val="continue"/>
                  <w:vAlign w:val="center"/>
                </w:tcPr>
                <w:p w14:paraId="5001FF5E">
                  <w:pPr>
                    <w:topLinePunct/>
                    <w:snapToGrid w:val="0"/>
                    <w:jc w:val="center"/>
                    <w:rPr>
                      <w:rFonts w:hint="eastAsia"/>
                      <w:color w:val="auto"/>
                      <w:kern w:val="0"/>
                      <w:sz w:val="18"/>
                      <w:szCs w:val="18"/>
                    </w:rPr>
                  </w:pPr>
                </w:p>
              </w:tc>
              <w:tc>
                <w:tcPr>
                  <w:tcW w:w="720" w:type="dxa"/>
                  <w:vMerge w:val="continue"/>
                  <w:vAlign w:val="center"/>
                </w:tcPr>
                <w:p w14:paraId="176B8528">
                  <w:pPr>
                    <w:topLinePunct/>
                    <w:snapToGrid w:val="0"/>
                    <w:jc w:val="center"/>
                    <w:rPr>
                      <w:rFonts w:hint="eastAsia"/>
                      <w:color w:val="auto"/>
                      <w:kern w:val="0"/>
                      <w:sz w:val="18"/>
                      <w:szCs w:val="18"/>
                    </w:rPr>
                  </w:pPr>
                </w:p>
              </w:tc>
            </w:tr>
          </w:tbl>
          <w:p w14:paraId="4671D4F1">
            <w:pPr>
              <w:spacing w:line="360" w:lineRule="auto"/>
              <w:ind w:firstLine="420" w:firstLineChars="200"/>
              <w:rPr>
                <w:rFonts w:hint="eastAsia"/>
                <w:bCs/>
                <w:color w:val="auto"/>
                <w:szCs w:val="21"/>
                <w:lang w:val="en-US" w:eastAsia="zh-CN"/>
              </w:rPr>
            </w:pPr>
            <w:r>
              <w:rPr>
                <w:rFonts w:hint="eastAsia"/>
                <w:bCs/>
                <w:color w:val="auto"/>
                <w:szCs w:val="21"/>
                <w:lang w:val="en-US" w:eastAsia="zh-CN"/>
              </w:rPr>
              <w:t xml:space="preserve">①医疗废物贮存库建设要求 </w:t>
            </w:r>
          </w:p>
          <w:p w14:paraId="0CEA1934">
            <w:pPr>
              <w:spacing w:line="360" w:lineRule="auto"/>
              <w:ind w:firstLine="420" w:firstLineChars="200"/>
              <w:rPr>
                <w:rFonts w:hint="eastAsia"/>
                <w:bCs/>
                <w:color w:val="auto"/>
                <w:szCs w:val="21"/>
                <w:lang w:val="en-US" w:eastAsia="zh-CN"/>
              </w:rPr>
            </w:pPr>
            <w:r>
              <w:rPr>
                <w:rFonts w:hint="default"/>
                <w:bCs/>
                <w:color w:val="auto"/>
                <w:szCs w:val="21"/>
                <w:lang w:val="en-US" w:eastAsia="zh-CN"/>
              </w:rPr>
              <w:t>a</w:t>
            </w:r>
            <w:r>
              <w:rPr>
                <w:rFonts w:hint="eastAsia"/>
                <w:bCs/>
                <w:color w:val="auto"/>
                <w:szCs w:val="21"/>
                <w:lang w:val="en-US" w:eastAsia="zh-CN"/>
              </w:rPr>
              <w:t xml:space="preserve">、医疗废物贮存库采用仓库式设计，库内地面与裙脚采用坚固、防渗的材料建造，建筑材料必须与危险废物相容。基础和裙脚必须防渗，防渗层为至少 </w:t>
            </w:r>
            <w:r>
              <w:rPr>
                <w:rFonts w:hint="default"/>
                <w:bCs/>
                <w:color w:val="auto"/>
                <w:szCs w:val="21"/>
                <w:lang w:val="en-US" w:eastAsia="zh-CN"/>
              </w:rPr>
              <w:t xml:space="preserve">1m </w:t>
            </w:r>
            <w:r>
              <w:rPr>
                <w:rFonts w:hint="eastAsia"/>
                <w:bCs/>
                <w:color w:val="auto"/>
                <w:szCs w:val="21"/>
                <w:lang w:val="en-US" w:eastAsia="zh-CN"/>
              </w:rPr>
              <w:t>厚的粘土层（渗透系数≤</w:t>
            </w:r>
            <w:r>
              <w:rPr>
                <w:rFonts w:hint="default"/>
                <w:bCs/>
                <w:color w:val="auto"/>
                <w:szCs w:val="21"/>
                <w:lang w:val="en-US" w:eastAsia="zh-CN"/>
              </w:rPr>
              <w:t>10</w:t>
            </w:r>
            <w:r>
              <w:rPr>
                <w:rFonts w:hint="default"/>
                <w:bCs/>
                <w:color w:val="auto"/>
                <w:szCs w:val="21"/>
                <w:vertAlign w:val="superscript"/>
                <w:lang w:val="en-US" w:eastAsia="zh-CN"/>
              </w:rPr>
              <w:t xml:space="preserve"> -7 </w:t>
            </w:r>
            <w:r>
              <w:rPr>
                <w:rFonts w:hint="default"/>
                <w:bCs/>
                <w:color w:val="auto"/>
                <w:szCs w:val="21"/>
                <w:lang w:val="en-US" w:eastAsia="zh-CN"/>
              </w:rPr>
              <w:t>cm/s</w:t>
            </w:r>
            <w:r>
              <w:rPr>
                <w:rFonts w:hint="eastAsia"/>
                <w:bCs/>
                <w:color w:val="auto"/>
                <w:szCs w:val="21"/>
                <w:lang w:val="en-US" w:eastAsia="zh-CN"/>
              </w:rPr>
              <w:t>），或</w:t>
            </w:r>
            <w:r>
              <w:rPr>
                <w:rFonts w:hint="default"/>
                <w:bCs/>
                <w:color w:val="auto"/>
                <w:szCs w:val="21"/>
                <w:lang w:val="en-US" w:eastAsia="zh-CN"/>
              </w:rPr>
              <w:t xml:space="preserve">2mm </w:t>
            </w:r>
            <w:r>
              <w:rPr>
                <w:rFonts w:hint="eastAsia"/>
                <w:bCs/>
                <w:color w:val="auto"/>
                <w:szCs w:val="21"/>
                <w:lang w:val="en-US" w:eastAsia="zh-CN"/>
              </w:rPr>
              <w:t>厚的高密度聚乙烯，或至少</w:t>
            </w:r>
            <w:r>
              <w:rPr>
                <w:rFonts w:hint="default"/>
                <w:bCs/>
                <w:color w:val="auto"/>
                <w:szCs w:val="21"/>
                <w:lang w:val="en-US" w:eastAsia="zh-CN"/>
              </w:rPr>
              <w:t>2mm</w:t>
            </w:r>
            <w:r>
              <w:rPr>
                <w:rFonts w:hint="eastAsia"/>
                <w:bCs/>
                <w:color w:val="auto"/>
                <w:szCs w:val="21"/>
                <w:lang w:val="en-US" w:eastAsia="zh-CN"/>
              </w:rPr>
              <w:t>厚的其它人工材料（渗透系数≤</w:t>
            </w:r>
            <w:r>
              <w:rPr>
                <w:rFonts w:hint="default"/>
                <w:bCs/>
                <w:color w:val="auto"/>
                <w:szCs w:val="21"/>
                <w:lang w:val="en-US" w:eastAsia="zh-CN"/>
              </w:rPr>
              <w:t xml:space="preserve">10 </w:t>
            </w:r>
            <w:r>
              <w:rPr>
                <w:rFonts w:hint="default"/>
                <w:bCs/>
                <w:color w:val="auto"/>
                <w:szCs w:val="21"/>
                <w:vertAlign w:val="superscript"/>
                <w:lang w:val="en-US" w:eastAsia="zh-CN"/>
              </w:rPr>
              <w:t xml:space="preserve">-10 </w:t>
            </w:r>
            <w:r>
              <w:rPr>
                <w:rFonts w:hint="default"/>
                <w:bCs/>
                <w:color w:val="auto"/>
                <w:szCs w:val="21"/>
                <w:lang w:val="en-US" w:eastAsia="zh-CN"/>
              </w:rPr>
              <w:t>cm/s</w:t>
            </w:r>
            <w:r>
              <w:rPr>
                <w:rFonts w:hint="eastAsia"/>
                <w:bCs/>
                <w:color w:val="auto"/>
                <w:szCs w:val="21"/>
                <w:lang w:val="en-US" w:eastAsia="zh-CN"/>
              </w:rPr>
              <w:t xml:space="preserve">）。 </w:t>
            </w:r>
          </w:p>
          <w:p w14:paraId="04D0421B">
            <w:pPr>
              <w:spacing w:line="360" w:lineRule="auto"/>
              <w:ind w:firstLine="420" w:firstLineChars="200"/>
              <w:rPr>
                <w:rFonts w:hint="eastAsia"/>
                <w:bCs/>
                <w:color w:val="auto"/>
                <w:szCs w:val="21"/>
                <w:lang w:val="en-US" w:eastAsia="zh-CN"/>
              </w:rPr>
            </w:pPr>
            <w:r>
              <w:rPr>
                <w:rFonts w:hint="default"/>
                <w:bCs/>
                <w:color w:val="auto"/>
                <w:szCs w:val="21"/>
                <w:lang w:val="en-US" w:eastAsia="zh-CN"/>
              </w:rPr>
              <w:t>b</w:t>
            </w:r>
            <w:r>
              <w:rPr>
                <w:rFonts w:hint="eastAsia"/>
                <w:bCs/>
                <w:color w:val="auto"/>
                <w:szCs w:val="21"/>
                <w:lang w:val="en-US" w:eastAsia="zh-CN"/>
              </w:rPr>
              <w:t xml:space="preserve">、医疗废物贮存库周边应设计建造径流疏导系统，保证能防止 </w:t>
            </w:r>
            <w:r>
              <w:rPr>
                <w:rFonts w:hint="default"/>
                <w:bCs/>
                <w:color w:val="auto"/>
                <w:szCs w:val="21"/>
                <w:lang w:val="en-US" w:eastAsia="zh-CN"/>
              </w:rPr>
              <w:t xml:space="preserve">50 </w:t>
            </w:r>
            <w:r>
              <w:rPr>
                <w:rFonts w:hint="eastAsia"/>
                <w:bCs/>
                <w:color w:val="auto"/>
                <w:szCs w:val="21"/>
                <w:lang w:val="en-US" w:eastAsia="zh-CN"/>
              </w:rPr>
              <w:t xml:space="preserve">年一遇的暴雨不会流入到医疗废物贮存库内。 </w:t>
            </w:r>
          </w:p>
          <w:p w14:paraId="4C458431">
            <w:pPr>
              <w:spacing w:line="360" w:lineRule="auto"/>
              <w:ind w:firstLine="420" w:firstLineChars="200"/>
              <w:rPr>
                <w:rFonts w:hint="eastAsia"/>
                <w:bCs/>
                <w:color w:val="auto"/>
                <w:szCs w:val="21"/>
                <w:lang w:val="en-US" w:eastAsia="zh-CN"/>
              </w:rPr>
            </w:pPr>
            <w:r>
              <w:rPr>
                <w:rFonts w:hint="default"/>
                <w:bCs/>
                <w:color w:val="auto"/>
                <w:szCs w:val="21"/>
                <w:lang w:val="en-US" w:eastAsia="zh-CN"/>
              </w:rPr>
              <w:t>c</w:t>
            </w:r>
            <w:r>
              <w:rPr>
                <w:rFonts w:hint="eastAsia"/>
                <w:bCs/>
                <w:color w:val="auto"/>
                <w:szCs w:val="21"/>
                <w:lang w:val="en-US" w:eastAsia="zh-CN"/>
              </w:rPr>
              <w:t xml:space="preserve">、医疗废物贮存库设置废水导排管道或渠道，将冲洗废水纳入废水处理设施处理。 </w:t>
            </w:r>
          </w:p>
          <w:p w14:paraId="60151DD7">
            <w:pPr>
              <w:spacing w:line="360" w:lineRule="auto"/>
              <w:ind w:firstLine="420" w:firstLineChars="200"/>
              <w:rPr>
                <w:rFonts w:hint="eastAsia"/>
                <w:bCs/>
                <w:color w:val="auto"/>
                <w:szCs w:val="21"/>
                <w:lang w:val="en-US" w:eastAsia="zh-CN"/>
              </w:rPr>
            </w:pPr>
            <w:r>
              <w:rPr>
                <w:rFonts w:hint="default"/>
                <w:bCs/>
                <w:color w:val="auto"/>
                <w:szCs w:val="21"/>
                <w:lang w:val="en-US" w:eastAsia="zh-CN"/>
              </w:rPr>
              <w:t>d</w:t>
            </w:r>
            <w:r>
              <w:rPr>
                <w:rFonts w:hint="eastAsia"/>
                <w:bCs/>
                <w:color w:val="auto"/>
                <w:szCs w:val="21"/>
                <w:lang w:val="en-US" w:eastAsia="zh-CN"/>
              </w:rPr>
              <w:t xml:space="preserve">、设施内要有安全照明设施和观察窗口。 </w:t>
            </w:r>
          </w:p>
          <w:p w14:paraId="7DD636C3">
            <w:pPr>
              <w:spacing w:line="360" w:lineRule="auto"/>
              <w:ind w:firstLine="420" w:firstLineChars="200"/>
              <w:rPr>
                <w:rFonts w:hint="eastAsia"/>
                <w:bCs/>
                <w:color w:val="auto"/>
                <w:szCs w:val="21"/>
                <w:lang w:val="en-US" w:eastAsia="zh-CN"/>
              </w:rPr>
            </w:pPr>
            <w:r>
              <w:rPr>
                <w:rFonts w:hint="default"/>
                <w:bCs/>
                <w:color w:val="auto"/>
                <w:szCs w:val="21"/>
                <w:lang w:val="en-US" w:eastAsia="zh-CN"/>
              </w:rPr>
              <w:t>e</w:t>
            </w:r>
            <w:r>
              <w:rPr>
                <w:rFonts w:hint="eastAsia"/>
                <w:bCs/>
                <w:color w:val="auto"/>
                <w:szCs w:val="21"/>
                <w:lang w:val="en-US" w:eastAsia="zh-CN"/>
              </w:rPr>
              <w:t xml:space="preserve">、应设计堵截泄漏的裙脚，地面与裙脚所围建的容积不低于堵截最大容器的最大储量或总储量的五分之一。 </w:t>
            </w:r>
          </w:p>
          <w:p w14:paraId="52106EA9">
            <w:pPr>
              <w:spacing w:line="360" w:lineRule="auto"/>
              <w:ind w:firstLine="420" w:firstLineChars="200"/>
              <w:rPr>
                <w:rFonts w:hint="eastAsia"/>
                <w:bCs/>
                <w:color w:val="auto"/>
                <w:szCs w:val="21"/>
                <w:lang w:val="en-US" w:eastAsia="zh-CN"/>
              </w:rPr>
            </w:pPr>
            <w:r>
              <w:rPr>
                <w:rFonts w:hint="default"/>
                <w:bCs/>
                <w:color w:val="auto"/>
                <w:szCs w:val="21"/>
                <w:lang w:val="en-US" w:eastAsia="zh-CN"/>
              </w:rPr>
              <w:t>f</w:t>
            </w:r>
            <w:r>
              <w:rPr>
                <w:rFonts w:hint="eastAsia"/>
                <w:bCs/>
                <w:color w:val="auto"/>
                <w:szCs w:val="21"/>
                <w:lang w:val="en-US" w:eastAsia="zh-CN"/>
              </w:rPr>
              <w:t xml:space="preserve">、不同种类危险废物应有明显的过道划分，墙上张贴危废名称，液态危废需将成装容器放至防泄漏托盘内并在容器粘贴危险废物标签，固态危废包装需完好无破损并系挂危险废物标签，并安要求填写。 </w:t>
            </w:r>
          </w:p>
          <w:p w14:paraId="2C44B3B0">
            <w:pPr>
              <w:spacing w:line="360" w:lineRule="auto"/>
              <w:ind w:firstLine="420" w:firstLineChars="200"/>
              <w:rPr>
                <w:rFonts w:hint="eastAsia"/>
                <w:bCs/>
                <w:color w:val="auto"/>
                <w:szCs w:val="21"/>
                <w:lang w:val="en-US" w:eastAsia="zh-CN"/>
              </w:rPr>
            </w:pPr>
            <w:r>
              <w:rPr>
                <w:rFonts w:hint="eastAsia"/>
                <w:bCs/>
                <w:color w:val="auto"/>
                <w:szCs w:val="21"/>
                <w:lang w:val="en-US" w:eastAsia="zh-CN"/>
              </w:rPr>
              <w:t xml:space="preserve">②标牌标识要求 </w:t>
            </w:r>
          </w:p>
          <w:p w14:paraId="300C11A6">
            <w:pPr>
              <w:spacing w:line="360" w:lineRule="auto"/>
              <w:ind w:firstLine="420" w:firstLineChars="200"/>
              <w:rPr>
                <w:rFonts w:hint="eastAsia"/>
                <w:bCs/>
                <w:color w:val="auto"/>
                <w:szCs w:val="21"/>
                <w:lang w:val="en-US" w:eastAsia="zh-CN"/>
              </w:rPr>
            </w:pPr>
            <w:r>
              <w:rPr>
                <w:rFonts w:hint="eastAsia"/>
                <w:bCs/>
                <w:color w:val="auto"/>
                <w:szCs w:val="21"/>
                <w:lang w:val="en-US" w:eastAsia="zh-CN"/>
              </w:rPr>
              <w:t xml:space="preserve">贮存场所应设置警示标志，危废的容器和包装物必须粘贴危废识别标志，配备称重设备。具体详如下图。 </w:t>
            </w:r>
          </w:p>
          <w:p w14:paraId="1948E639">
            <w:pPr>
              <w:spacing w:line="360" w:lineRule="auto"/>
              <w:ind w:firstLine="420" w:firstLineChars="200"/>
              <w:rPr>
                <w:rFonts w:hint="eastAsia"/>
                <w:bCs/>
                <w:color w:val="auto"/>
                <w:szCs w:val="21"/>
                <w:lang w:val="en-US" w:eastAsia="zh-CN"/>
              </w:rPr>
            </w:pPr>
            <w:r>
              <w:rPr>
                <w:rFonts w:hint="eastAsia"/>
                <w:bCs/>
                <w:color w:val="auto"/>
                <w:szCs w:val="21"/>
                <w:lang w:val="en-US" w:eastAsia="zh-CN"/>
              </w:rPr>
              <w:t xml:space="preserve">③医疗废物运输、处置过程环境影响分析 </w:t>
            </w:r>
          </w:p>
          <w:p w14:paraId="49E6BE7C">
            <w:pPr>
              <w:spacing w:line="360" w:lineRule="auto"/>
              <w:ind w:firstLine="420" w:firstLineChars="200"/>
              <w:rPr>
                <w:rFonts w:hint="eastAsia"/>
                <w:bCs/>
                <w:color w:val="auto"/>
                <w:szCs w:val="21"/>
                <w:lang w:val="en-US" w:eastAsia="zh-CN"/>
              </w:rPr>
            </w:pPr>
            <w:r>
              <w:rPr>
                <w:rFonts w:hint="eastAsia"/>
                <w:bCs/>
                <w:color w:val="auto"/>
                <w:szCs w:val="21"/>
                <w:lang w:val="en-US" w:eastAsia="zh-CN"/>
              </w:rPr>
              <w:t>医疗废物处置单位派遣专用车辆来项目场地清运医疗废物，医疗废物运输及最终处置由其负责，运输过程中危废管理、风险管理均由危废处置单位负责，因此本次评价不对运输过程、最终处置过程中危废对环境的影响进行分析。</w:t>
            </w:r>
          </w:p>
          <w:p w14:paraId="6E249677">
            <w:pPr>
              <w:widowControl/>
              <w:snapToGrid w:val="0"/>
              <w:spacing w:line="360" w:lineRule="auto"/>
              <w:ind w:firstLine="420" w:firstLineChars="200"/>
              <w:jc w:val="center"/>
            </w:pPr>
            <w:r>
              <w:drawing>
                <wp:inline distT="0" distB="0" distL="114300" distR="114300">
                  <wp:extent cx="3198495" cy="1744345"/>
                  <wp:effectExtent l="0" t="0" r="1905" b="8255"/>
                  <wp:docPr id="2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3"/>
                          <pic:cNvPicPr>
                            <a:picLocks noChangeAspect="1"/>
                          </pic:cNvPicPr>
                        </pic:nvPicPr>
                        <pic:blipFill>
                          <a:blip r:embed="rId19"/>
                          <a:stretch>
                            <a:fillRect/>
                          </a:stretch>
                        </pic:blipFill>
                        <pic:spPr>
                          <a:xfrm>
                            <a:off x="0" y="0"/>
                            <a:ext cx="3198495" cy="1744345"/>
                          </a:xfrm>
                          <a:prstGeom prst="rect">
                            <a:avLst/>
                          </a:prstGeom>
                          <a:noFill/>
                          <a:ln>
                            <a:noFill/>
                          </a:ln>
                        </pic:spPr>
                      </pic:pic>
                    </a:graphicData>
                  </a:graphic>
                </wp:inline>
              </w:drawing>
            </w:r>
          </w:p>
          <w:p w14:paraId="1F876236">
            <w:pPr>
              <w:widowControl/>
              <w:snapToGrid w:val="0"/>
              <w:spacing w:line="360" w:lineRule="auto"/>
              <w:ind w:firstLine="361" w:firstLineChars="200"/>
              <w:jc w:val="center"/>
              <w:rPr>
                <w:rFonts w:hint="default"/>
                <w:lang w:val="en-US" w:eastAsia="zh-CN"/>
              </w:rPr>
            </w:pPr>
            <w:r>
              <w:rPr>
                <w:rFonts w:hint="eastAsia"/>
                <w:b/>
                <w:bCs/>
                <w:sz w:val="18"/>
                <w:szCs w:val="18"/>
                <w:lang w:val="en-US" w:eastAsia="zh-CN"/>
              </w:rPr>
              <w:t>图4-2    标识牌图例</w:t>
            </w:r>
          </w:p>
          <w:p w14:paraId="1B3A7155">
            <w:pPr>
              <w:spacing w:line="360" w:lineRule="auto"/>
              <w:ind w:firstLine="420" w:firstLineChars="200"/>
              <w:rPr>
                <w:bCs/>
                <w:color w:val="auto"/>
                <w:szCs w:val="21"/>
              </w:rPr>
            </w:pPr>
            <w:r>
              <w:rPr>
                <w:rFonts w:hint="eastAsia"/>
                <w:bCs/>
                <w:color w:val="auto"/>
                <w:szCs w:val="21"/>
                <w:lang w:val="en-US" w:eastAsia="zh-CN"/>
              </w:rPr>
              <w:t xml:space="preserve">④日常医疗管理： </w:t>
            </w:r>
          </w:p>
          <w:p w14:paraId="5286192E">
            <w:pPr>
              <w:spacing w:line="360" w:lineRule="auto"/>
              <w:ind w:firstLine="420" w:firstLineChars="200"/>
              <w:rPr>
                <w:bCs/>
                <w:color w:val="auto"/>
                <w:szCs w:val="21"/>
              </w:rPr>
            </w:pPr>
            <w:r>
              <w:rPr>
                <w:rFonts w:hint="eastAsia"/>
                <w:bCs/>
                <w:color w:val="auto"/>
                <w:szCs w:val="21"/>
                <w:lang w:val="en-US" w:eastAsia="zh-CN"/>
              </w:rPr>
              <w:t>对于医疗废物的收集、储存、转运和处置高度重视，应严格根据《危险废物贮存污染控制标准》（</w:t>
            </w:r>
            <w:r>
              <w:rPr>
                <w:rFonts w:hint="default"/>
                <w:bCs/>
                <w:color w:val="auto"/>
                <w:szCs w:val="21"/>
                <w:lang w:val="en-US" w:eastAsia="zh-CN"/>
              </w:rPr>
              <w:t>GB18579-2023</w:t>
            </w:r>
            <w:r>
              <w:rPr>
                <w:rFonts w:hint="eastAsia"/>
                <w:bCs/>
                <w:color w:val="auto"/>
                <w:szCs w:val="21"/>
                <w:lang w:val="en-US" w:eastAsia="zh-CN"/>
              </w:rPr>
              <w:t xml:space="preserve">）、《医疗卫生机构医疗废物管理办法》（卫生部令第 </w:t>
            </w:r>
            <w:r>
              <w:rPr>
                <w:rFonts w:hint="default"/>
                <w:bCs/>
                <w:color w:val="auto"/>
                <w:szCs w:val="21"/>
                <w:lang w:val="en-US" w:eastAsia="zh-CN"/>
              </w:rPr>
              <w:t>36</w:t>
            </w:r>
            <w:r>
              <w:rPr>
                <w:rFonts w:hint="eastAsia"/>
                <w:bCs/>
                <w:color w:val="auto"/>
                <w:szCs w:val="21"/>
                <w:lang w:val="en-US" w:eastAsia="zh-CN"/>
              </w:rPr>
              <w:t>号）、《医疗废物管理条例》、《医疗废物集中处置技术规范》（环发</w:t>
            </w:r>
            <w:r>
              <w:rPr>
                <w:rFonts w:hint="default"/>
                <w:bCs/>
                <w:color w:val="auto"/>
                <w:szCs w:val="21"/>
                <w:lang w:val="en-US" w:eastAsia="zh-CN"/>
              </w:rPr>
              <w:t xml:space="preserve">[2003]206 </w:t>
            </w:r>
            <w:r>
              <w:rPr>
                <w:rFonts w:hint="eastAsia"/>
                <w:bCs/>
                <w:color w:val="auto"/>
                <w:szCs w:val="21"/>
                <w:lang w:val="en-US" w:eastAsia="zh-CN"/>
              </w:rPr>
              <w:t xml:space="preserve">号）中相关规定执行。具体要求如下： </w:t>
            </w:r>
          </w:p>
          <w:p w14:paraId="517358F9">
            <w:pPr>
              <w:spacing w:line="360" w:lineRule="auto"/>
              <w:ind w:firstLine="420" w:firstLineChars="200"/>
              <w:rPr>
                <w:bCs/>
                <w:color w:val="auto"/>
                <w:szCs w:val="21"/>
              </w:rPr>
            </w:pPr>
            <w:r>
              <w:rPr>
                <w:rFonts w:hint="eastAsia"/>
                <w:bCs/>
                <w:color w:val="auto"/>
                <w:szCs w:val="21"/>
                <w:lang w:val="en-US" w:eastAsia="zh-CN"/>
              </w:rPr>
              <w:t xml:space="preserve">医疗卫生机构应当根据《医疗废物分类目录》，对医疗废物实施分类管理。医疗卫生机构应当按照以下要求，及时分类收集医疗废物： </w:t>
            </w:r>
          </w:p>
          <w:p w14:paraId="390C5830">
            <w:pPr>
              <w:spacing w:line="360" w:lineRule="auto"/>
              <w:ind w:firstLine="420" w:firstLineChars="200"/>
              <w:rPr>
                <w:bCs/>
                <w:color w:val="auto"/>
                <w:szCs w:val="21"/>
              </w:rPr>
            </w:pPr>
            <w:r>
              <w:rPr>
                <w:rFonts w:hint="default"/>
                <w:bCs/>
                <w:color w:val="auto"/>
                <w:szCs w:val="21"/>
                <w:lang w:val="en-US" w:eastAsia="zh-CN"/>
              </w:rPr>
              <w:t>1</w:t>
            </w:r>
            <w:r>
              <w:rPr>
                <w:rFonts w:hint="eastAsia"/>
                <w:bCs/>
                <w:color w:val="auto"/>
                <w:szCs w:val="21"/>
                <w:lang w:val="en-US" w:eastAsia="zh-CN"/>
              </w:rPr>
              <w:t xml:space="preserve">）根据医疗废物的类别，将医疗废物分置于符合《医疗废物专用包装物、容器的标准和警示标识的规定》的包装物或者容器内；医疗废物专用包装袋、利器盒的外表面应当有警示标识，在盛装医疗废物前，应当进行认真检查，确保其无破损、无渗漏。 </w:t>
            </w:r>
          </w:p>
          <w:p w14:paraId="72FBFAC3">
            <w:pPr>
              <w:spacing w:line="360" w:lineRule="auto"/>
              <w:ind w:firstLine="420" w:firstLineChars="200"/>
              <w:rPr>
                <w:bCs/>
                <w:color w:val="auto"/>
                <w:szCs w:val="21"/>
              </w:rPr>
            </w:pPr>
            <w:r>
              <w:rPr>
                <w:rFonts w:hint="default"/>
                <w:bCs/>
                <w:color w:val="auto"/>
                <w:szCs w:val="21"/>
                <w:lang w:val="en-US" w:eastAsia="zh-CN"/>
              </w:rPr>
              <w:t>2</w:t>
            </w:r>
            <w:r>
              <w:rPr>
                <w:rFonts w:hint="eastAsia"/>
                <w:bCs/>
                <w:color w:val="auto"/>
                <w:szCs w:val="21"/>
                <w:lang w:val="en-US" w:eastAsia="zh-CN"/>
              </w:rPr>
              <w:t xml:space="preserve">）感染性废物、病理性废物、损伤性废物、药物性废物及化学性废物不能混合收集。少量的药物性废物可以混入感染性废物，但应当在标签上注明； </w:t>
            </w:r>
          </w:p>
          <w:p w14:paraId="3BAE16D1">
            <w:pPr>
              <w:spacing w:line="360" w:lineRule="auto"/>
              <w:ind w:firstLine="420" w:firstLineChars="200"/>
              <w:rPr>
                <w:bCs/>
                <w:color w:val="auto"/>
                <w:szCs w:val="21"/>
              </w:rPr>
            </w:pPr>
            <w:r>
              <w:rPr>
                <w:rFonts w:hint="default"/>
                <w:bCs/>
                <w:color w:val="auto"/>
                <w:szCs w:val="21"/>
                <w:lang w:val="en-US" w:eastAsia="zh-CN"/>
              </w:rPr>
              <w:t>3</w:t>
            </w:r>
            <w:r>
              <w:rPr>
                <w:rFonts w:hint="eastAsia"/>
                <w:bCs/>
                <w:color w:val="auto"/>
                <w:szCs w:val="21"/>
                <w:lang w:val="en-US" w:eastAsia="zh-CN"/>
              </w:rPr>
              <w:t xml:space="preserve">）盛装医疗废物的包装袋和利器盒的外表面被感染性废物污染时，应当增加一层包装袋。分类收集使用后的一次性隔离衣、防护服等物品时，严禁挤压。每个包装袋、利器盒应当系有或粘贴中文标签，标签内容包括：医疗废物产生单位、产生部门、产生日期、类别，并在特别说明中标注； </w:t>
            </w:r>
          </w:p>
          <w:p w14:paraId="6679BD10">
            <w:pPr>
              <w:spacing w:line="360" w:lineRule="auto"/>
              <w:ind w:firstLine="420" w:firstLineChars="200"/>
              <w:rPr>
                <w:bCs/>
                <w:color w:val="auto"/>
                <w:szCs w:val="21"/>
              </w:rPr>
            </w:pPr>
            <w:r>
              <w:rPr>
                <w:rFonts w:hint="default"/>
                <w:bCs/>
                <w:color w:val="auto"/>
                <w:szCs w:val="21"/>
                <w:lang w:val="en-US" w:eastAsia="zh-CN"/>
              </w:rPr>
              <w:t>4</w:t>
            </w:r>
            <w:r>
              <w:rPr>
                <w:rFonts w:hint="eastAsia"/>
                <w:bCs/>
                <w:color w:val="auto"/>
                <w:szCs w:val="21"/>
                <w:lang w:val="en-US" w:eastAsia="zh-CN"/>
              </w:rPr>
              <w:t xml:space="preserve">）废弃的麻醉、精神、放射性、毒性等药品及其相关的废物的管理，依照有关法律、行政法规和国家有关规定、标准执行； </w:t>
            </w:r>
          </w:p>
          <w:p w14:paraId="5C50985F">
            <w:pPr>
              <w:spacing w:line="360" w:lineRule="auto"/>
              <w:ind w:firstLine="420" w:firstLineChars="200"/>
              <w:rPr>
                <w:bCs/>
                <w:color w:val="auto"/>
                <w:szCs w:val="21"/>
              </w:rPr>
            </w:pPr>
            <w:r>
              <w:rPr>
                <w:rFonts w:hint="default"/>
                <w:bCs/>
                <w:color w:val="auto"/>
                <w:szCs w:val="21"/>
                <w:lang w:val="en-US" w:eastAsia="zh-CN"/>
              </w:rPr>
              <w:t>5</w:t>
            </w:r>
            <w:r>
              <w:rPr>
                <w:rFonts w:hint="eastAsia"/>
                <w:bCs/>
                <w:color w:val="auto"/>
                <w:szCs w:val="21"/>
                <w:lang w:val="en-US" w:eastAsia="zh-CN"/>
              </w:rPr>
              <w:t xml:space="preserve">）化学性废物中批量的废化学试剂、废消毒剂应当交由专门机构处置； </w:t>
            </w:r>
          </w:p>
          <w:p w14:paraId="5452D2A2">
            <w:pPr>
              <w:spacing w:line="360" w:lineRule="auto"/>
              <w:ind w:firstLine="420" w:firstLineChars="200"/>
              <w:rPr>
                <w:bCs/>
                <w:color w:val="auto"/>
                <w:szCs w:val="21"/>
              </w:rPr>
            </w:pPr>
            <w:r>
              <w:rPr>
                <w:rFonts w:hint="default"/>
                <w:bCs/>
                <w:color w:val="auto"/>
                <w:szCs w:val="21"/>
                <w:lang w:val="en-US" w:eastAsia="zh-CN"/>
              </w:rPr>
              <w:t>6</w:t>
            </w:r>
            <w:r>
              <w:rPr>
                <w:rFonts w:hint="eastAsia"/>
                <w:bCs/>
                <w:color w:val="auto"/>
                <w:szCs w:val="21"/>
                <w:lang w:val="en-US" w:eastAsia="zh-CN"/>
              </w:rPr>
              <w:t xml:space="preserve">）批量的含有汞的体温计、血压计等医疗器具报废时，应当交由专门机构处置； </w:t>
            </w:r>
          </w:p>
          <w:p w14:paraId="3EA0191D">
            <w:pPr>
              <w:spacing w:line="360" w:lineRule="auto"/>
              <w:ind w:firstLine="420" w:firstLineChars="200"/>
              <w:rPr>
                <w:bCs/>
                <w:color w:val="auto"/>
                <w:szCs w:val="21"/>
              </w:rPr>
            </w:pPr>
            <w:r>
              <w:rPr>
                <w:rFonts w:hint="default"/>
                <w:bCs/>
                <w:color w:val="auto"/>
                <w:szCs w:val="21"/>
                <w:lang w:val="en-US" w:eastAsia="zh-CN"/>
              </w:rPr>
              <w:t>7</w:t>
            </w:r>
            <w:r>
              <w:rPr>
                <w:rFonts w:hint="eastAsia"/>
                <w:bCs/>
                <w:color w:val="auto"/>
                <w:szCs w:val="21"/>
                <w:lang w:val="en-US" w:eastAsia="zh-CN"/>
              </w:rPr>
              <w:t xml:space="preserve">）医疗废物中病原体的培养基、标本和菌种、毒种保存液等高危险废物，应当首先在产生地点进行压力蒸汽灭菌或者化学消毒处理，然后按感染性废物收集处理； </w:t>
            </w:r>
          </w:p>
          <w:p w14:paraId="517BE392">
            <w:pPr>
              <w:spacing w:line="360" w:lineRule="auto"/>
              <w:ind w:firstLine="420" w:firstLineChars="200"/>
              <w:rPr>
                <w:bCs/>
                <w:color w:val="auto"/>
                <w:szCs w:val="21"/>
              </w:rPr>
            </w:pPr>
            <w:r>
              <w:rPr>
                <w:rFonts w:hint="default"/>
                <w:bCs/>
                <w:color w:val="auto"/>
                <w:szCs w:val="21"/>
                <w:lang w:val="en-US" w:eastAsia="zh-CN"/>
              </w:rPr>
              <w:t>8</w:t>
            </w:r>
            <w:r>
              <w:rPr>
                <w:rFonts w:hint="eastAsia"/>
                <w:bCs/>
                <w:color w:val="auto"/>
                <w:szCs w:val="21"/>
                <w:lang w:val="en-US" w:eastAsia="zh-CN"/>
              </w:rPr>
              <w:t xml:space="preserve">）医疗废物中病原体的培养基、标本和菌种、毒种保存液等高危险废物，在交医疗废物集中处置单位处置前应当就地消毒。 </w:t>
            </w:r>
          </w:p>
          <w:p w14:paraId="1DBB21FC">
            <w:pPr>
              <w:spacing w:line="360" w:lineRule="auto"/>
              <w:ind w:firstLine="420" w:firstLineChars="200"/>
              <w:rPr>
                <w:bCs/>
                <w:color w:val="auto"/>
                <w:szCs w:val="21"/>
              </w:rPr>
            </w:pPr>
            <w:r>
              <w:rPr>
                <w:rFonts w:hint="default"/>
                <w:bCs/>
                <w:color w:val="auto"/>
                <w:szCs w:val="21"/>
                <w:lang w:val="en-US" w:eastAsia="zh-CN"/>
              </w:rPr>
              <w:t>9</w:t>
            </w:r>
            <w:r>
              <w:rPr>
                <w:rFonts w:hint="eastAsia"/>
                <w:bCs/>
                <w:color w:val="auto"/>
                <w:szCs w:val="21"/>
                <w:lang w:val="en-US" w:eastAsia="zh-CN"/>
              </w:rPr>
              <w:t>）院区内医疗废物由病区护士收集，护士收集医疗废物时应用剪刀将输液器剪断毁形，并按照类别分置于防渗漏、防锐器穿透的专用包装或者密闭的容器内，有明显的警示标识和警示说明。同时应对医疗废物进行登记，内容包括医疗废物来源、种类、重量或者数量、交接时间、处置方法、最终去向及经办人签名等项目，登记资料至少保</w:t>
            </w:r>
            <w:r>
              <w:rPr>
                <w:rFonts w:hint="default"/>
                <w:bCs/>
                <w:color w:val="auto"/>
                <w:szCs w:val="21"/>
                <w:lang w:val="en-US" w:eastAsia="zh-CN"/>
              </w:rPr>
              <w:t>3</w:t>
            </w:r>
            <w:r>
              <w:rPr>
                <w:rFonts w:hint="eastAsia"/>
                <w:bCs/>
                <w:color w:val="auto"/>
                <w:szCs w:val="21"/>
                <w:lang w:val="en-US" w:eastAsia="zh-CN"/>
              </w:rPr>
              <w:t xml:space="preserve">年。 </w:t>
            </w:r>
          </w:p>
          <w:p w14:paraId="6C2BC258">
            <w:pPr>
              <w:spacing w:line="360" w:lineRule="auto"/>
              <w:ind w:firstLine="420" w:firstLineChars="200"/>
              <w:rPr>
                <w:bCs/>
                <w:color w:val="auto"/>
                <w:szCs w:val="21"/>
              </w:rPr>
            </w:pPr>
            <w:r>
              <w:rPr>
                <w:rFonts w:hint="default"/>
                <w:bCs/>
                <w:color w:val="auto"/>
                <w:szCs w:val="21"/>
                <w:lang w:val="en-US" w:eastAsia="zh-CN"/>
              </w:rPr>
              <w:t>10</w:t>
            </w:r>
            <w:r>
              <w:rPr>
                <w:rFonts w:hint="eastAsia"/>
                <w:bCs/>
                <w:color w:val="auto"/>
                <w:szCs w:val="21"/>
                <w:lang w:val="en-US" w:eastAsia="zh-CN"/>
              </w:rPr>
              <w:t xml:space="preserve">）收集后的医疗废物分类装入专用医疗固废封装桶。确保专门容器能有效地防止渗漏、扩散，同时在装有医疗废物的容器上贴上标签，详细标明危险废物的名称、重量、成分、特性以及发生泄漏、扩散污染事故时的应急措施和补救方法。 </w:t>
            </w:r>
          </w:p>
          <w:p w14:paraId="154B6F54">
            <w:pPr>
              <w:widowControl/>
              <w:snapToGrid w:val="0"/>
              <w:spacing w:line="360" w:lineRule="auto"/>
              <w:ind w:firstLine="420" w:firstLineChars="200"/>
              <w:rPr>
                <w:rFonts w:hint="default"/>
                <w:bCs/>
                <w:color w:val="auto"/>
                <w:szCs w:val="21"/>
                <w:lang w:val="en-US" w:eastAsia="zh-CN"/>
              </w:rPr>
            </w:pPr>
            <w:r>
              <w:rPr>
                <w:bCs/>
                <w:color w:val="auto"/>
                <w:szCs w:val="21"/>
              </w:rPr>
              <w:t>同时，危险废物应按照国家有关规定向当地环境保护行政主管部门申报登记，接受当地环境保护行政主管部门监督管理。</w:t>
            </w:r>
          </w:p>
          <w:p w14:paraId="372E33DD">
            <w:pPr>
              <w:pStyle w:val="77"/>
              <w:snapToGrid/>
              <w:ind w:firstLine="422"/>
              <w:rPr>
                <w:rFonts w:hint="eastAsia" w:ascii="Times New Roman" w:hAnsi="Times New Roman"/>
                <w:b w:val="0"/>
                <w:bCs w:val="0"/>
                <w:color w:val="auto"/>
                <w:szCs w:val="21"/>
                <w:lang w:val="en-US" w:eastAsia="zh-CN"/>
              </w:rPr>
            </w:pPr>
            <w:r>
              <w:rPr>
                <w:b w:val="0"/>
                <w:bCs w:val="0"/>
                <w:color w:val="auto"/>
                <w:szCs w:val="21"/>
              </w:rPr>
              <w:t>综上所述，在严格按照环境评价提出的要求下，固体废弃物处置方式合理可行，不</w:t>
            </w:r>
            <w:r>
              <w:rPr>
                <w:rFonts w:hint="eastAsia" w:ascii="Times New Roman" w:hAnsi="Times New Roman"/>
                <w:b w:val="0"/>
                <w:bCs w:val="0"/>
                <w:color w:val="auto"/>
                <w:szCs w:val="21"/>
                <w:lang w:val="en-US" w:eastAsia="zh-CN"/>
              </w:rPr>
              <w:t>会产生对区域环境的明显影响。</w:t>
            </w:r>
          </w:p>
          <w:p w14:paraId="300AF05F">
            <w:pPr>
              <w:pStyle w:val="77"/>
              <w:snapToGrid/>
              <w:ind w:firstLine="422"/>
              <w:rPr>
                <w:rFonts w:hint="eastAsia" w:ascii="Times New Roman" w:hAnsi="Times New Roman"/>
                <w:b/>
                <w:bCs/>
                <w:color w:val="auto"/>
                <w:szCs w:val="21"/>
                <w:lang w:val="en-US" w:eastAsia="zh-CN"/>
              </w:rPr>
            </w:pPr>
            <w:r>
              <w:rPr>
                <w:rFonts w:hint="eastAsia" w:ascii="Times New Roman" w:hAnsi="Times New Roman"/>
                <w:b/>
                <w:bCs/>
                <w:color w:val="auto"/>
                <w:szCs w:val="21"/>
                <w:lang w:val="en-US" w:eastAsia="zh-CN"/>
              </w:rPr>
              <w:t>4.</w:t>
            </w:r>
            <w:r>
              <w:rPr>
                <w:rFonts w:hint="default" w:ascii="Times New Roman" w:hAnsi="Times New Roman"/>
                <w:b/>
                <w:bCs/>
                <w:color w:val="auto"/>
                <w:szCs w:val="21"/>
                <w:lang w:val="en-US" w:eastAsia="zh-CN"/>
              </w:rPr>
              <w:t>5</w:t>
            </w:r>
            <w:r>
              <w:rPr>
                <w:rFonts w:hint="eastAsia" w:ascii="Times New Roman" w:hAnsi="Times New Roman"/>
                <w:b/>
                <w:bCs/>
                <w:color w:val="auto"/>
                <w:szCs w:val="21"/>
                <w:lang w:val="en-US" w:eastAsia="zh-CN"/>
              </w:rPr>
              <w:t xml:space="preserve">地下水及土壤 </w:t>
            </w:r>
          </w:p>
          <w:p w14:paraId="53643AB7">
            <w:pPr>
              <w:pStyle w:val="77"/>
              <w:snapToGrid/>
              <w:ind w:firstLine="422"/>
              <w:rPr>
                <w:rFonts w:hint="eastAsia" w:ascii="Times New Roman" w:hAnsi="Times New Roman"/>
                <w:b w:val="0"/>
                <w:bCs w:val="0"/>
                <w:color w:val="auto"/>
                <w:szCs w:val="21"/>
                <w:lang w:val="en-US" w:eastAsia="zh-CN"/>
              </w:rPr>
            </w:pPr>
            <w:r>
              <w:rPr>
                <w:rFonts w:hint="eastAsia" w:ascii="Times New Roman" w:hAnsi="Times New Roman"/>
                <w:b w:val="0"/>
                <w:bCs w:val="0"/>
                <w:color w:val="auto"/>
                <w:szCs w:val="21"/>
                <w:lang w:val="en-US" w:eastAsia="zh-CN"/>
              </w:rPr>
              <w:t xml:space="preserve">污染途径分析： </w:t>
            </w:r>
          </w:p>
          <w:p w14:paraId="5B83E9CE">
            <w:pPr>
              <w:pStyle w:val="77"/>
              <w:snapToGrid/>
              <w:ind w:firstLine="422"/>
              <w:rPr>
                <w:rFonts w:hint="eastAsia" w:ascii="Times New Roman" w:hAnsi="Times New Roman"/>
                <w:b w:val="0"/>
                <w:bCs w:val="0"/>
                <w:color w:val="auto"/>
                <w:szCs w:val="21"/>
                <w:lang w:val="en-US" w:eastAsia="zh-CN"/>
              </w:rPr>
            </w:pPr>
            <w:r>
              <w:rPr>
                <w:rFonts w:hint="eastAsia" w:ascii="Times New Roman" w:hAnsi="Times New Roman"/>
                <w:b w:val="0"/>
                <w:bCs w:val="0"/>
                <w:color w:val="auto"/>
                <w:szCs w:val="21"/>
                <w:lang w:val="en-US" w:eastAsia="zh-CN"/>
              </w:rPr>
              <w:t xml:space="preserve">项目正常情况下对地下水产生基本无影响，但医院污水处理设施、管道系统的跑、冒、滴、漏等情况对地下水存在潜在污染影响，即如果医院污水处理设施等发生泄漏时，将会使含有较高浓度污染物的废水渗漏，而对土壤、地下水造成污染。 </w:t>
            </w:r>
          </w:p>
          <w:p w14:paraId="551C5FED">
            <w:pPr>
              <w:pStyle w:val="77"/>
              <w:snapToGrid/>
              <w:ind w:firstLine="422"/>
              <w:rPr>
                <w:rFonts w:hint="eastAsia" w:ascii="Times New Roman" w:hAnsi="Times New Roman"/>
                <w:b w:val="0"/>
                <w:bCs w:val="0"/>
                <w:color w:val="auto"/>
                <w:szCs w:val="21"/>
                <w:lang w:val="en-US" w:eastAsia="zh-CN"/>
              </w:rPr>
            </w:pPr>
            <w:r>
              <w:rPr>
                <w:rFonts w:hint="eastAsia" w:ascii="Times New Roman" w:hAnsi="Times New Roman"/>
                <w:b w:val="0"/>
                <w:bCs w:val="0"/>
                <w:color w:val="auto"/>
                <w:szCs w:val="21"/>
                <w:lang w:val="en-US" w:eastAsia="zh-CN"/>
              </w:rPr>
              <w:t xml:space="preserve">地下水保护与污染防治按照“源头控制、分区防治、污染监控、应急响应”的原则。 </w:t>
            </w:r>
          </w:p>
          <w:p w14:paraId="7AABC651">
            <w:pPr>
              <w:pStyle w:val="77"/>
              <w:snapToGrid/>
              <w:ind w:firstLine="422"/>
              <w:rPr>
                <w:rFonts w:hint="eastAsia" w:ascii="Times New Roman" w:hAnsi="Times New Roman"/>
                <w:b w:val="0"/>
                <w:bCs w:val="0"/>
                <w:color w:val="auto"/>
                <w:szCs w:val="21"/>
                <w:lang w:val="en-US" w:eastAsia="zh-CN"/>
              </w:rPr>
            </w:pPr>
            <w:r>
              <w:rPr>
                <w:rFonts w:hint="eastAsia" w:ascii="Times New Roman" w:hAnsi="Times New Roman"/>
                <w:b w:val="0"/>
                <w:bCs w:val="0"/>
                <w:color w:val="auto"/>
                <w:szCs w:val="21"/>
                <w:lang w:val="en-US" w:eastAsia="zh-CN"/>
              </w:rPr>
              <w:t xml:space="preserve">主要采取以下措施： </w:t>
            </w:r>
          </w:p>
          <w:p w14:paraId="1DEEF1FB">
            <w:pPr>
              <w:pStyle w:val="77"/>
              <w:snapToGrid/>
              <w:ind w:firstLine="422"/>
              <w:rPr>
                <w:rFonts w:hint="eastAsia" w:ascii="Times New Roman" w:hAnsi="Times New Roman"/>
                <w:b w:val="0"/>
                <w:bCs w:val="0"/>
                <w:color w:val="auto"/>
                <w:szCs w:val="21"/>
                <w:lang w:val="en-US" w:eastAsia="zh-CN"/>
              </w:rPr>
            </w:pPr>
            <w:r>
              <w:rPr>
                <w:rFonts w:hint="eastAsia" w:ascii="Times New Roman" w:hAnsi="Times New Roman"/>
                <w:b w:val="0"/>
                <w:bCs w:val="0"/>
                <w:color w:val="auto"/>
                <w:szCs w:val="21"/>
                <w:lang w:val="en-US" w:eastAsia="zh-CN"/>
              </w:rPr>
              <w:t>（</w:t>
            </w:r>
            <w:r>
              <w:rPr>
                <w:rFonts w:hint="default" w:ascii="Times New Roman" w:hAnsi="Times New Roman"/>
                <w:b w:val="0"/>
                <w:bCs w:val="0"/>
                <w:color w:val="auto"/>
                <w:szCs w:val="21"/>
                <w:lang w:val="en-US" w:eastAsia="zh-CN"/>
              </w:rPr>
              <w:t>1</w:t>
            </w:r>
            <w:r>
              <w:rPr>
                <w:rFonts w:hint="eastAsia" w:ascii="Times New Roman" w:hAnsi="Times New Roman"/>
                <w:b w:val="0"/>
                <w:bCs w:val="0"/>
                <w:color w:val="auto"/>
                <w:szCs w:val="21"/>
                <w:lang w:val="en-US" w:eastAsia="zh-CN"/>
              </w:rPr>
              <w:t xml:space="preserve">）源头控制措施 </w:t>
            </w:r>
          </w:p>
          <w:p w14:paraId="5CEAA82F">
            <w:pPr>
              <w:pStyle w:val="77"/>
              <w:snapToGrid/>
              <w:ind w:firstLine="422"/>
              <w:rPr>
                <w:rFonts w:hint="eastAsia" w:ascii="Times New Roman" w:hAnsi="Times New Roman"/>
                <w:b w:val="0"/>
                <w:bCs w:val="0"/>
                <w:color w:val="auto"/>
                <w:szCs w:val="21"/>
                <w:lang w:val="en-US" w:eastAsia="zh-CN"/>
              </w:rPr>
            </w:pPr>
            <w:r>
              <w:rPr>
                <w:rFonts w:hint="eastAsia" w:ascii="Times New Roman" w:hAnsi="Times New Roman"/>
                <w:b w:val="0"/>
                <w:bCs w:val="0"/>
                <w:color w:val="auto"/>
                <w:szCs w:val="21"/>
                <w:lang w:val="en-US" w:eastAsia="zh-CN"/>
              </w:rPr>
              <w:t xml:space="preserve">为了防止本项目建设运行对地下水造成污染，需从废水产生、废水收集、废水处理等全过程控制污水的泄漏，减少废水污染物的跑冒滴漏，降低环境事故风险。在污水收集装置及污水输送管道等周边要进行严格的防渗处理，从源头上防止污水进入地下水含水层之中。 </w:t>
            </w:r>
          </w:p>
          <w:p w14:paraId="20A929FC">
            <w:pPr>
              <w:pStyle w:val="77"/>
              <w:snapToGrid/>
              <w:ind w:firstLine="422"/>
              <w:rPr>
                <w:rFonts w:hint="eastAsia" w:ascii="Times New Roman" w:hAnsi="Times New Roman"/>
                <w:b w:val="0"/>
                <w:bCs w:val="0"/>
                <w:color w:val="auto"/>
                <w:szCs w:val="21"/>
                <w:lang w:val="en-US" w:eastAsia="zh-CN"/>
              </w:rPr>
            </w:pPr>
            <w:r>
              <w:rPr>
                <w:rFonts w:hint="eastAsia" w:ascii="Times New Roman" w:hAnsi="Times New Roman"/>
                <w:b w:val="0"/>
                <w:bCs w:val="0"/>
                <w:color w:val="auto"/>
                <w:szCs w:val="21"/>
                <w:lang w:val="en-US" w:eastAsia="zh-CN"/>
              </w:rPr>
              <w:t>（</w:t>
            </w:r>
            <w:r>
              <w:rPr>
                <w:rFonts w:hint="default" w:ascii="Times New Roman" w:hAnsi="Times New Roman"/>
                <w:b w:val="0"/>
                <w:bCs w:val="0"/>
                <w:color w:val="auto"/>
                <w:szCs w:val="21"/>
                <w:lang w:val="en-US" w:eastAsia="zh-CN"/>
              </w:rPr>
              <w:t>2</w:t>
            </w:r>
            <w:r>
              <w:rPr>
                <w:rFonts w:hint="eastAsia" w:ascii="Times New Roman" w:hAnsi="Times New Roman"/>
                <w:b w:val="0"/>
                <w:bCs w:val="0"/>
                <w:color w:val="auto"/>
                <w:szCs w:val="21"/>
                <w:lang w:val="en-US" w:eastAsia="zh-CN"/>
              </w:rPr>
              <w:t xml:space="preserve">）分区防治措施 </w:t>
            </w:r>
          </w:p>
          <w:p w14:paraId="4FEE6FED">
            <w:pPr>
              <w:pStyle w:val="77"/>
              <w:snapToGrid/>
              <w:ind w:firstLine="422"/>
              <w:rPr>
                <w:rFonts w:hint="eastAsia" w:ascii="Times New Roman" w:hAnsi="Times New Roman"/>
                <w:b w:val="0"/>
                <w:bCs w:val="0"/>
                <w:color w:val="auto"/>
                <w:szCs w:val="21"/>
                <w:lang w:val="en-US" w:eastAsia="zh-CN"/>
              </w:rPr>
            </w:pPr>
            <w:r>
              <w:rPr>
                <w:rFonts w:hint="eastAsia" w:ascii="Times New Roman" w:hAnsi="Times New Roman"/>
                <w:b w:val="0"/>
                <w:bCs w:val="0"/>
                <w:color w:val="auto"/>
                <w:szCs w:val="21"/>
                <w:lang w:val="en-US" w:eastAsia="zh-CN"/>
              </w:rPr>
              <w:t>根据《环境影响评价技术导则－地下水环境》（</w:t>
            </w:r>
            <w:r>
              <w:rPr>
                <w:rFonts w:hint="default" w:ascii="Times New Roman" w:hAnsi="Times New Roman"/>
                <w:b w:val="0"/>
                <w:bCs w:val="0"/>
                <w:color w:val="auto"/>
                <w:szCs w:val="21"/>
                <w:lang w:val="en-US" w:eastAsia="zh-CN"/>
              </w:rPr>
              <w:t>HJ610-2016</w:t>
            </w:r>
            <w:r>
              <w:rPr>
                <w:rFonts w:hint="eastAsia" w:ascii="Times New Roman" w:hAnsi="Times New Roman"/>
                <w:b w:val="0"/>
                <w:bCs w:val="0"/>
                <w:color w:val="auto"/>
                <w:szCs w:val="21"/>
                <w:lang w:val="en-US" w:eastAsia="zh-CN"/>
              </w:rPr>
              <w:t xml:space="preserve">），结合地下水环境影响评价结果及总平面布置情况，将场地分为重点防渗区、简单防渗区，给出不同分区的具体防渗技术要求。 </w:t>
            </w:r>
          </w:p>
          <w:p w14:paraId="2B1D26E7">
            <w:pPr>
              <w:pStyle w:val="77"/>
              <w:snapToGrid/>
              <w:ind w:firstLine="422"/>
              <w:rPr>
                <w:rFonts w:hint="eastAsia" w:ascii="Times New Roman" w:hAnsi="Times New Roman"/>
                <w:b w:val="0"/>
                <w:bCs w:val="0"/>
                <w:color w:val="auto"/>
                <w:szCs w:val="21"/>
                <w:lang w:val="en-US" w:eastAsia="zh-CN"/>
              </w:rPr>
            </w:pPr>
            <w:r>
              <w:rPr>
                <w:rFonts w:hint="eastAsia" w:ascii="Times New Roman" w:hAnsi="Times New Roman"/>
                <w:b w:val="0"/>
                <w:bCs w:val="0"/>
                <w:color w:val="auto"/>
                <w:szCs w:val="21"/>
                <w:lang w:val="en-US" w:eastAsia="zh-CN"/>
              </w:rPr>
              <w:t xml:space="preserve">①重点防渗区包括：污水处理设施、医疗废物贮存库、污水管道。 </w:t>
            </w:r>
          </w:p>
          <w:p w14:paraId="44809617">
            <w:pPr>
              <w:pStyle w:val="77"/>
              <w:snapToGrid/>
              <w:ind w:firstLine="422"/>
              <w:rPr>
                <w:rFonts w:hint="eastAsia" w:ascii="Times New Roman" w:hAnsi="Times New Roman"/>
                <w:b w:val="0"/>
                <w:bCs w:val="0"/>
                <w:color w:val="auto"/>
                <w:szCs w:val="21"/>
                <w:lang w:val="en-US" w:eastAsia="zh-CN"/>
              </w:rPr>
            </w:pPr>
            <w:r>
              <w:rPr>
                <w:rFonts w:hint="eastAsia" w:ascii="Times New Roman" w:hAnsi="Times New Roman"/>
                <w:b w:val="0"/>
                <w:bCs w:val="0"/>
                <w:color w:val="auto"/>
                <w:szCs w:val="21"/>
                <w:lang w:val="en-US" w:eastAsia="zh-CN"/>
              </w:rPr>
              <w:t>这些区域应严格按照要求行防渗。要求采取防渗措施后，防渗层等效黏土防渗层</w:t>
            </w:r>
            <w:r>
              <w:rPr>
                <w:rFonts w:hint="default" w:ascii="Times New Roman" w:hAnsi="Times New Roman"/>
                <w:b w:val="0"/>
                <w:bCs w:val="0"/>
                <w:color w:val="auto"/>
                <w:szCs w:val="21"/>
                <w:lang w:val="en-US" w:eastAsia="zh-CN"/>
              </w:rPr>
              <w:t>Mb</w:t>
            </w:r>
            <w:r>
              <w:rPr>
                <w:rFonts w:hint="eastAsia" w:ascii="Times New Roman" w:hAnsi="Times New Roman"/>
                <w:b w:val="0"/>
                <w:bCs w:val="0"/>
                <w:color w:val="auto"/>
                <w:szCs w:val="21"/>
                <w:lang w:val="en-US" w:eastAsia="zh-CN"/>
              </w:rPr>
              <w:t>≥</w:t>
            </w:r>
            <w:r>
              <w:rPr>
                <w:rFonts w:hint="default" w:ascii="Times New Roman" w:hAnsi="Times New Roman"/>
                <w:b w:val="0"/>
                <w:bCs w:val="0"/>
                <w:color w:val="auto"/>
                <w:szCs w:val="21"/>
                <w:lang w:val="en-US" w:eastAsia="zh-CN"/>
              </w:rPr>
              <w:t>6.0m</w:t>
            </w:r>
            <w:r>
              <w:rPr>
                <w:rFonts w:hint="eastAsia" w:ascii="Times New Roman" w:hAnsi="Times New Roman"/>
                <w:b w:val="0"/>
                <w:bCs w:val="0"/>
                <w:color w:val="auto"/>
                <w:szCs w:val="21"/>
                <w:lang w:val="en-US" w:eastAsia="zh-CN"/>
              </w:rPr>
              <w:t>，</w:t>
            </w:r>
            <w:r>
              <w:rPr>
                <w:rFonts w:hint="default" w:ascii="Times New Roman" w:hAnsi="Times New Roman"/>
                <w:b w:val="0"/>
                <w:bCs w:val="0"/>
                <w:color w:val="auto"/>
                <w:szCs w:val="21"/>
                <w:lang w:val="en-US" w:eastAsia="zh-CN"/>
              </w:rPr>
              <w:t>K</w:t>
            </w:r>
            <w:r>
              <w:rPr>
                <w:rFonts w:hint="eastAsia" w:ascii="Times New Roman" w:hAnsi="Times New Roman"/>
                <w:b w:val="0"/>
                <w:bCs w:val="0"/>
                <w:color w:val="auto"/>
                <w:szCs w:val="21"/>
                <w:lang w:val="en-US" w:eastAsia="zh-CN"/>
              </w:rPr>
              <w:t>≤</w:t>
            </w:r>
            <w:r>
              <w:rPr>
                <w:rFonts w:hint="default" w:ascii="Times New Roman" w:hAnsi="Times New Roman"/>
                <w:b w:val="0"/>
                <w:bCs w:val="0"/>
                <w:color w:val="auto"/>
                <w:szCs w:val="21"/>
                <w:lang w:val="en-US" w:eastAsia="zh-CN"/>
              </w:rPr>
              <w:t>1.0</w:t>
            </w:r>
            <w:r>
              <w:rPr>
                <w:rFonts w:hint="eastAsia" w:ascii="Times New Roman" w:hAnsi="Times New Roman"/>
                <w:b w:val="0"/>
                <w:bCs w:val="0"/>
                <w:color w:val="auto"/>
                <w:szCs w:val="21"/>
                <w:lang w:val="en-US" w:eastAsia="zh-CN"/>
              </w:rPr>
              <w:t>×</w:t>
            </w:r>
            <w:r>
              <w:rPr>
                <w:rFonts w:hint="default" w:ascii="Times New Roman" w:hAnsi="Times New Roman"/>
                <w:b w:val="0"/>
                <w:bCs w:val="0"/>
                <w:color w:val="auto"/>
                <w:szCs w:val="21"/>
                <w:lang w:val="en-US" w:eastAsia="zh-CN"/>
              </w:rPr>
              <w:t xml:space="preserve">10 </w:t>
            </w:r>
            <w:r>
              <w:rPr>
                <w:rFonts w:hint="default" w:ascii="Times New Roman" w:hAnsi="Times New Roman"/>
                <w:b w:val="0"/>
                <w:bCs w:val="0"/>
                <w:color w:val="auto"/>
                <w:szCs w:val="21"/>
                <w:vertAlign w:val="superscript"/>
                <w:lang w:val="en-US" w:eastAsia="zh-CN"/>
              </w:rPr>
              <w:t xml:space="preserve">-7 </w:t>
            </w:r>
            <w:r>
              <w:rPr>
                <w:rFonts w:hint="default" w:ascii="Times New Roman" w:hAnsi="Times New Roman"/>
                <w:b w:val="0"/>
                <w:bCs w:val="0"/>
                <w:color w:val="auto"/>
                <w:szCs w:val="21"/>
                <w:lang w:val="en-US" w:eastAsia="zh-CN"/>
              </w:rPr>
              <w:t xml:space="preserve">cm/s </w:t>
            </w:r>
            <w:r>
              <w:rPr>
                <w:rFonts w:hint="eastAsia" w:ascii="Times New Roman" w:hAnsi="Times New Roman"/>
                <w:b w:val="0"/>
                <w:bCs w:val="0"/>
                <w:color w:val="auto"/>
                <w:szCs w:val="21"/>
                <w:lang w:val="en-US" w:eastAsia="zh-CN"/>
              </w:rPr>
              <w:t xml:space="preserve">或参照 </w:t>
            </w:r>
            <w:r>
              <w:rPr>
                <w:rFonts w:hint="default" w:ascii="Times New Roman" w:hAnsi="Times New Roman"/>
                <w:b w:val="0"/>
                <w:bCs w:val="0"/>
                <w:color w:val="auto"/>
                <w:szCs w:val="21"/>
                <w:lang w:val="en-US" w:eastAsia="zh-CN"/>
              </w:rPr>
              <w:t xml:space="preserve">GB18598 </w:t>
            </w:r>
            <w:r>
              <w:rPr>
                <w:rFonts w:hint="eastAsia" w:ascii="Times New Roman" w:hAnsi="Times New Roman"/>
                <w:b w:val="0"/>
                <w:bCs w:val="0"/>
                <w:color w:val="auto"/>
                <w:szCs w:val="21"/>
                <w:lang w:val="en-US" w:eastAsia="zh-CN"/>
              </w:rPr>
              <w:t xml:space="preserve">执行。具体防渗措施如下： </w:t>
            </w:r>
          </w:p>
          <w:p w14:paraId="09371E88">
            <w:pPr>
              <w:pStyle w:val="77"/>
              <w:snapToGrid/>
              <w:ind w:firstLine="422"/>
              <w:rPr>
                <w:rFonts w:hint="eastAsia" w:ascii="Times New Roman" w:hAnsi="Times New Roman"/>
                <w:b w:val="0"/>
                <w:bCs w:val="0"/>
                <w:color w:val="auto"/>
                <w:szCs w:val="21"/>
                <w:lang w:val="en-US" w:eastAsia="zh-CN"/>
              </w:rPr>
            </w:pPr>
            <w:r>
              <w:rPr>
                <w:rFonts w:hint="eastAsia" w:ascii="Times New Roman" w:hAnsi="Times New Roman"/>
                <w:b w:val="0"/>
                <w:bCs w:val="0"/>
                <w:color w:val="auto"/>
                <w:szCs w:val="21"/>
                <w:lang w:val="en-US" w:eastAsia="zh-CN"/>
              </w:rPr>
              <w:t>医疗废物要严格按照《危险废物贮存污染控制标准》（</w:t>
            </w:r>
            <w:r>
              <w:rPr>
                <w:rFonts w:hint="default" w:ascii="Times New Roman" w:hAnsi="Times New Roman"/>
                <w:b w:val="0"/>
                <w:bCs w:val="0"/>
                <w:color w:val="auto"/>
                <w:szCs w:val="21"/>
                <w:lang w:val="en-US" w:eastAsia="zh-CN"/>
              </w:rPr>
              <w:t>GB18597-2023</w:t>
            </w:r>
            <w:r>
              <w:rPr>
                <w:rFonts w:hint="eastAsia" w:ascii="Times New Roman" w:hAnsi="Times New Roman"/>
                <w:b w:val="0"/>
                <w:bCs w:val="0"/>
                <w:color w:val="auto"/>
                <w:szCs w:val="21"/>
                <w:lang w:val="en-US" w:eastAsia="zh-CN"/>
              </w:rPr>
              <w:t>）要求，做好防淋、防渗等工作；污水处理设施各池体、医疗废物贮存库地面采用采取基础夯实、地基处理、</w:t>
            </w:r>
            <w:r>
              <w:rPr>
                <w:rFonts w:hint="default" w:ascii="Times New Roman" w:hAnsi="Times New Roman"/>
                <w:b w:val="0"/>
                <w:bCs w:val="0"/>
                <w:color w:val="auto"/>
                <w:szCs w:val="21"/>
                <w:lang w:val="en-US" w:eastAsia="zh-CN"/>
              </w:rPr>
              <w:t xml:space="preserve">HDPE </w:t>
            </w:r>
            <w:r>
              <w:rPr>
                <w:rFonts w:hint="eastAsia" w:ascii="Times New Roman" w:hAnsi="Times New Roman"/>
                <w:b w:val="0"/>
                <w:bCs w:val="0"/>
                <w:color w:val="auto"/>
                <w:szCs w:val="21"/>
                <w:lang w:val="en-US" w:eastAsia="zh-CN"/>
              </w:rPr>
              <w:t>高密度聚乙烯防渗膜</w:t>
            </w:r>
            <w:r>
              <w:rPr>
                <w:rFonts w:hint="default" w:ascii="Times New Roman" w:hAnsi="Times New Roman"/>
                <w:b w:val="0"/>
                <w:bCs w:val="0"/>
                <w:color w:val="auto"/>
                <w:szCs w:val="21"/>
                <w:lang w:val="en-US" w:eastAsia="zh-CN"/>
              </w:rPr>
              <w:t>+</w:t>
            </w:r>
            <w:r>
              <w:rPr>
                <w:rFonts w:hint="eastAsia" w:ascii="Times New Roman" w:hAnsi="Times New Roman"/>
                <w:b w:val="0"/>
                <w:bCs w:val="0"/>
                <w:color w:val="auto"/>
                <w:szCs w:val="21"/>
                <w:lang w:val="en-US" w:eastAsia="zh-CN"/>
              </w:rPr>
              <w:t xml:space="preserve">混凝土进行防渗；地上管道建议采用花岗岩环氧树脂勾缝防渗，防止废水下渗，污染地下水；地下管道采用 </w:t>
            </w:r>
            <w:r>
              <w:rPr>
                <w:rFonts w:hint="default" w:ascii="Times New Roman" w:hAnsi="Times New Roman"/>
                <w:b w:val="0"/>
                <w:bCs w:val="0"/>
                <w:color w:val="auto"/>
                <w:szCs w:val="21"/>
                <w:lang w:val="en-US" w:eastAsia="zh-CN"/>
              </w:rPr>
              <w:t xml:space="preserve">PE </w:t>
            </w:r>
            <w:r>
              <w:rPr>
                <w:rFonts w:hint="eastAsia" w:ascii="Times New Roman" w:hAnsi="Times New Roman"/>
                <w:b w:val="0"/>
                <w:bCs w:val="0"/>
                <w:color w:val="auto"/>
                <w:szCs w:val="21"/>
                <w:lang w:val="en-US" w:eastAsia="zh-CN"/>
              </w:rPr>
              <w:t xml:space="preserve">管，管沟上设活动观察顶盖，以便出现渗漏问题及时观、解决。 </w:t>
            </w:r>
          </w:p>
          <w:p w14:paraId="2D9CD2F1">
            <w:pPr>
              <w:pStyle w:val="77"/>
              <w:snapToGrid/>
              <w:ind w:firstLine="422"/>
              <w:rPr>
                <w:rFonts w:hint="eastAsia" w:ascii="Times New Roman" w:hAnsi="Times New Roman"/>
                <w:b w:val="0"/>
                <w:bCs w:val="0"/>
                <w:color w:val="auto"/>
                <w:szCs w:val="21"/>
                <w:lang w:val="en-US" w:eastAsia="zh-CN"/>
              </w:rPr>
            </w:pPr>
            <w:r>
              <w:rPr>
                <w:rFonts w:hint="eastAsia" w:ascii="Times New Roman" w:hAnsi="Times New Roman"/>
                <w:b w:val="0"/>
                <w:bCs w:val="0"/>
                <w:color w:val="auto"/>
                <w:szCs w:val="21"/>
                <w:lang w:val="en-US" w:eastAsia="zh-CN"/>
              </w:rPr>
              <w:t xml:space="preserve">同时要求对设备加强维护，加强污水处理设备管理，防止废水收集过程中跑、冒、滴、漏、废水渗漏地下，对污水处理设施各设备加强监管及相应的维护措施。 </w:t>
            </w:r>
          </w:p>
          <w:p w14:paraId="76C50873">
            <w:pPr>
              <w:pStyle w:val="77"/>
              <w:snapToGrid/>
              <w:ind w:firstLine="422"/>
              <w:rPr>
                <w:rFonts w:hint="eastAsia" w:ascii="Times New Roman" w:hAnsi="Times New Roman"/>
                <w:b w:val="0"/>
                <w:bCs w:val="0"/>
                <w:color w:val="auto"/>
                <w:szCs w:val="21"/>
                <w:lang w:val="en-US" w:eastAsia="zh-CN"/>
              </w:rPr>
            </w:pPr>
            <w:r>
              <w:rPr>
                <w:rFonts w:hint="eastAsia" w:ascii="Times New Roman" w:hAnsi="Times New Roman"/>
                <w:b w:val="0"/>
                <w:bCs w:val="0"/>
                <w:color w:val="auto"/>
                <w:szCs w:val="21"/>
                <w:lang w:val="en-US" w:eastAsia="zh-CN"/>
              </w:rPr>
              <w:t xml:space="preserve">②简单防渗区：其他区域为简单污染防渗区，采用水泥硬化。 </w:t>
            </w:r>
          </w:p>
          <w:p w14:paraId="5A4FBF1B">
            <w:pPr>
              <w:pStyle w:val="77"/>
              <w:snapToGrid/>
              <w:ind w:firstLine="422"/>
              <w:rPr>
                <w:rFonts w:hint="eastAsia" w:ascii="Times New Roman" w:hAnsi="Times New Roman"/>
                <w:b w:val="0"/>
                <w:bCs w:val="0"/>
                <w:color w:val="auto"/>
                <w:szCs w:val="21"/>
                <w:lang w:val="en-US" w:eastAsia="zh-CN"/>
              </w:rPr>
            </w:pPr>
            <w:r>
              <w:rPr>
                <w:rFonts w:hint="eastAsia" w:ascii="Times New Roman" w:hAnsi="Times New Roman"/>
                <w:b w:val="0"/>
                <w:bCs w:val="0"/>
                <w:color w:val="auto"/>
                <w:szCs w:val="21"/>
                <w:lang w:val="en-US" w:eastAsia="zh-CN"/>
              </w:rPr>
              <w:t>（</w:t>
            </w:r>
            <w:r>
              <w:rPr>
                <w:rFonts w:hint="default" w:ascii="Times New Roman" w:hAnsi="Times New Roman"/>
                <w:b w:val="0"/>
                <w:bCs w:val="0"/>
                <w:color w:val="auto"/>
                <w:szCs w:val="21"/>
                <w:lang w:val="en-US" w:eastAsia="zh-CN"/>
              </w:rPr>
              <w:t>3</w:t>
            </w:r>
            <w:r>
              <w:rPr>
                <w:rFonts w:hint="eastAsia" w:ascii="Times New Roman" w:hAnsi="Times New Roman"/>
                <w:b w:val="0"/>
                <w:bCs w:val="0"/>
                <w:color w:val="auto"/>
                <w:szCs w:val="21"/>
                <w:lang w:val="en-US" w:eastAsia="zh-CN"/>
              </w:rPr>
              <w:t>）应急响应：建设单位应制定突发环境事件应急预案，明确污水泄漏情况下应采取的污染源控制措施及切断污染途径的措施。</w:t>
            </w:r>
          </w:p>
          <w:p w14:paraId="420EF624">
            <w:pPr>
              <w:pStyle w:val="77"/>
              <w:snapToGrid/>
              <w:ind w:firstLine="422"/>
              <w:rPr>
                <w:rFonts w:hint="eastAsia" w:ascii="Times New Roman" w:hAnsi="Times New Roman"/>
                <w:b/>
                <w:bCs/>
                <w:color w:val="auto"/>
                <w:szCs w:val="21"/>
                <w:lang w:val="en-US" w:eastAsia="zh-CN"/>
              </w:rPr>
            </w:pPr>
            <w:r>
              <w:rPr>
                <w:rFonts w:hint="eastAsia" w:ascii="Times New Roman" w:hAnsi="Times New Roman"/>
                <w:b/>
                <w:bCs/>
                <w:color w:val="auto"/>
                <w:szCs w:val="21"/>
                <w:lang w:val="en-US" w:eastAsia="zh-CN"/>
              </w:rPr>
              <w:t>4.</w:t>
            </w:r>
            <w:r>
              <w:rPr>
                <w:rFonts w:hint="default" w:ascii="Times New Roman" w:hAnsi="Times New Roman"/>
                <w:b/>
                <w:bCs/>
                <w:color w:val="auto"/>
                <w:szCs w:val="21"/>
                <w:lang w:val="en-US" w:eastAsia="zh-CN"/>
              </w:rPr>
              <w:t>6</w:t>
            </w:r>
            <w:r>
              <w:rPr>
                <w:rFonts w:hint="eastAsia" w:ascii="Times New Roman" w:hAnsi="Times New Roman"/>
                <w:b/>
                <w:bCs/>
                <w:color w:val="auto"/>
                <w:szCs w:val="21"/>
                <w:lang w:val="en-US" w:eastAsia="zh-CN"/>
              </w:rPr>
              <w:t xml:space="preserve">环境风险 </w:t>
            </w:r>
          </w:p>
          <w:p w14:paraId="0FEDFEF5">
            <w:pPr>
              <w:pStyle w:val="77"/>
              <w:snapToGrid/>
              <w:ind w:firstLine="422"/>
              <w:rPr>
                <w:rFonts w:hint="eastAsia" w:ascii="Times New Roman" w:hAnsi="Times New Roman"/>
                <w:b w:val="0"/>
                <w:bCs w:val="0"/>
                <w:color w:val="auto"/>
                <w:szCs w:val="21"/>
                <w:lang w:val="en-US" w:eastAsia="zh-CN"/>
              </w:rPr>
            </w:pPr>
            <w:r>
              <w:rPr>
                <w:rFonts w:hint="eastAsia" w:ascii="Times New Roman" w:hAnsi="Times New Roman"/>
                <w:b w:val="0"/>
                <w:bCs w:val="0"/>
                <w:color w:val="auto"/>
                <w:szCs w:val="21"/>
                <w:lang w:val="en-US" w:eastAsia="zh-CN"/>
              </w:rPr>
              <w:t>（</w:t>
            </w:r>
            <w:r>
              <w:rPr>
                <w:rFonts w:hint="default" w:ascii="Times New Roman" w:hAnsi="Times New Roman"/>
                <w:b w:val="0"/>
                <w:bCs w:val="0"/>
                <w:color w:val="auto"/>
                <w:szCs w:val="21"/>
                <w:lang w:val="en-US" w:eastAsia="zh-CN"/>
              </w:rPr>
              <w:t>1</w:t>
            </w:r>
            <w:r>
              <w:rPr>
                <w:rFonts w:hint="eastAsia" w:ascii="Times New Roman" w:hAnsi="Times New Roman"/>
                <w:b w:val="0"/>
                <w:bCs w:val="0"/>
                <w:color w:val="auto"/>
                <w:szCs w:val="21"/>
                <w:lang w:val="en-US" w:eastAsia="zh-CN"/>
              </w:rPr>
              <w:t xml:space="preserve">）风险源分析 </w:t>
            </w:r>
          </w:p>
          <w:p w14:paraId="7D655DF9">
            <w:pPr>
              <w:pStyle w:val="77"/>
              <w:snapToGrid/>
              <w:ind w:firstLine="422"/>
              <w:rPr>
                <w:rFonts w:hint="eastAsia" w:ascii="Times New Roman" w:hAnsi="Times New Roman"/>
                <w:b w:val="0"/>
                <w:bCs w:val="0"/>
                <w:color w:val="auto"/>
                <w:szCs w:val="21"/>
                <w:lang w:val="en-US" w:eastAsia="zh-CN"/>
              </w:rPr>
            </w:pPr>
            <w:r>
              <w:rPr>
                <w:rFonts w:hint="eastAsia" w:ascii="Times New Roman" w:hAnsi="Times New Roman"/>
                <w:b w:val="0"/>
                <w:bCs w:val="0"/>
                <w:color w:val="auto"/>
                <w:szCs w:val="21"/>
                <w:lang w:val="en-US" w:eastAsia="zh-CN"/>
              </w:rPr>
              <w:t>本项目为疗养院建设项目，运营过程中存在的主要风险物质为污水处理设施产生的</w:t>
            </w:r>
            <w:r>
              <w:rPr>
                <w:rFonts w:hint="default" w:ascii="Times New Roman" w:hAnsi="Times New Roman"/>
                <w:b w:val="0"/>
                <w:bCs w:val="0"/>
                <w:color w:val="auto"/>
                <w:szCs w:val="21"/>
                <w:lang w:val="en-US" w:eastAsia="zh-CN"/>
              </w:rPr>
              <w:t>H</w:t>
            </w:r>
            <w:r>
              <w:rPr>
                <w:rFonts w:hint="default" w:ascii="Times New Roman" w:hAnsi="Times New Roman"/>
                <w:b w:val="0"/>
                <w:bCs w:val="0"/>
                <w:color w:val="auto"/>
                <w:szCs w:val="21"/>
                <w:vertAlign w:val="subscript"/>
                <w:lang w:val="en-US" w:eastAsia="zh-CN"/>
              </w:rPr>
              <w:t>2</w:t>
            </w:r>
            <w:r>
              <w:rPr>
                <w:rFonts w:hint="default" w:ascii="Times New Roman" w:hAnsi="Times New Roman"/>
                <w:b w:val="0"/>
                <w:bCs w:val="0"/>
                <w:color w:val="auto"/>
                <w:szCs w:val="21"/>
                <w:lang w:val="en-US" w:eastAsia="zh-CN"/>
              </w:rPr>
              <w:t>S</w:t>
            </w:r>
            <w:r>
              <w:rPr>
                <w:rFonts w:hint="eastAsia" w:ascii="Times New Roman" w:hAnsi="Times New Roman"/>
                <w:b w:val="0"/>
                <w:bCs w:val="0"/>
                <w:color w:val="auto"/>
                <w:szCs w:val="21"/>
                <w:lang w:val="en-US" w:eastAsia="zh-CN"/>
              </w:rPr>
              <w:t>、</w:t>
            </w:r>
            <w:r>
              <w:rPr>
                <w:rFonts w:hint="default" w:ascii="Times New Roman" w:hAnsi="Times New Roman"/>
                <w:b w:val="0"/>
                <w:bCs w:val="0"/>
                <w:color w:val="auto"/>
                <w:szCs w:val="21"/>
                <w:lang w:val="en-US" w:eastAsia="zh-CN"/>
              </w:rPr>
              <w:t>NH</w:t>
            </w:r>
            <w:r>
              <w:rPr>
                <w:rFonts w:hint="default" w:ascii="Times New Roman" w:hAnsi="Times New Roman"/>
                <w:b w:val="0"/>
                <w:bCs w:val="0"/>
                <w:color w:val="auto"/>
                <w:szCs w:val="21"/>
                <w:vertAlign w:val="subscript"/>
                <w:lang w:val="en-US" w:eastAsia="zh-CN"/>
              </w:rPr>
              <w:t>3</w:t>
            </w:r>
            <w:r>
              <w:rPr>
                <w:rFonts w:hint="eastAsia" w:ascii="Times New Roman" w:hAnsi="Times New Roman"/>
                <w:b w:val="0"/>
                <w:bCs w:val="0"/>
                <w:color w:val="auto"/>
                <w:szCs w:val="21"/>
                <w:lang w:val="en-US" w:eastAsia="zh-CN"/>
              </w:rPr>
              <w:t xml:space="preserve">等，经计算，产生量很小。项目存在的环境风险主要为生产设施风险，即医疗废水处理设施事故状态下的排污，以及医疗废物、污泥处理不当产生的环境风险。 </w:t>
            </w:r>
          </w:p>
          <w:p w14:paraId="3B3C67CC">
            <w:pPr>
              <w:pStyle w:val="77"/>
              <w:snapToGrid/>
              <w:ind w:firstLine="422"/>
              <w:rPr>
                <w:rFonts w:hint="eastAsia" w:ascii="Times New Roman" w:hAnsi="Times New Roman"/>
                <w:b w:val="0"/>
                <w:bCs w:val="0"/>
                <w:color w:val="auto"/>
                <w:szCs w:val="21"/>
                <w:lang w:val="en-US" w:eastAsia="zh-CN"/>
              </w:rPr>
            </w:pPr>
            <w:r>
              <w:rPr>
                <w:rFonts w:hint="eastAsia" w:ascii="Times New Roman" w:hAnsi="Times New Roman"/>
                <w:b w:val="0"/>
                <w:bCs w:val="0"/>
                <w:color w:val="auto"/>
                <w:szCs w:val="21"/>
                <w:lang w:val="en-US" w:eastAsia="zh-CN"/>
              </w:rPr>
              <w:t>（</w:t>
            </w:r>
            <w:r>
              <w:rPr>
                <w:rFonts w:hint="default" w:ascii="Times New Roman" w:hAnsi="Times New Roman"/>
                <w:b w:val="0"/>
                <w:bCs w:val="0"/>
                <w:color w:val="auto"/>
                <w:szCs w:val="21"/>
                <w:lang w:val="en-US" w:eastAsia="zh-CN"/>
              </w:rPr>
              <w:t>2</w:t>
            </w:r>
            <w:r>
              <w:rPr>
                <w:rFonts w:hint="eastAsia" w:ascii="Times New Roman" w:hAnsi="Times New Roman"/>
                <w:b w:val="0"/>
                <w:bCs w:val="0"/>
                <w:color w:val="auto"/>
                <w:szCs w:val="21"/>
                <w:lang w:val="en-US" w:eastAsia="zh-CN"/>
              </w:rPr>
              <w:t xml:space="preserve">）项目废水事故排放风险分析及防治措施 </w:t>
            </w:r>
          </w:p>
          <w:p w14:paraId="06EEC135">
            <w:pPr>
              <w:pStyle w:val="77"/>
              <w:snapToGrid/>
              <w:ind w:firstLine="422"/>
              <w:rPr>
                <w:rFonts w:hint="eastAsia" w:ascii="Times New Roman" w:hAnsi="Times New Roman"/>
                <w:b w:val="0"/>
                <w:bCs w:val="0"/>
                <w:color w:val="auto"/>
                <w:szCs w:val="21"/>
                <w:lang w:val="en-US" w:eastAsia="zh-CN"/>
              </w:rPr>
            </w:pPr>
            <w:r>
              <w:rPr>
                <w:rFonts w:hint="eastAsia" w:ascii="Times New Roman" w:hAnsi="Times New Roman"/>
                <w:b w:val="0"/>
                <w:bCs w:val="0"/>
                <w:color w:val="auto"/>
                <w:szCs w:val="21"/>
                <w:lang w:val="en-US" w:eastAsia="zh-CN"/>
              </w:rPr>
              <w:t xml:space="preserve">正常情况下，项目废水可达标排放；事故排放情况下，废水未经污水处理设施处理或出水水质不达标，废水经城市污水管网排入大同市恒安新区污水处理厂或地表水体。 </w:t>
            </w:r>
          </w:p>
          <w:p w14:paraId="3484800E">
            <w:pPr>
              <w:pStyle w:val="77"/>
              <w:snapToGrid/>
              <w:ind w:firstLine="422"/>
              <w:rPr>
                <w:rFonts w:hint="eastAsia" w:ascii="Times New Roman" w:hAnsi="Times New Roman"/>
                <w:b w:val="0"/>
                <w:bCs w:val="0"/>
                <w:color w:val="auto"/>
                <w:szCs w:val="21"/>
                <w:lang w:val="en-US" w:eastAsia="zh-CN"/>
              </w:rPr>
            </w:pPr>
            <w:r>
              <w:rPr>
                <w:rFonts w:hint="eastAsia" w:ascii="Times New Roman" w:hAnsi="Times New Roman"/>
                <w:b w:val="0"/>
                <w:bCs w:val="0"/>
                <w:color w:val="auto"/>
                <w:szCs w:val="21"/>
                <w:lang w:val="en-US" w:eastAsia="zh-CN"/>
              </w:rPr>
              <w:t xml:space="preserve">医疗废水处理过程中的事故因素包括两方面： </w:t>
            </w:r>
          </w:p>
          <w:p w14:paraId="5325D5A9">
            <w:pPr>
              <w:pStyle w:val="77"/>
              <w:snapToGrid/>
              <w:ind w:firstLine="422"/>
              <w:rPr>
                <w:rFonts w:hint="eastAsia" w:ascii="Times New Roman" w:hAnsi="Times New Roman"/>
                <w:b w:val="0"/>
                <w:bCs w:val="0"/>
                <w:color w:val="auto"/>
                <w:szCs w:val="21"/>
                <w:lang w:val="en-US" w:eastAsia="zh-CN"/>
              </w:rPr>
            </w:pPr>
            <w:r>
              <w:rPr>
                <w:rFonts w:hint="eastAsia" w:ascii="Times New Roman" w:hAnsi="Times New Roman"/>
                <w:b w:val="0"/>
                <w:bCs w:val="0"/>
                <w:color w:val="auto"/>
                <w:szCs w:val="21"/>
                <w:lang w:val="en-US" w:eastAsia="zh-CN"/>
              </w:rPr>
              <w:t>一是操作不当或处理设施尤其是污水处理设施设备失灵，废水不能达标而直接排放。医院污水可沾染病人的血、尿、便，或受到粪便、传染性细菌和病毒等病原性微生物污染，具有传染性，可以诱发疾病或造成伤害；同时废水中含有酸、碱、悬浮固体、</w:t>
            </w:r>
            <w:r>
              <w:rPr>
                <w:rFonts w:hint="default" w:ascii="Times New Roman" w:hAnsi="Times New Roman"/>
                <w:b w:val="0"/>
                <w:bCs w:val="0"/>
                <w:color w:val="auto"/>
                <w:szCs w:val="21"/>
                <w:lang w:val="en-US" w:eastAsia="zh-CN"/>
              </w:rPr>
              <w:t>BOD</w:t>
            </w:r>
            <w:r>
              <w:rPr>
                <w:rFonts w:hint="eastAsia" w:ascii="Times New Roman" w:hAnsi="Times New Roman"/>
                <w:b w:val="0"/>
                <w:bCs w:val="0"/>
                <w:color w:val="auto"/>
                <w:szCs w:val="21"/>
                <w:vertAlign w:val="subscript"/>
                <w:lang w:val="en-US" w:eastAsia="zh-CN"/>
              </w:rPr>
              <w:t>5</w:t>
            </w:r>
            <w:r>
              <w:rPr>
                <w:rFonts w:hint="eastAsia" w:ascii="Times New Roman" w:hAnsi="Times New Roman"/>
                <w:b w:val="0"/>
                <w:bCs w:val="0"/>
                <w:color w:val="auto"/>
                <w:szCs w:val="21"/>
                <w:lang w:val="en-US" w:eastAsia="zh-CN"/>
              </w:rPr>
              <w:t>、</w:t>
            </w:r>
            <w:r>
              <w:rPr>
                <w:rFonts w:hint="default" w:ascii="Times New Roman" w:hAnsi="Times New Roman"/>
                <w:b w:val="0"/>
                <w:bCs w:val="0"/>
                <w:color w:val="auto"/>
                <w:szCs w:val="21"/>
                <w:lang w:val="en-US" w:eastAsia="zh-CN"/>
              </w:rPr>
              <w:t>COD</w:t>
            </w:r>
            <w:r>
              <w:rPr>
                <w:rFonts w:hint="eastAsia" w:ascii="Times New Roman" w:hAnsi="Times New Roman"/>
                <w:b w:val="0"/>
                <w:bCs w:val="0"/>
                <w:color w:val="auto"/>
                <w:szCs w:val="21"/>
                <w:lang w:val="en-US" w:eastAsia="zh-CN"/>
              </w:rPr>
              <w:t>cr</w:t>
            </w:r>
            <w:r>
              <w:rPr>
                <w:rFonts w:hint="default" w:ascii="Times New Roman" w:hAnsi="Times New Roman"/>
                <w:b w:val="0"/>
                <w:bCs w:val="0"/>
                <w:color w:val="auto"/>
                <w:szCs w:val="21"/>
                <w:lang w:val="en-US" w:eastAsia="zh-CN"/>
              </w:rPr>
              <w:t xml:space="preserve"> </w:t>
            </w:r>
            <w:r>
              <w:rPr>
                <w:rFonts w:hint="eastAsia" w:ascii="Times New Roman" w:hAnsi="Times New Roman"/>
                <w:b w:val="0"/>
                <w:bCs w:val="0"/>
                <w:color w:val="auto"/>
                <w:szCs w:val="21"/>
                <w:lang w:val="en-US" w:eastAsia="zh-CN"/>
              </w:rPr>
              <w:t xml:space="preserve">和动植物油等有毒、有害物质和多种致病菌、病毒和寄生虫卵，它们在环境中具有一定的适应力，有的甚至在污水中存活较长，危害性较大，不经有效处理会成为一条疫病扩散的重要途径和严重污染环境，危害人体健康并对环境有长远影响，排放的废水将会导致环境污染事故； </w:t>
            </w:r>
          </w:p>
          <w:p w14:paraId="3911A0B4">
            <w:pPr>
              <w:pStyle w:val="77"/>
              <w:snapToGrid/>
              <w:ind w:firstLine="422"/>
              <w:rPr>
                <w:rFonts w:hint="eastAsia" w:ascii="Times New Roman" w:hAnsi="Times New Roman"/>
                <w:b w:val="0"/>
                <w:bCs w:val="0"/>
                <w:color w:val="auto"/>
                <w:szCs w:val="21"/>
                <w:lang w:val="en-US" w:eastAsia="zh-CN"/>
              </w:rPr>
            </w:pPr>
            <w:r>
              <w:rPr>
                <w:rFonts w:hint="eastAsia" w:ascii="Times New Roman" w:hAnsi="Times New Roman"/>
                <w:b w:val="0"/>
                <w:bCs w:val="0"/>
                <w:color w:val="auto"/>
                <w:szCs w:val="21"/>
                <w:lang w:val="en-US" w:eastAsia="zh-CN"/>
              </w:rPr>
              <w:t xml:space="preserve">二是管道破裂、泵设备损坏或失效等造成的跑冒滴漏等，造成废水外排或泄露。 </w:t>
            </w:r>
          </w:p>
          <w:p w14:paraId="71C84779">
            <w:pPr>
              <w:pStyle w:val="77"/>
              <w:snapToGrid/>
              <w:ind w:firstLine="422"/>
              <w:rPr>
                <w:rFonts w:hint="eastAsia" w:ascii="Times New Roman" w:hAnsi="Times New Roman"/>
                <w:b w:val="0"/>
                <w:bCs w:val="0"/>
                <w:color w:val="auto"/>
                <w:szCs w:val="21"/>
                <w:lang w:val="en-US" w:eastAsia="zh-CN"/>
              </w:rPr>
            </w:pPr>
            <w:r>
              <w:rPr>
                <w:rFonts w:hint="eastAsia" w:ascii="Times New Roman" w:hAnsi="Times New Roman"/>
                <w:b w:val="0"/>
                <w:bCs w:val="0"/>
                <w:color w:val="auto"/>
                <w:szCs w:val="21"/>
                <w:lang w:val="en-US" w:eastAsia="zh-CN"/>
              </w:rPr>
              <w:t xml:space="preserve">本项目废水事故外排防治措施： </w:t>
            </w:r>
          </w:p>
          <w:p w14:paraId="7B833052">
            <w:pPr>
              <w:pStyle w:val="77"/>
              <w:snapToGrid/>
              <w:ind w:firstLine="422"/>
              <w:rPr>
                <w:rFonts w:hint="eastAsia" w:ascii="Times New Roman" w:hAnsi="Times New Roman"/>
                <w:b w:val="0"/>
                <w:bCs w:val="0"/>
                <w:color w:val="auto"/>
                <w:szCs w:val="21"/>
                <w:lang w:val="en-US" w:eastAsia="zh-CN"/>
              </w:rPr>
            </w:pPr>
            <w:r>
              <w:rPr>
                <w:rFonts w:hint="eastAsia" w:ascii="Times New Roman" w:hAnsi="Times New Roman"/>
                <w:b w:val="0"/>
                <w:bCs w:val="0"/>
                <w:color w:val="auto"/>
                <w:szCs w:val="21"/>
                <w:lang w:val="en-US" w:eastAsia="zh-CN"/>
              </w:rPr>
              <w:t xml:space="preserve">本项目事故主要污水处理单元事故状况，无法处理运营期废水的情况，此时医疗废水污水先进入调节池内暂存，待污水处理设施正常运行后，未处理废水再进入废水处理 站进行处理。项目设有 </w:t>
            </w:r>
            <w:r>
              <w:rPr>
                <w:rFonts w:hint="default" w:ascii="Times New Roman" w:hAnsi="Times New Roman"/>
                <w:b w:val="0"/>
                <w:bCs w:val="0"/>
                <w:color w:val="auto"/>
                <w:szCs w:val="21"/>
                <w:lang w:val="en-US" w:eastAsia="zh-CN"/>
              </w:rPr>
              <w:t xml:space="preserve">1 </w:t>
            </w:r>
            <w:r>
              <w:rPr>
                <w:rFonts w:hint="eastAsia" w:ascii="Times New Roman" w:hAnsi="Times New Roman"/>
                <w:b w:val="0"/>
                <w:bCs w:val="0"/>
                <w:color w:val="auto"/>
                <w:szCs w:val="21"/>
                <w:lang w:val="en-US" w:eastAsia="zh-CN"/>
              </w:rPr>
              <w:t>座化粪池、</w:t>
            </w:r>
            <w:r>
              <w:rPr>
                <w:rFonts w:hint="default" w:ascii="Times New Roman" w:hAnsi="Times New Roman"/>
                <w:b w:val="0"/>
                <w:bCs w:val="0"/>
                <w:color w:val="auto"/>
                <w:szCs w:val="21"/>
                <w:lang w:val="en-US" w:eastAsia="zh-CN"/>
              </w:rPr>
              <w:t xml:space="preserve">1 </w:t>
            </w:r>
            <w:r>
              <w:rPr>
                <w:rFonts w:hint="eastAsia" w:ascii="Times New Roman" w:hAnsi="Times New Roman"/>
                <w:b w:val="0"/>
                <w:bCs w:val="0"/>
                <w:color w:val="auto"/>
                <w:szCs w:val="21"/>
                <w:lang w:val="en-US" w:eastAsia="zh-CN"/>
              </w:rPr>
              <w:t>座污水处理站，化粪池、污水调节池总容积超过20</w:t>
            </w:r>
            <w:r>
              <w:rPr>
                <w:rFonts w:hint="default" w:ascii="Times New Roman" w:hAnsi="Times New Roman"/>
                <w:b w:val="0"/>
                <w:bCs w:val="0"/>
                <w:color w:val="auto"/>
                <w:szCs w:val="21"/>
                <w:lang w:val="en-US" w:eastAsia="zh-CN"/>
              </w:rPr>
              <w:t>0m</w:t>
            </w:r>
            <w:r>
              <w:rPr>
                <w:rFonts w:hint="default" w:ascii="Times New Roman" w:hAnsi="Times New Roman"/>
                <w:b w:val="0"/>
                <w:bCs w:val="0"/>
                <w:color w:val="auto"/>
                <w:szCs w:val="21"/>
                <w:vertAlign w:val="superscript"/>
                <w:lang w:val="en-US" w:eastAsia="zh-CN"/>
              </w:rPr>
              <w:t>3</w:t>
            </w:r>
            <w:r>
              <w:rPr>
                <w:rFonts w:hint="eastAsia" w:ascii="Times New Roman" w:hAnsi="Times New Roman"/>
                <w:b w:val="0"/>
                <w:bCs w:val="0"/>
                <w:color w:val="auto"/>
                <w:szCs w:val="21"/>
                <w:lang w:val="en-US" w:eastAsia="zh-CN"/>
              </w:rPr>
              <w:t>，可满足本项目废水</w:t>
            </w:r>
            <w:r>
              <w:rPr>
                <w:rFonts w:hint="default" w:ascii="Times New Roman" w:hAnsi="Times New Roman"/>
                <w:b w:val="0"/>
                <w:bCs w:val="0"/>
                <w:color w:val="auto"/>
                <w:szCs w:val="21"/>
                <w:lang w:val="en-US" w:eastAsia="zh-CN"/>
              </w:rPr>
              <w:t xml:space="preserve">1d </w:t>
            </w:r>
            <w:r>
              <w:rPr>
                <w:rFonts w:hint="eastAsia" w:ascii="Times New Roman" w:hAnsi="Times New Roman"/>
                <w:b w:val="0"/>
                <w:bCs w:val="0"/>
                <w:color w:val="auto"/>
                <w:szCs w:val="21"/>
                <w:lang w:val="en-US" w:eastAsia="zh-CN"/>
              </w:rPr>
              <w:t>暂存需求。</w:t>
            </w:r>
          </w:p>
          <w:p w14:paraId="541DA1B3">
            <w:pPr>
              <w:pStyle w:val="77"/>
              <w:snapToGrid/>
              <w:ind w:firstLine="422"/>
              <w:rPr>
                <w:rFonts w:hint="eastAsia" w:ascii="Times New Roman" w:hAnsi="Times New Roman"/>
                <w:b w:val="0"/>
                <w:bCs w:val="0"/>
                <w:color w:val="auto"/>
                <w:szCs w:val="21"/>
                <w:lang w:val="en-US" w:eastAsia="zh-CN"/>
              </w:rPr>
            </w:pPr>
            <w:r>
              <w:rPr>
                <w:rFonts w:hint="eastAsia" w:ascii="Times New Roman" w:hAnsi="Times New Roman"/>
                <w:b w:val="0"/>
                <w:bCs w:val="0"/>
                <w:color w:val="auto"/>
                <w:szCs w:val="21"/>
                <w:lang w:val="en-US" w:eastAsia="zh-CN"/>
              </w:rPr>
              <w:t>（</w:t>
            </w:r>
            <w:r>
              <w:rPr>
                <w:rFonts w:hint="default" w:ascii="Times New Roman" w:hAnsi="Times New Roman"/>
                <w:b w:val="0"/>
                <w:bCs w:val="0"/>
                <w:color w:val="auto"/>
                <w:szCs w:val="21"/>
                <w:lang w:val="en-US" w:eastAsia="zh-CN"/>
              </w:rPr>
              <w:t>3</w:t>
            </w:r>
            <w:r>
              <w:rPr>
                <w:rFonts w:hint="eastAsia" w:ascii="Times New Roman" w:hAnsi="Times New Roman"/>
                <w:b w:val="0"/>
                <w:bCs w:val="0"/>
                <w:color w:val="auto"/>
                <w:szCs w:val="21"/>
                <w:lang w:val="en-US" w:eastAsia="zh-CN"/>
              </w:rPr>
              <w:t xml:space="preserve">）医疗废物、污泥处置不当环境风险分析及防治措施 </w:t>
            </w:r>
          </w:p>
          <w:p w14:paraId="2E0CC74A">
            <w:pPr>
              <w:pStyle w:val="77"/>
              <w:snapToGrid/>
              <w:ind w:firstLine="422"/>
              <w:rPr>
                <w:rFonts w:hint="eastAsia" w:ascii="Times New Roman" w:hAnsi="Times New Roman"/>
                <w:b w:val="0"/>
                <w:bCs w:val="0"/>
                <w:color w:val="auto"/>
                <w:szCs w:val="21"/>
                <w:lang w:val="en-US" w:eastAsia="zh-CN"/>
              </w:rPr>
            </w:pPr>
            <w:r>
              <w:rPr>
                <w:rFonts w:hint="eastAsia" w:ascii="Times New Roman" w:hAnsi="Times New Roman"/>
                <w:b w:val="0"/>
                <w:bCs w:val="0"/>
                <w:color w:val="auto"/>
                <w:szCs w:val="21"/>
                <w:lang w:val="en-US" w:eastAsia="zh-CN"/>
              </w:rPr>
              <w:t>医疗废物、污泥属于危险废物，具有感染性，处置不当会对人员健康、环境造成较大影响。本次评价针对医疗废物、污泥提出了相应的处理措施及要求，建设单位在运营过程中，医疗废物收集、贮存严格按照《危险废物贮存污染控制标准》（</w:t>
            </w:r>
            <w:r>
              <w:rPr>
                <w:rFonts w:hint="default" w:ascii="Times New Roman" w:hAnsi="Times New Roman"/>
                <w:b w:val="0"/>
                <w:bCs w:val="0"/>
                <w:color w:val="auto"/>
                <w:szCs w:val="21"/>
                <w:lang w:val="en-US" w:eastAsia="zh-CN"/>
              </w:rPr>
              <w:t>GB18597-2023</w:t>
            </w:r>
            <w:r>
              <w:rPr>
                <w:rFonts w:hint="eastAsia" w:ascii="Times New Roman" w:hAnsi="Times New Roman"/>
                <w:b w:val="0"/>
                <w:bCs w:val="0"/>
                <w:color w:val="auto"/>
                <w:szCs w:val="21"/>
                <w:lang w:val="en-US" w:eastAsia="zh-CN"/>
              </w:rPr>
              <w:t xml:space="preserve">）执行，并加强危废日常管理，委托有资质单位及时清运处置。 </w:t>
            </w:r>
          </w:p>
          <w:p w14:paraId="4E4BAAAD">
            <w:pPr>
              <w:pStyle w:val="77"/>
              <w:snapToGrid/>
              <w:ind w:firstLine="422"/>
              <w:rPr>
                <w:rFonts w:hint="eastAsia" w:ascii="Times New Roman" w:hAnsi="Times New Roman"/>
                <w:b w:val="0"/>
                <w:bCs w:val="0"/>
                <w:color w:val="auto"/>
                <w:szCs w:val="21"/>
                <w:lang w:val="en-US" w:eastAsia="zh-CN"/>
              </w:rPr>
            </w:pPr>
            <w:r>
              <w:rPr>
                <w:rFonts w:hint="eastAsia" w:ascii="Times New Roman" w:hAnsi="Times New Roman"/>
                <w:b w:val="0"/>
                <w:bCs w:val="0"/>
                <w:color w:val="auto"/>
                <w:szCs w:val="21"/>
                <w:lang w:val="en-US" w:eastAsia="zh-CN"/>
              </w:rPr>
              <w:t>（</w:t>
            </w:r>
            <w:r>
              <w:rPr>
                <w:rFonts w:hint="default" w:ascii="Times New Roman" w:hAnsi="Times New Roman"/>
                <w:b w:val="0"/>
                <w:bCs w:val="0"/>
                <w:color w:val="auto"/>
                <w:szCs w:val="21"/>
                <w:lang w:val="en-US" w:eastAsia="zh-CN"/>
              </w:rPr>
              <w:t>4</w:t>
            </w:r>
            <w:r>
              <w:rPr>
                <w:rFonts w:hint="eastAsia" w:ascii="Times New Roman" w:hAnsi="Times New Roman"/>
                <w:b w:val="0"/>
                <w:bCs w:val="0"/>
                <w:color w:val="auto"/>
                <w:szCs w:val="21"/>
                <w:lang w:val="en-US" w:eastAsia="zh-CN"/>
              </w:rPr>
              <w:t xml:space="preserve">） 环境风险管理 </w:t>
            </w:r>
          </w:p>
          <w:p w14:paraId="6044B11A">
            <w:pPr>
              <w:pStyle w:val="77"/>
              <w:snapToGrid/>
              <w:ind w:firstLine="422"/>
              <w:rPr>
                <w:rFonts w:hint="eastAsia" w:ascii="Times New Roman" w:hAnsi="Times New Roman"/>
                <w:b w:val="0"/>
                <w:bCs w:val="0"/>
                <w:color w:val="auto"/>
                <w:szCs w:val="21"/>
                <w:lang w:val="en-US" w:eastAsia="zh-CN"/>
              </w:rPr>
            </w:pPr>
            <w:r>
              <w:rPr>
                <w:rFonts w:hint="eastAsia" w:ascii="Times New Roman" w:hAnsi="Times New Roman"/>
                <w:b w:val="0"/>
                <w:bCs w:val="0"/>
                <w:color w:val="auto"/>
                <w:szCs w:val="21"/>
                <w:lang w:val="en-US" w:eastAsia="zh-CN"/>
              </w:rPr>
              <w:t xml:space="preserve">①制定正常、异常或紧急状态下的处置措施；设置专用并向社会公开的报警电话，昼夜 </w:t>
            </w:r>
            <w:r>
              <w:rPr>
                <w:rFonts w:hint="default" w:ascii="Times New Roman" w:hAnsi="Times New Roman"/>
                <w:b w:val="0"/>
                <w:bCs w:val="0"/>
                <w:color w:val="auto"/>
                <w:szCs w:val="21"/>
                <w:lang w:val="en-US" w:eastAsia="zh-CN"/>
              </w:rPr>
              <w:t xml:space="preserve">24 </w:t>
            </w:r>
            <w:r>
              <w:rPr>
                <w:rFonts w:hint="eastAsia" w:ascii="Times New Roman" w:hAnsi="Times New Roman"/>
                <w:b w:val="0"/>
                <w:bCs w:val="0"/>
                <w:color w:val="auto"/>
                <w:szCs w:val="21"/>
                <w:lang w:val="en-US" w:eastAsia="zh-CN"/>
              </w:rPr>
              <w:t xml:space="preserve">小时备勤，随时处置事故。 </w:t>
            </w:r>
          </w:p>
          <w:p w14:paraId="71EC29C6">
            <w:pPr>
              <w:pStyle w:val="77"/>
              <w:snapToGrid/>
              <w:ind w:firstLine="422"/>
              <w:rPr>
                <w:rFonts w:hint="eastAsia" w:ascii="Times New Roman" w:hAnsi="Times New Roman"/>
                <w:b w:val="0"/>
                <w:bCs w:val="0"/>
                <w:color w:val="auto"/>
                <w:szCs w:val="21"/>
                <w:lang w:val="en-US" w:eastAsia="zh-CN"/>
              </w:rPr>
            </w:pPr>
            <w:r>
              <w:rPr>
                <w:rFonts w:hint="eastAsia" w:ascii="Times New Roman" w:hAnsi="Times New Roman"/>
                <w:b w:val="0"/>
                <w:bCs w:val="0"/>
                <w:color w:val="auto"/>
                <w:szCs w:val="21"/>
                <w:lang w:val="en-US" w:eastAsia="zh-CN"/>
              </w:rPr>
              <w:t xml:space="preserve">②对工作人员进行有关污水处理设施使用的培训。 </w:t>
            </w:r>
          </w:p>
          <w:p w14:paraId="30D4EB1A">
            <w:pPr>
              <w:pStyle w:val="77"/>
              <w:snapToGrid/>
              <w:ind w:firstLine="422"/>
              <w:rPr>
                <w:rFonts w:hint="eastAsia" w:ascii="Times New Roman" w:hAnsi="Times New Roman"/>
                <w:b w:val="0"/>
                <w:bCs w:val="0"/>
                <w:color w:val="auto"/>
                <w:szCs w:val="21"/>
                <w:lang w:val="en-US" w:eastAsia="zh-CN"/>
              </w:rPr>
            </w:pPr>
            <w:r>
              <w:rPr>
                <w:rFonts w:hint="eastAsia" w:ascii="Times New Roman" w:hAnsi="Times New Roman"/>
                <w:b w:val="0"/>
                <w:bCs w:val="0"/>
                <w:color w:val="auto"/>
                <w:szCs w:val="21"/>
                <w:lang w:val="en-US" w:eastAsia="zh-CN"/>
              </w:rPr>
              <w:t xml:space="preserve">③制定应急操作规程，在规程中应说明发生事故时应采取的操作步骤，规定抢修进度，限制事故的影响，另外还应说明与操作人员有关的安全问题。 </w:t>
            </w:r>
          </w:p>
          <w:p w14:paraId="0CF85EC8">
            <w:pPr>
              <w:pStyle w:val="77"/>
              <w:snapToGrid/>
              <w:ind w:firstLine="422"/>
              <w:rPr>
                <w:rFonts w:hint="eastAsia" w:ascii="Times New Roman" w:hAnsi="Times New Roman"/>
                <w:b w:val="0"/>
                <w:bCs w:val="0"/>
                <w:color w:val="auto"/>
                <w:szCs w:val="21"/>
                <w:lang w:val="en-US" w:eastAsia="zh-CN"/>
              </w:rPr>
            </w:pPr>
            <w:r>
              <w:rPr>
                <w:rFonts w:hint="eastAsia" w:ascii="Times New Roman" w:hAnsi="Times New Roman"/>
                <w:b w:val="0"/>
                <w:bCs w:val="0"/>
                <w:color w:val="auto"/>
                <w:szCs w:val="21"/>
                <w:lang w:val="en-US" w:eastAsia="zh-CN"/>
              </w:rPr>
              <w:t xml:space="preserve">④操作人员每周应进行安全教育活动，提高职工的安全意识。 </w:t>
            </w:r>
          </w:p>
          <w:p w14:paraId="11579475">
            <w:pPr>
              <w:pStyle w:val="77"/>
              <w:snapToGrid/>
              <w:ind w:firstLine="422"/>
              <w:rPr>
                <w:rFonts w:hint="eastAsia" w:ascii="Times New Roman" w:hAnsi="Times New Roman"/>
                <w:b w:val="0"/>
                <w:bCs w:val="0"/>
                <w:color w:val="auto"/>
                <w:szCs w:val="21"/>
                <w:lang w:val="en-US" w:eastAsia="zh-CN"/>
              </w:rPr>
            </w:pPr>
            <w:r>
              <w:rPr>
                <w:rFonts w:hint="eastAsia" w:ascii="Times New Roman" w:hAnsi="Times New Roman"/>
                <w:b w:val="0"/>
                <w:bCs w:val="0"/>
                <w:color w:val="auto"/>
                <w:szCs w:val="21"/>
                <w:lang w:val="en-US" w:eastAsia="zh-CN"/>
              </w:rPr>
              <w:t>⑤建立事故应急体系，制定应急预案，配备应急处置救援人员和必要的应急救援器材、设备，并定期组织演练。</w:t>
            </w:r>
          </w:p>
          <w:p w14:paraId="25E127B1">
            <w:pPr>
              <w:pStyle w:val="77"/>
              <w:snapToGrid/>
              <w:ind w:firstLine="422"/>
              <w:rPr>
                <w:rFonts w:ascii="Times New Roman" w:hAnsi="Times New Roman"/>
                <w:bCs/>
                <w:color w:val="auto"/>
                <w:szCs w:val="21"/>
              </w:rPr>
            </w:pPr>
            <w:r>
              <w:rPr>
                <w:rFonts w:hint="eastAsia" w:ascii="Times New Roman" w:hAnsi="Times New Roman"/>
                <w:bCs/>
                <w:color w:val="auto"/>
                <w:szCs w:val="21"/>
                <w:lang w:val="en-US" w:eastAsia="zh-CN"/>
              </w:rPr>
              <w:t>4.7</w:t>
            </w:r>
            <w:r>
              <w:rPr>
                <w:rFonts w:ascii="Times New Roman" w:hAnsi="Times New Roman"/>
                <w:bCs/>
                <w:color w:val="auto"/>
                <w:szCs w:val="21"/>
              </w:rPr>
              <w:t>、关于防沙治沙</w:t>
            </w:r>
          </w:p>
          <w:p w14:paraId="5D753B98">
            <w:pPr>
              <w:spacing w:line="360" w:lineRule="auto"/>
              <w:ind w:firstLine="420" w:firstLineChars="200"/>
              <w:rPr>
                <w:bCs/>
                <w:color w:val="auto"/>
                <w:szCs w:val="21"/>
              </w:rPr>
            </w:pPr>
            <w:r>
              <w:rPr>
                <w:bCs/>
                <w:color w:val="auto"/>
                <w:szCs w:val="21"/>
              </w:rPr>
              <w:t>根据</w:t>
            </w:r>
            <w:r>
              <w:rPr>
                <w:rFonts w:hint="eastAsia"/>
                <w:bCs/>
                <w:color w:val="auto"/>
                <w:szCs w:val="21"/>
                <w:lang w:eastAsia="zh-CN"/>
              </w:rPr>
              <w:t>《</w:t>
            </w:r>
            <w:r>
              <w:rPr>
                <w:rFonts w:hint="eastAsia"/>
                <w:bCs/>
                <w:color w:val="auto"/>
                <w:szCs w:val="21"/>
                <w:lang w:val="en-US" w:eastAsia="zh-CN"/>
              </w:rPr>
              <w:t>全国防沙治沙规划</w:t>
            </w:r>
            <w:r>
              <w:rPr>
                <w:rFonts w:hint="eastAsia"/>
                <w:bCs/>
                <w:color w:val="auto"/>
                <w:szCs w:val="21"/>
                <w:lang w:eastAsia="zh-CN"/>
              </w:rPr>
              <w:t>》（</w:t>
            </w:r>
            <w:r>
              <w:rPr>
                <w:rFonts w:hint="eastAsia"/>
                <w:bCs/>
                <w:color w:val="auto"/>
                <w:szCs w:val="21"/>
                <w:lang w:val="en-US" w:eastAsia="zh-CN"/>
              </w:rPr>
              <w:t>2021-2030</w:t>
            </w:r>
            <w:r>
              <w:rPr>
                <w:rFonts w:hint="eastAsia"/>
                <w:bCs/>
                <w:color w:val="auto"/>
                <w:szCs w:val="21"/>
                <w:lang w:eastAsia="zh-CN"/>
              </w:rPr>
              <w:t>）、</w:t>
            </w:r>
            <w:r>
              <w:rPr>
                <w:rFonts w:hint="eastAsia"/>
                <w:bCs/>
                <w:color w:val="auto"/>
                <w:szCs w:val="21"/>
              </w:rPr>
              <w:t xml:space="preserve">山西省林业和草原局 山西省生态环境厅 </w:t>
            </w:r>
            <w:r>
              <w:rPr>
                <w:rFonts w:hint="eastAsia"/>
                <w:bCs/>
                <w:color w:val="auto"/>
                <w:szCs w:val="21"/>
                <w:lang w:eastAsia="zh-CN"/>
              </w:rPr>
              <w:t>《</w:t>
            </w:r>
            <w:r>
              <w:rPr>
                <w:rFonts w:hint="eastAsia"/>
                <w:bCs/>
                <w:color w:val="auto"/>
                <w:szCs w:val="21"/>
              </w:rPr>
              <w:t>关于落实沙区开发建设项目环境影响评价制度的通知》（晋林造发[2020]30号）</w:t>
            </w:r>
            <w:r>
              <w:rPr>
                <w:bCs/>
                <w:color w:val="auto"/>
                <w:szCs w:val="21"/>
              </w:rPr>
              <w:t>，大同市</w:t>
            </w:r>
            <w:r>
              <w:rPr>
                <w:rFonts w:hint="eastAsia"/>
                <w:bCs/>
                <w:color w:val="auto"/>
                <w:szCs w:val="21"/>
                <w:lang w:val="en-US" w:eastAsia="zh-CN"/>
              </w:rPr>
              <w:t>云州</w:t>
            </w:r>
            <w:r>
              <w:rPr>
                <w:bCs/>
                <w:color w:val="auto"/>
                <w:szCs w:val="21"/>
              </w:rPr>
              <w:t>区属于防沙治沙范围，根据相关规定，本次评价应对项目建设过程可能造成的土地沙化影响进行分析评价。</w:t>
            </w:r>
          </w:p>
          <w:p w14:paraId="334B08A8">
            <w:pPr>
              <w:spacing w:line="360" w:lineRule="auto"/>
              <w:ind w:firstLine="420" w:firstLineChars="200"/>
              <w:rPr>
                <w:bCs/>
                <w:color w:val="auto"/>
                <w:szCs w:val="21"/>
              </w:rPr>
            </w:pPr>
            <w:r>
              <w:rPr>
                <w:bCs/>
                <w:color w:val="auto"/>
                <w:szCs w:val="21"/>
              </w:rPr>
              <w:t>造成土地沙化的原因包括自然因素和人为因素，自然因素包括气候变化，降雨减少，气温升高等，人为因素主要包括开荒、乱挖乱采、过度放牧、水资源利用不合理等。</w:t>
            </w:r>
          </w:p>
          <w:p w14:paraId="69173D12">
            <w:pPr>
              <w:spacing w:line="360" w:lineRule="auto"/>
              <w:ind w:firstLine="420" w:firstLineChars="200"/>
              <w:rPr>
                <w:bCs/>
                <w:color w:val="auto"/>
                <w:szCs w:val="21"/>
              </w:rPr>
            </w:pPr>
            <w:r>
              <w:rPr>
                <w:bCs/>
                <w:color w:val="auto"/>
                <w:szCs w:val="21"/>
              </w:rPr>
              <w:t>评价主要从项目占地情况、对水资源尤其是地下水资源影响这几个方面进行分析。</w:t>
            </w:r>
          </w:p>
          <w:p w14:paraId="32B98EAA">
            <w:pPr>
              <w:spacing w:line="360" w:lineRule="auto"/>
              <w:ind w:firstLine="420" w:firstLineChars="200"/>
              <w:rPr>
                <w:bCs/>
                <w:color w:val="auto"/>
                <w:szCs w:val="21"/>
              </w:rPr>
            </w:pPr>
            <w:r>
              <w:rPr>
                <w:bCs/>
                <w:color w:val="auto"/>
                <w:szCs w:val="21"/>
              </w:rPr>
              <w:t>（1）占地性质及占地现状</w:t>
            </w:r>
          </w:p>
          <w:p w14:paraId="400F6FC3">
            <w:pPr>
              <w:spacing w:line="360" w:lineRule="auto"/>
              <w:ind w:firstLine="420" w:firstLineChars="200"/>
              <w:rPr>
                <w:bCs/>
                <w:color w:val="auto"/>
                <w:szCs w:val="21"/>
              </w:rPr>
            </w:pPr>
            <w:r>
              <w:rPr>
                <w:bCs/>
                <w:color w:val="auto"/>
                <w:szCs w:val="21"/>
              </w:rPr>
              <w:t>项目用地</w:t>
            </w:r>
            <w:r>
              <w:rPr>
                <w:rFonts w:hint="eastAsia"/>
                <w:bCs/>
                <w:color w:val="auto"/>
                <w:szCs w:val="21"/>
              </w:rPr>
              <w:t>为</w:t>
            </w:r>
            <w:r>
              <w:rPr>
                <w:rFonts w:hint="eastAsia"/>
                <w:color w:val="auto"/>
                <w:szCs w:val="21"/>
                <w:lang w:val="en-US" w:eastAsia="zh-CN"/>
              </w:rPr>
              <w:t>现代服务产业园区内土地</w:t>
            </w:r>
            <w:r>
              <w:rPr>
                <w:rFonts w:hint="eastAsia"/>
                <w:color w:val="auto"/>
                <w:szCs w:val="21"/>
              </w:rPr>
              <w:t>，占地性质为</w:t>
            </w:r>
            <w:r>
              <w:rPr>
                <w:rFonts w:hint="eastAsia"/>
                <w:color w:val="auto"/>
                <w:szCs w:val="21"/>
                <w:lang w:val="en-US" w:eastAsia="zh-CN"/>
              </w:rPr>
              <w:t>医疗卫生</w:t>
            </w:r>
            <w:r>
              <w:rPr>
                <w:rFonts w:hint="eastAsia"/>
                <w:color w:val="auto"/>
                <w:szCs w:val="21"/>
              </w:rPr>
              <w:t>用地，</w:t>
            </w:r>
            <w:r>
              <w:rPr>
                <w:color w:val="auto"/>
                <w:szCs w:val="21"/>
              </w:rPr>
              <w:t>项目不新增占地</w:t>
            </w:r>
            <w:r>
              <w:rPr>
                <w:bCs/>
                <w:color w:val="auto"/>
                <w:szCs w:val="21"/>
              </w:rPr>
              <w:t>，项目建设不改变原有土地性质。</w:t>
            </w:r>
          </w:p>
          <w:p w14:paraId="65714371">
            <w:pPr>
              <w:spacing w:line="360" w:lineRule="auto"/>
              <w:ind w:firstLine="420" w:firstLineChars="200"/>
              <w:rPr>
                <w:bCs/>
                <w:color w:val="auto"/>
                <w:szCs w:val="21"/>
              </w:rPr>
            </w:pPr>
            <w:r>
              <w:rPr>
                <w:rFonts w:hint="eastAsia"/>
                <w:bCs/>
                <w:color w:val="auto"/>
                <w:szCs w:val="21"/>
                <w:lang w:val="en-US" w:eastAsia="zh-CN"/>
              </w:rPr>
              <w:t>项目</w:t>
            </w:r>
            <w:r>
              <w:rPr>
                <w:rFonts w:hint="eastAsia"/>
                <w:bCs/>
                <w:color w:val="auto"/>
                <w:szCs w:val="21"/>
              </w:rPr>
              <w:t>占地周围道路及地面</w:t>
            </w:r>
            <w:r>
              <w:rPr>
                <w:rFonts w:hint="eastAsia"/>
                <w:bCs/>
                <w:color w:val="auto"/>
                <w:szCs w:val="21"/>
                <w:lang w:val="en-US" w:eastAsia="zh-CN"/>
              </w:rPr>
              <w:t>已</w:t>
            </w:r>
            <w:r>
              <w:rPr>
                <w:rFonts w:hint="eastAsia"/>
                <w:bCs/>
                <w:color w:val="auto"/>
                <w:szCs w:val="21"/>
              </w:rPr>
              <w:t>全部硬化，</w:t>
            </w:r>
            <w:r>
              <w:rPr>
                <w:rFonts w:hint="eastAsia"/>
                <w:bCs/>
                <w:color w:val="auto"/>
                <w:szCs w:val="21"/>
                <w:lang w:val="en-US" w:eastAsia="zh-CN"/>
              </w:rPr>
              <w:t>施工材料运输等不易起尘；本工程无构筑物基础施工，施工期仅为设备安装，施工扬尘产生量较小</w:t>
            </w:r>
            <w:r>
              <w:rPr>
                <w:rFonts w:hint="eastAsia"/>
                <w:bCs/>
                <w:color w:val="auto"/>
                <w:szCs w:val="21"/>
              </w:rPr>
              <w:t>。</w:t>
            </w:r>
          </w:p>
          <w:p w14:paraId="40270366">
            <w:pPr>
              <w:spacing w:line="360" w:lineRule="auto"/>
              <w:ind w:firstLine="420" w:firstLineChars="200"/>
              <w:rPr>
                <w:bCs/>
                <w:color w:val="auto"/>
                <w:szCs w:val="21"/>
              </w:rPr>
            </w:pPr>
            <w:r>
              <w:rPr>
                <w:bCs/>
                <w:color w:val="auto"/>
                <w:szCs w:val="21"/>
              </w:rPr>
              <w:t>（2）对水资源的影响</w:t>
            </w:r>
          </w:p>
          <w:p w14:paraId="64358C3A">
            <w:pPr>
              <w:spacing w:line="360" w:lineRule="auto"/>
              <w:ind w:firstLine="420" w:firstLineChars="200"/>
              <w:rPr>
                <w:bCs/>
                <w:color w:val="auto"/>
                <w:szCs w:val="21"/>
              </w:rPr>
            </w:pPr>
            <w:r>
              <w:rPr>
                <w:bCs/>
                <w:color w:val="auto"/>
                <w:szCs w:val="21"/>
              </w:rPr>
              <w:t>根据工程分析，项目营运期水源为</w:t>
            </w:r>
            <w:r>
              <w:rPr>
                <w:rFonts w:hint="eastAsia"/>
                <w:bCs/>
                <w:color w:val="auto"/>
                <w:szCs w:val="21"/>
                <w:lang w:val="en-US" w:eastAsia="zh-CN"/>
              </w:rPr>
              <w:t>园区自来水</w:t>
            </w:r>
            <w:r>
              <w:rPr>
                <w:bCs/>
                <w:color w:val="auto"/>
                <w:szCs w:val="21"/>
              </w:rPr>
              <w:t>供水管道</w:t>
            </w:r>
            <w:r>
              <w:rPr>
                <w:rFonts w:hint="eastAsia"/>
                <w:bCs/>
                <w:color w:val="auto"/>
                <w:szCs w:val="21"/>
              </w:rPr>
              <w:t>。</w:t>
            </w:r>
          </w:p>
          <w:p w14:paraId="54B67B6D">
            <w:pPr>
              <w:spacing w:line="360" w:lineRule="auto"/>
              <w:ind w:firstLine="420" w:firstLineChars="200"/>
              <w:rPr>
                <w:bCs/>
                <w:color w:val="auto"/>
                <w:szCs w:val="21"/>
              </w:rPr>
            </w:pPr>
            <w:r>
              <w:rPr>
                <w:bCs/>
                <w:color w:val="auto"/>
                <w:szCs w:val="21"/>
              </w:rPr>
              <w:t>本项目建成后运营期生产用水主要为职工生活用水等，用水量较小，不会对地下水水位造成明显影响，不属于占用水资源多的项目。</w:t>
            </w:r>
          </w:p>
          <w:p w14:paraId="2053F169">
            <w:pPr>
              <w:autoSpaceDE w:val="0"/>
              <w:autoSpaceDN w:val="0"/>
              <w:adjustRightInd w:val="0"/>
              <w:spacing w:line="360" w:lineRule="auto"/>
              <w:ind w:firstLine="420" w:firstLineChars="200"/>
              <w:jc w:val="left"/>
              <w:rPr>
                <w:bCs/>
                <w:color w:val="auto"/>
                <w:szCs w:val="21"/>
              </w:rPr>
            </w:pPr>
            <w:r>
              <w:rPr>
                <w:rFonts w:hint="eastAsia"/>
                <w:bCs/>
                <w:color w:val="auto"/>
                <w:szCs w:val="21"/>
              </w:rPr>
              <w:t>根据相关规定，本次评价提出以下防治措施：</w:t>
            </w:r>
          </w:p>
          <w:p w14:paraId="081B16DD">
            <w:pPr>
              <w:spacing w:line="360" w:lineRule="auto"/>
              <w:ind w:firstLine="420" w:firstLineChars="200"/>
              <w:rPr>
                <w:rFonts w:hint="default" w:eastAsia="宋体"/>
                <w:bCs/>
                <w:color w:val="auto"/>
                <w:szCs w:val="21"/>
                <w:highlight w:val="none"/>
                <w:lang w:val="en-US" w:eastAsia="zh-CN"/>
              </w:rPr>
            </w:pPr>
            <w:r>
              <w:rPr>
                <w:rFonts w:hint="eastAsia"/>
                <w:bCs/>
                <w:color w:val="auto"/>
                <w:szCs w:val="21"/>
              </w:rPr>
              <w:t>（1）严格控制占地范围，不得占用项目占地外其他土地；加强施工期管理，减少水土流失影响；</w:t>
            </w:r>
            <w:r>
              <w:rPr>
                <w:rFonts w:hint="eastAsia"/>
                <w:bCs/>
                <w:color w:val="auto"/>
                <w:szCs w:val="21"/>
                <w:highlight w:val="none"/>
                <w:lang w:val="en-US" w:eastAsia="zh-CN"/>
              </w:rPr>
              <w:t>加强院区地面硬化程度等；</w:t>
            </w:r>
          </w:p>
          <w:p w14:paraId="407D9B9F">
            <w:pPr>
              <w:spacing w:line="360" w:lineRule="auto"/>
              <w:ind w:firstLine="420" w:firstLineChars="200"/>
              <w:rPr>
                <w:bCs/>
                <w:color w:val="auto"/>
                <w:szCs w:val="21"/>
                <w:highlight w:val="none"/>
              </w:rPr>
            </w:pPr>
            <w:r>
              <w:rPr>
                <w:rFonts w:hint="eastAsia"/>
                <w:bCs/>
                <w:color w:val="auto"/>
                <w:szCs w:val="21"/>
                <w:highlight w:val="none"/>
              </w:rPr>
              <w:t>（2）提高</w:t>
            </w:r>
            <w:r>
              <w:rPr>
                <w:rFonts w:hint="eastAsia"/>
                <w:bCs/>
                <w:color w:val="auto"/>
                <w:szCs w:val="21"/>
                <w:highlight w:val="none"/>
                <w:lang w:val="en-US" w:eastAsia="zh-CN"/>
              </w:rPr>
              <w:t>场</w:t>
            </w:r>
            <w:r>
              <w:rPr>
                <w:rFonts w:hint="eastAsia"/>
                <w:bCs/>
                <w:color w:val="auto"/>
                <w:szCs w:val="21"/>
                <w:highlight w:val="none"/>
              </w:rPr>
              <w:t>地内的植被覆盖率</w:t>
            </w:r>
            <w:r>
              <w:rPr>
                <w:rFonts w:hint="eastAsia"/>
                <w:bCs/>
                <w:color w:val="auto"/>
                <w:szCs w:val="21"/>
                <w:highlight w:val="none"/>
                <w:lang w:val="en-US" w:eastAsia="zh-CN"/>
              </w:rPr>
              <w:t>等，加强院区绿化</w:t>
            </w:r>
            <w:r>
              <w:rPr>
                <w:rFonts w:hint="eastAsia"/>
                <w:bCs/>
                <w:color w:val="auto"/>
                <w:szCs w:val="21"/>
                <w:highlight w:val="none"/>
              </w:rPr>
              <w:t>，绿化对风沙的侵袭有很好的阻挡作用，能削弱风沙速度；</w:t>
            </w:r>
          </w:p>
          <w:p w14:paraId="3FB61DE7">
            <w:pPr>
              <w:spacing w:line="360" w:lineRule="auto"/>
              <w:ind w:firstLine="420" w:firstLineChars="200"/>
              <w:rPr>
                <w:bCs/>
                <w:color w:val="auto"/>
                <w:szCs w:val="21"/>
              </w:rPr>
            </w:pPr>
            <w:r>
              <w:rPr>
                <w:rFonts w:hint="eastAsia"/>
                <w:bCs/>
                <w:color w:val="auto"/>
                <w:szCs w:val="21"/>
              </w:rPr>
              <w:t>（3）加强水资源管理，在降雨多的季节做好积蓄保水工作，以充分合理地利用水资源。</w:t>
            </w:r>
          </w:p>
          <w:p w14:paraId="6CB53DF1">
            <w:pPr>
              <w:widowControl/>
              <w:snapToGrid w:val="0"/>
              <w:spacing w:line="360" w:lineRule="auto"/>
              <w:ind w:firstLine="420" w:firstLineChars="200"/>
              <w:rPr>
                <w:bCs/>
                <w:color w:val="auto"/>
                <w:szCs w:val="21"/>
              </w:rPr>
            </w:pPr>
            <w:r>
              <w:rPr>
                <w:bCs/>
                <w:color w:val="auto"/>
                <w:szCs w:val="21"/>
              </w:rPr>
              <w:t>由此，评价认为项目实施不会对区域土地沙化情况造成影响。</w:t>
            </w:r>
          </w:p>
          <w:p w14:paraId="497C449C">
            <w:pPr>
              <w:spacing w:line="360" w:lineRule="auto"/>
              <w:ind w:firstLine="422" w:firstLineChars="200"/>
              <w:rPr>
                <w:rFonts w:hint="eastAsia"/>
                <w:b/>
                <w:bCs/>
                <w:color w:val="auto"/>
                <w:szCs w:val="21"/>
                <w:lang w:val="en-US" w:eastAsia="zh-CN"/>
              </w:rPr>
            </w:pPr>
            <w:r>
              <w:rPr>
                <w:rFonts w:hint="eastAsia"/>
                <w:b/>
                <w:bCs/>
                <w:color w:val="auto"/>
                <w:szCs w:val="21"/>
                <w:lang w:val="en-US" w:eastAsia="zh-CN"/>
              </w:rPr>
              <w:t>4.8监测计划</w:t>
            </w:r>
          </w:p>
          <w:p w14:paraId="7148329E">
            <w:pPr>
              <w:widowControl/>
              <w:snapToGrid w:val="0"/>
              <w:spacing w:line="360" w:lineRule="auto"/>
              <w:ind w:firstLine="420" w:firstLineChars="200"/>
              <w:rPr>
                <w:bCs/>
                <w:color w:val="auto"/>
                <w:szCs w:val="21"/>
              </w:rPr>
            </w:pPr>
            <w:r>
              <w:rPr>
                <w:rFonts w:hint="eastAsia"/>
                <w:bCs/>
                <w:color w:val="auto"/>
                <w:szCs w:val="21"/>
                <w:lang w:val="en-US" w:eastAsia="zh-CN"/>
              </w:rPr>
              <w:t xml:space="preserve">本项目运营期废气监控参照《排污许可证申请与核发技术规范 医疗机构》 </w:t>
            </w:r>
            <w:r>
              <w:rPr>
                <w:rFonts w:hint="default"/>
                <w:bCs/>
                <w:color w:val="auto"/>
                <w:szCs w:val="21"/>
                <w:lang w:val="en-US" w:eastAsia="zh-CN"/>
              </w:rPr>
              <w:t>(HJ1105-2020)</w:t>
            </w:r>
            <w:r>
              <w:rPr>
                <w:rFonts w:hint="eastAsia"/>
                <w:bCs/>
                <w:color w:val="auto"/>
                <w:szCs w:val="21"/>
                <w:lang w:val="en-US" w:eastAsia="zh-CN"/>
              </w:rPr>
              <w:t>规定制订监测计划，企业</w:t>
            </w:r>
            <w:r>
              <w:rPr>
                <w:rFonts w:hint="eastAsia"/>
                <w:bCs/>
                <w:color w:val="auto"/>
                <w:szCs w:val="21"/>
              </w:rPr>
              <w:t>需委托有资质单位进行监测。</w:t>
            </w:r>
          </w:p>
          <w:p w14:paraId="34F722D4">
            <w:pPr>
              <w:pStyle w:val="153"/>
              <w:spacing w:before="0" w:after="0" w:line="240" w:lineRule="auto"/>
              <w:rPr>
                <w:color w:val="auto"/>
                <w:sz w:val="18"/>
                <w:szCs w:val="18"/>
              </w:rPr>
            </w:pPr>
            <w:r>
              <w:rPr>
                <w:color w:val="auto"/>
                <w:sz w:val="18"/>
                <w:szCs w:val="18"/>
              </w:rPr>
              <w:t>表4-</w:t>
            </w:r>
            <w:r>
              <w:rPr>
                <w:rFonts w:hint="eastAsia"/>
                <w:color w:val="auto"/>
                <w:sz w:val="18"/>
                <w:szCs w:val="18"/>
                <w:lang w:val="en-US" w:eastAsia="zh-CN"/>
              </w:rPr>
              <w:t>13</w:t>
            </w:r>
            <w:r>
              <w:rPr>
                <w:color w:val="auto"/>
                <w:sz w:val="18"/>
                <w:szCs w:val="18"/>
              </w:rPr>
              <w:t xml:space="preserve">  </w:t>
            </w:r>
            <w:r>
              <w:rPr>
                <w:rFonts w:hint="eastAsia"/>
                <w:color w:val="auto"/>
                <w:sz w:val="18"/>
                <w:szCs w:val="18"/>
              </w:rPr>
              <w:t xml:space="preserve">  </w:t>
            </w:r>
            <w:r>
              <w:rPr>
                <w:color w:val="auto"/>
                <w:sz w:val="18"/>
                <w:szCs w:val="18"/>
              </w:rPr>
              <w:t>项目运营期污染源监测计划</w:t>
            </w:r>
          </w:p>
          <w:tbl>
            <w:tblPr>
              <w:tblStyle w:val="47"/>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482"/>
              <w:gridCol w:w="573"/>
              <w:gridCol w:w="786"/>
              <w:gridCol w:w="1015"/>
              <w:gridCol w:w="3176"/>
              <w:gridCol w:w="1991"/>
            </w:tblGrid>
            <w:tr w14:paraId="37C09B7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blHeader/>
                <w:jc w:val="center"/>
              </w:trPr>
              <w:tc>
                <w:tcPr>
                  <w:tcW w:w="658" w:type="pct"/>
                  <w:gridSpan w:val="2"/>
                  <w:vAlign w:val="center"/>
                </w:tcPr>
                <w:p w14:paraId="4E4A3E8C">
                  <w:pPr>
                    <w:snapToGrid w:val="0"/>
                    <w:jc w:val="center"/>
                    <w:rPr>
                      <w:color w:val="auto"/>
                      <w:sz w:val="18"/>
                      <w:szCs w:val="18"/>
                    </w:rPr>
                  </w:pPr>
                  <w:r>
                    <w:rPr>
                      <w:color w:val="auto"/>
                      <w:sz w:val="18"/>
                      <w:szCs w:val="18"/>
                    </w:rPr>
                    <w:t>类别</w:t>
                  </w:r>
                </w:p>
              </w:tc>
              <w:tc>
                <w:tcPr>
                  <w:tcW w:w="489" w:type="pct"/>
                  <w:vAlign w:val="center"/>
                </w:tcPr>
                <w:p w14:paraId="258D8685">
                  <w:pPr>
                    <w:snapToGrid w:val="0"/>
                    <w:jc w:val="center"/>
                    <w:rPr>
                      <w:color w:val="auto"/>
                      <w:sz w:val="18"/>
                      <w:szCs w:val="18"/>
                    </w:rPr>
                  </w:pPr>
                  <w:r>
                    <w:rPr>
                      <w:color w:val="auto"/>
                      <w:sz w:val="18"/>
                      <w:szCs w:val="18"/>
                    </w:rPr>
                    <w:t>编号</w:t>
                  </w:r>
                </w:p>
              </w:tc>
              <w:tc>
                <w:tcPr>
                  <w:tcW w:w="632" w:type="pct"/>
                  <w:vAlign w:val="center"/>
                </w:tcPr>
                <w:p w14:paraId="4F1E6D52">
                  <w:pPr>
                    <w:snapToGrid w:val="0"/>
                    <w:jc w:val="center"/>
                    <w:rPr>
                      <w:color w:val="auto"/>
                      <w:sz w:val="18"/>
                      <w:szCs w:val="18"/>
                    </w:rPr>
                  </w:pPr>
                  <w:r>
                    <w:rPr>
                      <w:color w:val="auto"/>
                      <w:sz w:val="18"/>
                      <w:szCs w:val="18"/>
                    </w:rPr>
                    <w:t>监测点位</w:t>
                  </w:r>
                </w:p>
              </w:tc>
              <w:tc>
                <w:tcPr>
                  <w:tcW w:w="1978" w:type="pct"/>
                  <w:vAlign w:val="center"/>
                </w:tcPr>
                <w:p w14:paraId="57BAE5A1">
                  <w:pPr>
                    <w:snapToGrid w:val="0"/>
                    <w:jc w:val="center"/>
                    <w:rPr>
                      <w:color w:val="auto"/>
                      <w:sz w:val="18"/>
                      <w:szCs w:val="18"/>
                    </w:rPr>
                  </w:pPr>
                  <w:r>
                    <w:rPr>
                      <w:color w:val="auto"/>
                      <w:sz w:val="18"/>
                      <w:szCs w:val="18"/>
                    </w:rPr>
                    <w:t>监测指标</w:t>
                  </w:r>
                </w:p>
              </w:tc>
              <w:tc>
                <w:tcPr>
                  <w:tcW w:w="1240" w:type="pct"/>
                  <w:vAlign w:val="center"/>
                </w:tcPr>
                <w:p w14:paraId="1F43A120">
                  <w:pPr>
                    <w:snapToGrid w:val="0"/>
                    <w:jc w:val="center"/>
                    <w:rPr>
                      <w:color w:val="auto"/>
                      <w:sz w:val="18"/>
                      <w:szCs w:val="18"/>
                    </w:rPr>
                  </w:pPr>
                  <w:r>
                    <w:rPr>
                      <w:color w:val="auto"/>
                      <w:sz w:val="18"/>
                      <w:szCs w:val="18"/>
                    </w:rPr>
                    <w:t>监测频率</w:t>
                  </w:r>
                </w:p>
              </w:tc>
            </w:tr>
            <w:tr w14:paraId="119B9DF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91" w:hRule="atLeast"/>
                <w:tblHeader/>
                <w:jc w:val="center"/>
              </w:trPr>
              <w:tc>
                <w:tcPr>
                  <w:tcW w:w="301" w:type="pct"/>
                  <w:vAlign w:val="center"/>
                </w:tcPr>
                <w:p w14:paraId="1BDA06B6">
                  <w:pPr>
                    <w:snapToGrid w:val="0"/>
                    <w:jc w:val="center"/>
                    <w:rPr>
                      <w:color w:val="auto"/>
                      <w:sz w:val="18"/>
                      <w:szCs w:val="18"/>
                    </w:rPr>
                  </w:pPr>
                  <w:r>
                    <w:rPr>
                      <w:rFonts w:hint="eastAsia"/>
                      <w:color w:val="auto"/>
                      <w:sz w:val="18"/>
                      <w:szCs w:val="18"/>
                      <w:lang w:val="en-US" w:eastAsia="zh-CN"/>
                    </w:rPr>
                    <w:t>废</w:t>
                  </w:r>
                  <w:r>
                    <w:rPr>
                      <w:color w:val="auto"/>
                      <w:sz w:val="18"/>
                      <w:szCs w:val="18"/>
                    </w:rPr>
                    <w:t>气</w:t>
                  </w:r>
                </w:p>
              </w:tc>
              <w:tc>
                <w:tcPr>
                  <w:tcW w:w="357" w:type="pct"/>
                  <w:vAlign w:val="center"/>
                </w:tcPr>
                <w:p w14:paraId="112A1316">
                  <w:pPr>
                    <w:snapToGrid w:val="0"/>
                    <w:jc w:val="center"/>
                    <w:rPr>
                      <w:color w:val="auto"/>
                      <w:sz w:val="18"/>
                      <w:szCs w:val="18"/>
                    </w:rPr>
                  </w:pPr>
                  <w:r>
                    <w:rPr>
                      <w:color w:val="auto"/>
                      <w:sz w:val="18"/>
                      <w:szCs w:val="18"/>
                    </w:rPr>
                    <w:t>无组织</w:t>
                  </w:r>
                </w:p>
              </w:tc>
              <w:tc>
                <w:tcPr>
                  <w:tcW w:w="489" w:type="pct"/>
                  <w:tcBorders>
                    <w:bottom w:val="single" w:color="auto" w:sz="4" w:space="0"/>
                  </w:tcBorders>
                  <w:vAlign w:val="center"/>
                </w:tcPr>
                <w:p w14:paraId="011E3335">
                  <w:pPr>
                    <w:snapToGrid w:val="0"/>
                    <w:jc w:val="center"/>
                    <w:rPr>
                      <w:rFonts w:hint="eastAsia" w:eastAsia="宋体"/>
                      <w:color w:val="auto"/>
                      <w:sz w:val="18"/>
                      <w:szCs w:val="18"/>
                      <w:lang w:val="en-US" w:eastAsia="zh-CN"/>
                    </w:rPr>
                  </w:pPr>
                  <w:r>
                    <w:rPr>
                      <w:rFonts w:hint="eastAsia"/>
                      <w:color w:val="auto"/>
                      <w:sz w:val="18"/>
                      <w:szCs w:val="18"/>
                      <w:lang w:val="en-US" w:eastAsia="zh-CN"/>
                    </w:rPr>
                    <w:t>-</w:t>
                  </w:r>
                </w:p>
              </w:tc>
              <w:tc>
                <w:tcPr>
                  <w:tcW w:w="632" w:type="pct"/>
                  <w:tcBorders>
                    <w:bottom w:val="single" w:color="auto" w:sz="4" w:space="0"/>
                  </w:tcBorders>
                  <w:vAlign w:val="center"/>
                </w:tcPr>
                <w:p w14:paraId="1B49CD54">
                  <w:pPr>
                    <w:snapToGrid w:val="0"/>
                    <w:jc w:val="center"/>
                    <w:rPr>
                      <w:rFonts w:hint="default" w:eastAsia="宋体"/>
                      <w:color w:val="auto"/>
                      <w:sz w:val="18"/>
                      <w:szCs w:val="18"/>
                      <w:lang w:val="en-US" w:eastAsia="zh-CN"/>
                    </w:rPr>
                  </w:pPr>
                  <w:r>
                    <w:rPr>
                      <w:rFonts w:hint="eastAsia"/>
                      <w:color w:val="auto"/>
                      <w:sz w:val="18"/>
                      <w:szCs w:val="18"/>
                      <w:lang w:val="en-US" w:eastAsia="zh-CN"/>
                    </w:rPr>
                    <w:t>污水处理站下风向</w:t>
                  </w:r>
                </w:p>
              </w:tc>
              <w:tc>
                <w:tcPr>
                  <w:tcW w:w="1978" w:type="pct"/>
                  <w:tcBorders>
                    <w:bottom w:val="single" w:color="auto" w:sz="4" w:space="0"/>
                  </w:tcBorders>
                  <w:vAlign w:val="center"/>
                </w:tcPr>
                <w:p w14:paraId="39259A42">
                  <w:pPr>
                    <w:jc w:val="center"/>
                    <w:rPr>
                      <w:rFonts w:hint="default"/>
                      <w:bCs/>
                      <w:color w:val="auto"/>
                      <w:sz w:val="18"/>
                      <w:szCs w:val="18"/>
                      <w:lang w:val="en-US" w:eastAsia="zh-CN"/>
                    </w:rPr>
                  </w:pPr>
                  <w:r>
                    <w:rPr>
                      <w:rFonts w:hint="eastAsia"/>
                      <w:bCs/>
                      <w:color w:val="auto"/>
                      <w:sz w:val="18"/>
                      <w:szCs w:val="18"/>
                      <w:lang w:val="en-US" w:eastAsia="zh-CN"/>
                    </w:rPr>
                    <w:t>氨、硫化氢、臭气浓度、甲烷、氯气</w:t>
                  </w:r>
                </w:p>
              </w:tc>
              <w:tc>
                <w:tcPr>
                  <w:tcW w:w="1240" w:type="pct"/>
                  <w:tcBorders>
                    <w:bottom w:val="single" w:color="auto" w:sz="4" w:space="0"/>
                  </w:tcBorders>
                  <w:vAlign w:val="center"/>
                </w:tcPr>
                <w:p w14:paraId="284AFDD7">
                  <w:pPr>
                    <w:snapToGrid w:val="0"/>
                    <w:jc w:val="center"/>
                    <w:rPr>
                      <w:rFonts w:hint="default" w:eastAsia="宋体"/>
                      <w:color w:val="auto"/>
                      <w:sz w:val="18"/>
                      <w:szCs w:val="18"/>
                      <w:lang w:val="en-US" w:eastAsia="zh-CN"/>
                    </w:rPr>
                  </w:pPr>
                  <w:r>
                    <w:rPr>
                      <w:rFonts w:hint="eastAsia"/>
                      <w:color w:val="auto"/>
                      <w:sz w:val="18"/>
                      <w:szCs w:val="18"/>
                      <w:lang w:val="en-US" w:eastAsia="zh-CN"/>
                    </w:rPr>
                    <w:t>每季度1次</w:t>
                  </w:r>
                </w:p>
              </w:tc>
            </w:tr>
            <w:tr w14:paraId="70E4E56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91" w:hRule="atLeast"/>
                <w:tblHeader/>
                <w:jc w:val="center"/>
              </w:trPr>
              <w:tc>
                <w:tcPr>
                  <w:tcW w:w="658" w:type="pct"/>
                  <w:gridSpan w:val="2"/>
                  <w:vMerge w:val="restart"/>
                  <w:vAlign w:val="center"/>
                </w:tcPr>
                <w:p w14:paraId="7E6EE1BE">
                  <w:pPr>
                    <w:snapToGrid w:val="0"/>
                    <w:jc w:val="center"/>
                    <w:rPr>
                      <w:color w:val="auto"/>
                      <w:sz w:val="18"/>
                      <w:szCs w:val="18"/>
                    </w:rPr>
                  </w:pPr>
                  <w:r>
                    <w:rPr>
                      <w:rFonts w:hint="eastAsia"/>
                      <w:color w:val="auto"/>
                      <w:sz w:val="18"/>
                      <w:szCs w:val="18"/>
                      <w:lang w:val="en-US" w:eastAsia="zh-CN"/>
                    </w:rPr>
                    <w:t>废水</w:t>
                  </w:r>
                </w:p>
              </w:tc>
              <w:tc>
                <w:tcPr>
                  <w:tcW w:w="489" w:type="pct"/>
                  <w:vMerge w:val="restart"/>
                  <w:vAlign w:val="center"/>
                </w:tcPr>
                <w:p w14:paraId="2A9153A5">
                  <w:pPr>
                    <w:snapToGrid w:val="0"/>
                    <w:jc w:val="center"/>
                    <w:rPr>
                      <w:rFonts w:hint="default"/>
                      <w:color w:val="auto"/>
                      <w:sz w:val="18"/>
                      <w:szCs w:val="18"/>
                      <w:lang w:val="en-US" w:eastAsia="zh-CN"/>
                    </w:rPr>
                  </w:pPr>
                  <w:r>
                    <w:rPr>
                      <w:rFonts w:hint="eastAsia"/>
                      <w:color w:val="auto"/>
                      <w:sz w:val="18"/>
                      <w:szCs w:val="18"/>
                      <w:lang w:val="en-US" w:eastAsia="zh-CN"/>
                    </w:rPr>
                    <w:t>DW001</w:t>
                  </w:r>
                </w:p>
              </w:tc>
              <w:tc>
                <w:tcPr>
                  <w:tcW w:w="632" w:type="pct"/>
                  <w:vMerge w:val="restart"/>
                  <w:vAlign w:val="center"/>
                </w:tcPr>
                <w:p w14:paraId="6DF3FCE4">
                  <w:pPr>
                    <w:snapToGrid w:val="0"/>
                    <w:jc w:val="center"/>
                    <w:rPr>
                      <w:rFonts w:hint="default"/>
                      <w:color w:val="auto"/>
                      <w:sz w:val="18"/>
                      <w:szCs w:val="18"/>
                      <w:lang w:val="en-US" w:eastAsia="zh-CN"/>
                    </w:rPr>
                  </w:pPr>
                  <w:r>
                    <w:rPr>
                      <w:rFonts w:hint="eastAsia"/>
                      <w:color w:val="auto"/>
                      <w:sz w:val="18"/>
                      <w:szCs w:val="18"/>
                      <w:lang w:val="en-US" w:eastAsia="zh-CN"/>
                    </w:rPr>
                    <w:t>污水处理站出水口</w:t>
                  </w:r>
                </w:p>
              </w:tc>
              <w:tc>
                <w:tcPr>
                  <w:tcW w:w="1978" w:type="pct"/>
                  <w:tcBorders>
                    <w:bottom w:val="single" w:color="auto" w:sz="4" w:space="0"/>
                  </w:tcBorders>
                  <w:vAlign w:val="center"/>
                </w:tcPr>
                <w:p w14:paraId="14C3F116">
                  <w:pPr>
                    <w:jc w:val="center"/>
                    <w:rPr>
                      <w:rFonts w:hint="default"/>
                      <w:bCs/>
                      <w:color w:val="auto"/>
                      <w:sz w:val="18"/>
                      <w:szCs w:val="18"/>
                      <w:lang w:val="en-US" w:eastAsia="zh-CN"/>
                    </w:rPr>
                  </w:pPr>
                  <w:r>
                    <w:rPr>
                      <w:rFonts w:hint="eastAsia"/>
                      <w:bCs/>
                      <w:color w:val="auto"/>
                      <w:sz w:val="18"/>
                      <w:szCs w:val="18"/>
                      <w:lang w:val="en-US" w:eastAsia="zh-CN"/>
                    </w:rPr>
                    <w:t>流量</w:t>
                  </w:r>
                </w:p>
              </w:tc>
              <w:tc>
                <w:tcPr>
                  <w:tcW w:w="1240" w:type="pct"/>
                  <w:tcBorders>
                    <w:bottom w:val="single" w:color="auto" w:sz="4" w:space="0"/>
                  </w:tcBorders>
                  <w:vAlign w:val="center"/>
                </w:tcPr>
                <w:p w14:paraId="2DAF3821">
                  <w:pPr>
                    <w:snapToGrid w:val="0"/>
                    <w:jc w:val="center"/>
                    <w:rPr>
                      <w:rFonts w:hint="default"/>
                      <w:color w:val="auto"/>
                      <w:sz w:val="18"/>
                      <w:szCs w:val="18"/>
                      <w:lang w:val="en-US" w:eastAsia="zh-CN"/>
                    </w:rPr>
                  </w:pPr>
                  <w:r>
                    <w:rPr>
                      <w:rFonts w:hint="eastAsia"/>
                      <w:color w:val="auto"/>
                      <w:sz w:val="18"/>
                      <w:szCs w:val="18"/>
                      <w:lang w:val="en-US" w:eastAsia="zh-CN"/>
                    </w:rPr>
                    <w:t>自动监测</w:t>
                  </w:r>
                </w:p>
              </w:tc>
            </w:tr>
            <w:tr w14:paraId="0223B91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91" w:hRule="atLeast"/>
                <w:tblHeader/>
                <w:jc w:val="center"/>
              </w:trPr>
              <w:tc>
                <w:tcPr>
                  <w:tcW w:w="658" w:type="pct"/>
                  <w:gridSpan w:val="2"/>
                  <w:vMerge w:val="continue"/>
                  <w:vAlign w:val="center"/>
                </w:tcPr>
                <w:p w14:paraId="0470A0CA">
                  <w:pPr>
                    <w:snapToGrid w:val="0"/>
                    <w:jc w:val="center"/>
                    <w:rPr>
                      <w:rFonts w:hint="eastAsia"/>
                      <w:color w:val="auto"/>
                      <w:sz w:val="18"/>
                      <w:szCs w:val="18"/>
                      <w:lang w:val="en-US" w:eastAsia="zh-CN"/>
                    </w:rPr>
                  </w:pPr>
                </w:p>
              </w:tc>
              <w:tc>
                <w:tcPr>
                  <w:tcW w:w="489" w:type="pct"/>
                  <w:vMerge w:val="continue"/>
                  <w:vAlign w:val="center"/>
                </w:tcPr>
                <w:p w14:paraId="200174B3">
                  <w:pPr>
                    <w:snapToGrid w:val="0"/>
                    <w:jc w:val="center"/>
                    <w:rPr>
                      <w:rFonts w:hint="eastAsia"/>
                      <w:color w:val="auto"/>
                      <w:sz w:val="18"/>
                      <w:szCs w:val="18"/>
                      <w:lang w:val="en-US" w:eastAsia="zh-CN"/>
                    </w:rPr>
                  </w:pPr>
                </w:p>
              </w:tc>
              <w:tc>
                <w:tcPr>
                  <w:tcW w:w="632" w:type="pct"/>
                  <w:vMerge w:val="continue"/>
                  <w:vAlign w:val="center"/>
                </w:tcPr>
                <w:p w14:paraId="0C9D5D52">
                  <w:pPr>
                    <w:snapToGrid w:val="0"/>
                    <w:jc w:val="center"/>
                    <w:rPr>
                      <w:rFonts w:hint="eastAsia"/>
                      <w:color w:val="auto"/>
                      <w:sz w:val="18"/>
                      <w:szCs w:val="18"/>
                      <w:lang w:val="en-US" w:eastAsia="zh-CN"/>
                    </w:rPr>
                  </w:pPr>
                </w:p>
              </w:tc>
              <w:tc>
                <w:tcPr>
                  <w:tcW w:w="1978" w:type="pct"/>
                  <w:tcBorders>
                    <w:bottom w:val="single" w:color="auto" w:sz="4" w:space="0"/>
                  </w:tcBorders>
                  <w:vAlign w:val="center"/>
                </w:tcPr>
                <w:p w14:paraId="77206C10">
                  <w:pPr>
                    <w:jc w:val="center"/>
                    <w:rPr>
                      <w:rFonts w:hint="default"/>
                      <w:bCs/>
                      <w:color w:val="auto"/>
                      <w:sz w:val="18"/>
                      <w:szCs w:val="18"/>
                      <w:lang w:val="en-US" w:eastAsia="zh-CN"/>
                    </w:rPr>
                  </w:pPr>
                  <w:r>
                    <w:rPr>
                      <w:rFonts w:hint="eastAsia"/>
                      <w:bCs/>
                      <w:color w:val="auto"/>
                      <w:sz w:val="18"/>
                      <w:szCs w:val="18"/>
                      <w:lang w:val="en-US" w:eastAsia="zh-CN"/>
                    </w:rPr>
                    <w:t>pH</w:t>
                  </w:r>
                </w:p>
              </w:tc>
              <w:tc>
                <w:tcPr>
                  <w:tcW w:w="1240" w:type="pct"/>
                  <w:tcBorders>
                    <w:bottom w:val="single" w:color="auto" w:sz="4" w:space="0"/>
                  </w:tcBorders>
                  <w:vAlign w:val="center"/>
                </w:tcPr>
                <w:p w14:paraId="0E0C4DC4">
                  <w:pPr>
                    <w:snapToGrid w:val="0"/>
                    <w:jc w:val="center"/>
                    <w:rPr>
                      <w:rFonts w:hint="default"/>
                      <w:color w:val="auto"/>
                      <w:sz w:val="18"/>
                      <w:szCs w:val="18"/>
                      <w:lang w:val="en-US" w:eastAsia="zh-CN"/>
                    </w:rPr>
                  </w:pPr>
                  <w:r>
                    <w:rPr>
                      <w:rFonts w:hint="eastAsia"/>
                      <w:color w:val="auto"/>
                      <w:sz w:val="18"/>
                      <w:szCs w:val="18"/>
                      <w:lang w:val="en-US" w:eastAsia="zh-CN"/>
                    </w:rPr>
                    <w:t>1次/12h</w:t>
                  </w:r>
                </w:p>
              </w:tc>
            </w:tr>
            <w:tr w14:paraId="537980E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91" w:hRule="atLeast"/>
                <w:tblHeader/>
                <w:jc w:val="center"/>
              </w:trPr>
              <w:tc>
                <w:tcPr>
                  <w:tcW w:w="658" w:type="pct"/>
                  <w:gridSpan w:val="2"/>
                  <w:vMerge w:val="continue"/>
                  <w:vAlign w:val="center"/>
                </w:tcPr>
                <w:p w14:paraId="66559466">
                  <w:pPr>
                    <w:snapToGrid w:val="0"/>
                    <w:jc w:val="center"/>
                    <w:rPr>
                      <w:rFonts w:hint="eastAsia"/>
                      <w:color w:val="auto"/>
                      <w:sz w:val="18"/>
                      <w:szCs w:val="18"/>
                      <w:lang w:val="en-US" w:eastAsia="zh-CN"/>
                    </w:rPr>
                  </w:pPr>
                </w:p>
              </w:tc>
              <w:tc>
                <w:tcPr>
                  <w:tcW w:w="489" w:type="pct"/>
                  <w:vMerge w:val="continue"/>
                  <w:vAlign w:val="center"/>
                </w:tcPr>
                <w:p w14:paraId="57050E32">
                  <w:pPr>
                    <w:snapToGrid w:val="0"/>
                    <w:jc w:val="center"/>
                    <w:rPr>
                      <w:rFonts w:hint="eastAsia"/>
                      <w:color w:val="auto"/>
                      <w:sz w:val="18"/>
                      <w:szCs w:val="18"/>
                      <w:lang w:val="en-US" w:eastAsia="zh-CN"/>
                    </w:rPr>
                  </w:pPr>
                </w:p>
              </w:tc>
              <w:tc>
                <w:tcPr>
                  <w:tcW w:w="632" w:type="pct"/>
                  <w:vMerge w:val="continue"/>
                  <w:vAlign w:val="center"/>
                </w:tcPr>
                <w:p w14:paraId="19A07D0A">
                  <w:pPr>
                    <w:snapToGrid w:val="0"/>
                    <w:jc w:val="center"/>
                    <w:rPr>
                      <w:rFonts w:hint="eastAsia"/>
                      <w:color w:val="auto"/>
                      <w:sz w:val="18"/>
                      <w:szCs w:val="18"/>
                      <w:lang w:val="en-US" w:eastAsia="zh-CN"/>
                    </w:rPr>
                  </w:pPr>
                </w:p>
              </w:tc>
              <w:tc>
                <w:tcPr>
                  <w:tcW w:w="1978" w:type="pct"/>
                  <w:tcBorders>
                    <w:bottom w:val="single" w:color="auto" w:sz="4" w:space="0"/>
                  </w:tcBorders>
                  <w:vAlign w:val="center"/>
                </w:tcPr>
                <w:p w14:paraId="3A2230D3">
                  <w:pPr>
                    <w:jc w:val="center"/>
                    <w:rPr>
                      <w:rFonts w:hint="default"/>
                      <w:bCs/>
                      <w:color w:val="auto"/>
                      <w:sz w:val="18"/>
                      <w:szCs w:val="18"/>
                      <w:lang w:val="en-US" w:eastAsia="zh-CN"/>
                    </w:rPr>
                  </w:pPr>
                  <w:r>
                    <w:rPr>
                      <w:rFonts w:hint="eastAsia"/>
                      <w:bCs/>
                      <w:color w:val="auto"/>
                      <w:sz w:val="18"/>
                      <w:szCs w:val="18"/>
                      <w:lang w:val="en-US" w:eastAsia="zh-CN"/>
                    </w:rPr>
                    <w:t>CODcr、SS</w:t>
                  </w:r>
                </w:p>
              </w:tc>
              <w:tc>
                <w:tcPr>
                  <w:tcW w:w="1240" w:type="pct"/>
                  <w:tcBorders>
                    <w:bottom w:val="single" w:color="auto" w:sz="4" w:space="0"/>
                  </w:tcBorders>
                  <w:vAlign w:val="center"/>
                </w:tcPr>
                <w:p w14:paraId="0E18B8AF">
                  <w:pPr>
                    <w:snapToGrid w:val="0"/>
                    <w:jc w:val="center"/>
                    <w:rPr>
                      <w:rFonts w:hint="default"/>
                      <w:color w:val="auto"/>
                      <w:sz w:val="18"/>
                      <w:szCs w:val="18"/>
                      <w:lang w:val="en-US" w:eastAsia="zh-CN"/>
                    </w:rPr>
                  </w:pPr>
                  <w:r>
                    <w:rPr>
                      <w:rFonts w:hint="eastAsia"/>
                      <w:color w:val="auto"/>
                      <w:sz w:val="18"/>
                      <w:szCs w:val="18"/>
                      <w:lang w:val="en-US" w:eastAsia="zh-CN"/>
                    </w:rPr>
                    <w:t>1次/周</w:t>
                  </w:r>
                </w:p>
              </w:tc>
            </w:tr>
            <w:tr w14:paraId="18674D2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91" w:hRule="atLeast"/>
                <w:tblHeader/>
                <w:jc w:val="center"/>
              </w:trPr>
              <w:tc>
                <w:tcPr>
                  <w:tcW w:w="658" w:type="pct"/>
                  <w:gridSpan w:val="2"/>
                  <w:vMerge w:val="continue"/>
                  <w:vAlign w:val="center"/>
                </w:tcPr>
                <w:p w14:paraId="6F65075D">
                  <w:pPr>
                    <w:snapToGrid w:val="0"/>
                    <w:jc w:val="center"/>
                    <w:rPr>
                      <w:rFonts w:hint="eastAsia"/>
                      <w:color w:val="auto"/>
                      <w:sz w:val="18"/>
                      <w:szCs w:val="18"/>
                      <w:lang w:val="en-US" w:eastAsia="zh-CN"/>
                    </w:rPr>
                  </w:pPr>
                </w:p>
              </w:tc>
              <w:tc>
                <w:tcPr>
                  <w:tcW w:w="489" w:type="pct"/>
                  <w:vMerge w:val="continue"/>
                  <w:vAlign w:val="center"/>
                </w:tcPr>
                <w:p w14:paraId="609D6284">
                  <w:pPr>
                    <w:snapToGrid w:val="0"/>
                    <w:jc w:val="center"/>
                    <w:rPr>
                      <w:rFonts w:hint="eastAsia"/>
                      <w:color w:val="auto"/>
                      <w:sz w:val="18"/>
                      <w:szCs w:val="18"/>
                      <w:lang w:val="en-US" w:eastAsia="zh-CN"/>
                    </w:rPr>
                  </w:pPr>
                </w:p>
              </w:tc>
              <w:tc>
                <w:tcPr>
                  <w:tcW w:w="632" w:type="pct"/>
                  <w:vMerge w:val="continue"/>
                  <w:vAlign w:val="center"/>
                </w:tcPr>
                <w:p w14:paraId="61B02696">
                  <w:pPr>
                    <w:snapToGrid w:val="0"/>
                    <w:jc w:val="center"/>
                    <w:rPr>
                      <w:rFonts w:hint="eastAsia"/>
                      <w:color w:val="auto"/>
                      <w:sz w:val="18"/>
                      <w:szCs w:val="18"/>
                      <w:lang w:val="en-US" w:eastAsia="zh-CN"/>
                    </w:rPr>
                  </w:pPr>
                </w:p>
              </w:tc>
              <w:tc>
                <w:tcPr>
                  <w:tcW w:w="1978" w:type="pct"/>
                  <w:tcBorders>
                    <w:bottom w:val="single" w:color="auto" w:sz="4" w:space="0"/>
                  </w:tcBorders>
                  <w:vAlign w:val="center"/>
                </w:tcPr>
                <w:p w14:paraId="0E9DC326">
                  <w:pPr>
                    <w:jc w:val="center"/>
                    <w:rPr>
                      <w:rFonts w:hint="default"/>
                      <w:bCs/>
                      <w:color w:val="auto"/>
                      <w:sz w:val="18"/>
                      <w:szCs w:val="18"/>
                      <w:lang w:val="en-US" w:eastAsia="zh-CN"/>
                    </w:rPr>
                  </w:pPr>
                  <w:r>
                    <w:rPr>
                      <w:rFonts w:hint="eastAsia"/>
                      <w:bCs/>
                      <w:color w:val="auto"/>
                      <w:sz w:val="18"/>
                      <w:szCs w:val="18"/>
                      <w:lang w:val="en-US" w:eastAsia="zh-CN"/>
                    </w:rPr>
                    <w:t>粪大肠菌群</w:t>
                  </w:r>
                </w:p>
              </w:tc>
              <w:tc>
                <w:tcPr>
                  <w:tcW w:w="1240" w:type="pct"/>
                  <w:tcBorders>
                    <w:bottom w:val="single" w:color="auto" w:sz="4" w:space="0"/>
                  </w:tcBorders>
                  <w:vAlign w:val="center"/>
                </w:tcPr>
                <w:p w14:paraId="2463B8EC">
                  <w:pPr>
                    <w:snapToGrid w:val="0"/>
                    <w:jc w:val="center"/>
                    <w:rPr>
                      <w:rFonts w:hint="default"/>
                      <w:color w:val="auto"/>
                      <w:sz w:val="18"/>
                      <w:szCs w:val="18"/>
                      <w:lang w:val="en-US" w:eastAsia="zh-CN"/>
                    </w:rPr>
                  </w:pPr>
                  <w:r>
                    <w:rPr>
                      <w:rFonts w:hint="eastAsia"/>
                      <w:color w:val="auto"/>
                      <w:sz w:val="18"/>
                      <w:szCs w:val="18"/>
                      <w:lang w:val="en-US" w:eastAsia="zh-CN"/>
                    </w:rPr>
                    <w:t>1次/月</w:t>
                  </w:r>
                </w:p>
              </w:tc>
            </w:tr>
            <w:tr w14:paraId="1F5A623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91" w:hRule="atLeast"/>
                <w:tblHeader/>
                <w:jc w:val="center"/>
              </w:trPr>
              <w:tc>
                <w:tcPr>
                  <w:tcW w:w="658" w:type="pct"/>
                  <w:gridSpan w:val="2"/>
                  <w:vMerge w:val="continue"/>
                  <w:vAlign w:val="center"/>
                </w:tcPr>
                <w:p w14:paraId="0A172D37">
                  <w:pPr>
                    <w:snapToGrid w:val="0"/>
                    <w:jc w:val="center"/>
                    <w:rPr>
                      <w:rFonts w:hint="eastAsia"/>
                      <w:color w:val="auto"/>
                      <w:sz w:val="18"/>
                      <w:szCs w:val="18"/>
                      <w:lang w:val="en-US" w:eastAsia="zh-CN"/>
                    </w:rPr>
                  </w:pPr>
                </w:p>
              </w:tc>
              <w:tc>
                <w:tcPr>
                  <w:tcW w:w="489" w:type="pct"/>
                  <w:vMerge w:val="continue"/>
                  <w:vAlign w:val="center"/>
                </w:tcPr>
                <w:p w14:paraId="3619EB46">
                  <w:pPr>
                    <w:snapToGrid w:val="0"/>
                    <w:jc w:val="center"/>
                    <w:rPr>
                      <w:rFonts w:hint="eastAsia"/>
                      <w:color w:val="auto"/>
                      <w:sz w:val="18"/>
                      <w:szCs w:val="18"/>
                      <w:lang w:val="en-US" w:eastAsia="zh-CN"/>
                    </w:rPr>
                  </w:pPr>
                </w:p>
              </w:tc>
              <w:tc>
                <w:tcPr>
                  <w:tcW w:w="632" w:type="pct"/>
                  <w:vMerge w:val="continue"/>
                  <w:vAlign w:val="center"/>
                </w:tcPr>
                <w:p w14:paraId="34EBF836">
                  <w:pPr>
                    <w:snapToGrid w:val="0"/>
                    <w:jc w:val="center"/>
                    <w:rPr>
                      <w:rFonts w:hint="eastAsia"/>
                      <w:color w:val="auto"/>
                      <w:sz w:val="18"/>
                      <w:szCs w:val="18"/>
                      <w:lang w:val="en-US" w:eastAsia="zh-CN"/>
                    </w:rPr>
                  </w:pPr>
                </w:p>
              </w:tc>
              <w:tc>
                <w:tcPr>
                  <w:tcW w:w="1978" w:type="pct"/>
                  <w:tcBorders>
                    <w:bottom w:val="single" w:color="auto" w:sz="4" w:space="0"/>
                  </w:tcBorders>
                  <w:vAlign w:val="center"/>
                </w:tcPr>
                <w:p w14:paraId="77B02F0A">
                  <w:pPr>
                    <w:jc w:val="center"/>
                    <w:rPr>
                      <w:rFonts w:hint="default"/>
                      <w:bCs/>
                      <w:color w:val="auto"/>
                      <w:sz w:val="18"/>
                      <w:szCs w:val="18"/>
                      <w:lang w:val="en-US" w:eastAsia="zh-CN"/>
                    </w:rPr>
                  </w:pPr>
                  <w:r>
                    <w:rPr>
                      <w:rFonts w:hint="eastAsia"/>
                      <w:bCs/>
                      <w:color w:val="auto"/>
                      <w:sz w:val="18"/>
                      <w:szCs w:val="18"/>
                      <w:lang w:val="en-US" w:eastAsia="zh-CN"/>
                    </w:rPr>
                    <w:t>BOD</w:t>
                  </w:r>
                  <w:r>
                    <w:rPr>
                      <w:rFonts w:hint="eastAsia"/>
                      <w:bCs/>
                      <w:color w:val="auto"/>
                      <w:sz w:val="18"/>
                      <w:szCs w:val="18"/>
                      <w:vertAlign w:val="subscript"/>
                      <w:lang w:val="en-US" w:eastAsia="zh-CN"/>
                    </w:rPr>
                    <w:t>5</w:t>
                  </w:r>
                  <w:r>
                    <w:rPr>
                      <w:rFonts w:hint="eastAsia"/>
                      <w:bCs/>
                      <w:color w:val="auto"/>
                      <w:sz w:val="18"/>
                      <w:szCs w:val="18"/>
                      <w:lang w:val="en-US" w:eastAsia="zh-CN"/>
                    </w:rPr>
                    <w:t>、石油类、挥发酚、动植物油、阴离子表面活性剂、总氰化物</w:t>
                  </w:r>
                </w:p>
              </w:tc>
              <w:tc>
                <w:tcPr>
                  <w:tcW w:w="1240" w:type="pct"/>
                  <w:tcBorders>
                    <w:bottom w:val="single" w:color="auto" w:sz="4" w:space="0"/>
                  </w:tcBorders>
                  <w:vAlign w:val="center"/>
                </w:tcPr>
                <w:p w14:paraId="49019693">
                  <w:pPr>
                    <w:snapToGrid w:val="0"/>
                    <w:jc w:val="center"/>
                    <w:rPr>
                      <w:rFonts w:hint="default"/>
                      <w:color w:val="auto"/>
                      <w:sz w:val="18"/>
                      <w:szCs w:val="18"/>
                      <w:lang w:val="en-US" w:eastAsia="zh-CN"/>
                    </w:rPr>
                  </w:pPr>
                  <w:r>
                    <w:rPr>
                      <w:rFonts w:hint="eastAsia"/>
                      <w:color w:val="auto"/>
                      <w:sz w:val="18"/>
                      <w:szCs w:val="18"/>
                      <w:lang w:val="en-US" w:eastAsia="zh-CN"/>
                    </w:rPr>
                    <w:t>1次/季度</w:t>
                  </w:r>
                </w:p>
              </w:tc>
            </w:tr>
            <w:tr w14:paraId="46D409F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91" w:hRule="atLeast"/>
                <w:tblHeader/>
                <w:jc w:val="center"/>
              </w:trPr>
              <w:tc>
                <w:tcPr>
                  <w:tcW w:w="658" w:type="pct"/>
                  <w:gridSpan w:val="2"/>
                  <w:vMerge w:val="continue"/>
                  <w:vAlign w:val="center"/>
                </w:tcPr>
                <w:p w14:paraId="5F3A97A4">
                  <w:pPr>
                    <w:snapToGrid w:val="0"/>
                    <w:jc w:val="center"/>
                    <w:rPr>
                      <w:rFonts w:hint="eastAsia"/>
                      <w:color w:val="auto"/>
                      <w:sz w:val="18"/>
                      <w:szCs w:val="18"/>
                      <w:lang w:val="en-US" w:eastAsia="zh-CN"/>
                    </w:rPr>
                  </w:pPr>
                </w:p>
              </w:tc>
              <w:tc>
                <w:tcPr>
                  <w:tcW w:w="489" w:type="pct"/>
                  <w:vMerge w:val="continue"/>
                  <w:tcBorders>
                    <w:bottom w:val="single" w:color="auto" w:sz="4" w:space="0"/>
                  </w:tcBorders>
                  <w:vAlign w:val="center"/>
                </w:tcPr>
                <w:p w14:paraId="47E9A963">
                  <w:pPr>
                    <w:snapToGrid w:val="0"/>
                    <w:jc w:val="center"/>
                    <w:rPr>
                      <w:rFonts w:hint="eastAsia"/>
                      <w:color w:val="auto"/>
                      <w:sz w:val="18"/>
                      <w:szCs w:val="18"/>
                      <w:lang w:val="en-US" w:eastAsia="zh-CN"/>
                    </w:rPr>
                  </w:pPr>
                </w:p>
              </w:tc>
              <w:tc>
                <w:tcPr>
                  <w:tcW w:w="632" w:type="pct"/>
                  <w:vMerge w:val="continue"/>
                  <w:tcBorders>
                    <w:bottom w:val="single" w:color="auto" w:sz="4" w:space="0"/>
                  </w:tcBorders>
                  <w:vAlign w:val="center"/>
                </w:tcPr>
                <w:p w14:paraId="26C60721">
                  <w:pPr>
                    <w:snapToGrid w:val="0"/>
                    <w:jc w:val="center"/>
                    <w:rPr>
                      <w:rFonts w:hint="eastAsia"/>
                      <w:color w:val="auto"/>
                      <w:sz w:val="18"/>
                      <w:szCs w:val="18"/>
                      <w:lang w:val="en-US" w:eastAsia="zh-CN"/>
                    </w:rPr>
                  </w:pPr>
                </w:p>
              </w:tc>
              <w:tc>
                <w:tcPr>
                  <w:tcW w:w="1978" w:type="pct"/>
                  <w:tcBorders>
                    <w:bottom w:val="single" w:color="auto" w:sz="4" w:space="0"/>
                  </w:tcBorders>
                  <w:vAlign w:val="center"/>
                </w:tcPr>
                <w:p w14:paraId="71F4B833">
                  <w:pPr>
                    <w:jc w:val="center"/>
                    <w:rPr>
                      <w:rFonts w:hint="default"/>
                      <w:bCs/>
                      <w:color w:val="auto"/>
                      <w:sz w:val="18"/>
                      <w:szCs w:val="18"/>
                      <w:lang w:val="en-US" w:eastAsia="zh-CN"/>
                    </w:rPr>
                  </w:pPr>
                  <w:r>
                    <w:rPr>
                      <w:rFonts w:hint="eastAsia"/>
                      <w:bCs/>
                      <w:color w:val="auto"/>
                      <w:sz w:val="18"/>
                      <w:szCs w:val="18"/>
                      <w:lang w:val="en-US" w:eastAsia="zh-CN"/>
                    </w:rPr>
                    <w:t>肠道致病菌（沙门氏菌）、色度、氨氮、总余氯</w:t>
                  </w:r>
                </w:p>
              </w:tc>
              <w:tc>
                <w:tcPr>
                  <w:tcW w:w="1240" w:type="pct"/>
                  <w:tcBorders>
                    <w:bottom w:val="single" w:color="auto" w:sz="4" w:space="0"/>
                  </w:tcBorders>
                  <w:vAlign w:val="center"/>
                </w:tcPr>
                <w:p w14:paraId="49B6EDE6">
                  <w:pPr>
                    <w:snapToGrid w:val="0"/>
                    <w:jc w:val="center"/>
                    <w:rPr>
                      <w:rFonts w:hint="default"/>
                      <w:color w:val="auto"/>
                      <w:sz w:val="18"/>
                      <w:szCs w:val="18"/>
                      <w:lang w:val="en-US" w:eastAsia="zh-CN"/>
                    </w:rPr>
                  </w:pPr>
                  <w:r>
                    <w:rPr>
                      <w:rFonts w:hint="eastAsia"/>
                      <w:color w:val="auto"/>
                      <w:sz w:val="18"/>
                      <w:szCs w:val="18"/>
                      <w:lang w:val="en-US" w:eastAsia="zh-CN"/>
                    </w:rPr>
                    <w:t>1次/季度</w:t>
                  </w:r>
                </w:p>
              </w:tc>
            </w:tr>
            <w:tr w14:paraId="2BE7FEB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91" w:hRule="atLeast"/>
                <w:tblHeader/>
                <w:jc w:val="center"/>
              </w:trPr>
              <w:tc>
                <w:tcPr>
                  <w:tcW w:w="658" w:type="pct"/>
                  <w:gridSpan w:val="2"/>
                  <w:vMerge w:val="continue"/>
                  <w:vAlign w:val="center"/>
                </w:tcPr>
                <w:p w14:paraId="6512E20D">
                  <w:pPr>
                    <w:snapToGrid w:val="0"/>
                    <w:jc w:val="center"/>
                    <w:rPr>
                      <w:rFonts w:hint="eastAsia"/>
                      <w:color w:val="auto"/>
                      <w:sz w:val="18"/>
                      <w:szCs w:val="18"/>
                      <w:lang w:val="en-US" w:eastAsia="zh-CN"/>
                    </w:rPr>
                  </w:pPr>
                </w:p>
              </w:tc>
              <w:tc>
                <w:tcPr>
                  <w:tcW w:w="489" w:type="pct"/>
                  <w:tcBorders>
                    <w:bottom w:val="single" w:color="auto" w:sz="4" w:space="0"/>
                  </w:tcBorders>
                  <w:vAlign w:val="center"/>
                </w:tcPr>
                <w:p w14:paraId="7EA40794">
                  <w:pPr>
                    <w:snapToGrid w:val="0"/>
                    <w:jc w:val="center"/>
                    <w:rPr>
                      <w:rFonts w:hint="default"/>
                      <w:color w:val="auto"/>
                      <w:sz w:val="18"/>
                      <w:szCs w:val="18"/>
                      <w:lang w:val="en-US" w:eastAsia="zh-CN"/>
                    </w:rPr>
                  </w:pPr>
                  <w:r>
                    <w:rPr>
                      <w:rFonts w:hint="eastAsia"/>
                      <w:color w:val="auto"/>
                      <w:sz w:val="18"/>
                      <w:szCs w:val="18"/>
                      <w:lang w:val="en-US" w:eastAsia="zh-CN"/>
                    </w:rPr>
                    <w:t>-</w:t>
                  </w:r>
                </w:p>
              </w:tc>
              <w:tc>
                <w:tcPr>
                  <w:tcW w:w="632" w:type="pct"/>
                  <w:tcBorders>
                    <w:bottom w:val="single" w:color="auto" w:sz="4" w:space="0"/>
                  </w:tcBorders>
                  <w:vAlign w:val="center"/>
                </w:tcPr>
                <w:p w14:paraId="67C9BB06">
                  <w:pPr>
                    <w:snapToGrid w:val="0"/>
                    <w:jc w:val="center"/>
                    <w:rPr>
                      <w:rFonts w:hint="default"/>
                      <w:color w:val="auto"/>
                      <w:sz w:val="18"/>
                      <w:szCs w:val="18"/>
                      <w:lang w:val="en-US" w:eastAsia="zh-CN"/>
                    </w:rPr>
                  </w:pPr>
                  <w:r>
                    <w:rPr>
                      <w:rFonts w:hint="eastAsia"/>
                      <w:color w:val="auto"/>
                      <w:sz w:val="18"/>
                      <w:szCs w:val="18"/>
                      <w:lang w:val="en-US" w:eastAsia="zh-CN"/>
                    </w:rPr>
                    <w:t>科室或设施排口</w:t>
                  </w:r>
                </w:p>
              </w:tc>
              <w:tc>
                <w:tcPr>
                  <w:tcW w:w="1978" w:type="pct"/>
                  <w:tcBorders>
                    <w:bottom w:val="single" w:color="auto" w:sz="4" w:space="0"/>
                  </w:tcBorders>
                  <w:vAlign w:val="center"/>
                </w:tcPr>
                <w:p w14:paraId="26F01129">
                  <w:pPr>
                    <w:jc w:val="center"/>
                    <w:rPr>
                      <w:rFonts w:hint="default"/>
                      <w:bCs/>
                      <w:color w:val="auto"/>
                      <w:sz w:val="18"/>
                      <w:szCs w:val="18"/>
                      <w:lang w:val="en-US" w:eastAsia="zh-CN"/>
                    </w:rPr>
                  </w:pPr>
                  <w:r>
                    <w:rPr>
                      <w:rFonts w:hint="eastAsia"/>
                      <w:bCs/>
                      <w:color w:val="auto"/>
                      <w:sz w:val="18"/>
                      <w:szCs w:val="18"/>
                      <w:lang w:val="en-US" w:eastAsia="zh-CN"/>
                    </w:rPr>
                    <w:t>总汞、总铬、六价铬、总镉、总砷、总铅、总银、总α、总β</w:t>
                  </w:r>
                </w:p>
              </w:tc>
              <w:tc>
                <w:tcPr>
                  <w:tcW w:w="1240" w:type="pct"/>
                  <w:tcBorders>
                    <w:bottom w:val="single" w:color="auto" w:sz="4" w:space="0"/>
                  </w:tcBorders>
                  <w:vAlign w:val="center"/>
                </w:tcPr>
                <w:p w14:paraId="6909CDEB">
                  <w:pPr>
                    <w:snapToGrid w:val="0"/>
                    <w:jc w:val="center"/>
                    <w:rPr>
                      <w:rFonts w:hint="default"/>
                      <w:color w:val="auto"/>
                      <w:sz w:val="18"/>
                      <w:szCs w:val="18"/>
                      <w:lang w:val="en-US" w:eastAsia="zh-CN"/>
                    </w:rPr>
                  </w:pPr>
                  <w:r>
                    <w:rPr>
                      <w:rFonts w:hint="eastAsia"/>
                      <w:color w:val="auto"/>
                      <w:sz w:val="18"/>
                      <w:szCs w:val="18"/>
                      <w:lang w:val="en-US" w:eastAsia="zh-CN"/>
                    </w:rPr>
                    <w:t>1次/季度</w:t>
                  </w:r>
                </w:p>
              </w:tc>
            </w:tr>
            <w:tr w14:paraId="02F6534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91" w:hRule="atLeast"/>
                <w:tblHeader/>
                <w:jc w:val="center"/>
              </w:trPr>
              <w:tc>
                <w:tcPr>
                  <w:tcW w:w="658" w:type="pct"/>
                  <w:gridSpan w:val="2"/>
                  <w:vMerge w:val="continue"/>
                  <w:vAlign w:val="center"/>
                </w:tcPr>
                <w:p w14:paraId="0A95FC09">
                  <w:pPr>
                    <w:snapToGrid w:val="0"/>
                    <w:jc w:val="center"/>
                    <w:rPr>
                      <w:rFonts w:hint="eastAsia"/>
                      <w:color w:val="auto"/>
                      <w:sz w:val="18"/>
                      <w:szCs w:val="18"/>
                      <w:lang w:val="en-US" w:eastAsia="zh-CN"/>
                    </w:rPr>
                  </w:pPr>
                </w:p>
              </w:tc>
              <w:tc>
                <w:tcPr>
                  <w:tcW w:w="489" w:type="pct"/>
                  <w:tcBorders>
                    <w:bottom w:val="single" w:color="auto" w:sz="4" w:space="0"/>
                  </w:tcBorders>
                  <w:vAlign w:val="center"/>
                </w:tcPr>
                <w:p w14:paraId="6681A268">
                  <w:pPr>
                    <w:snapToGrid w:val="0"/>
                    <w:jc w:val="center"/>
                    <w:rPr>
                      <w:rFonts w:hint="default"/>
                      <w:color w:val="auto"/>
                      <w:sz w:val="18"/>
                      <w:szCs w:val="18"/>
                      <w:lang w:val="en-US" w:eastAsia="zh-CN"/>
                    </w:rPr>
                  </w:pPr>
                  <w:r>
                    <w:rPr>
                      <w:rFonts w:hint="eastAsia"/>
                      <w:color w:val="auto"/>
                      <w:sz w:val="18"/>
                      <w:szCs w:val="18"/>
                      <w:lang w:val="en-US" w:eastAsia="zh-CN"/>
                    </w:rPr>
                    <w:t>-</w:t>
                  </w:r>
                </w:p>
              </w:tc>
              <w:tc>
                <w:tcPr>
                  <w:tcW w:w="632" w:type="pct"/>
                  <w:tcBorders>
                    <w:bottom w:val="single" w:color="auto" w:sz="4" w:space="0"/>
                  </w:tcBorders>
                  <w:vAlign w:val="center"/>
                </w:tcPr>
                <w:p w14:paraId="5EE410DB">
                  <w:pPr>
                    <w:snapToGrid w:val="0"/>
                    <w:jc w:val="center"/>
                    <w:rPr>
                      <w:rFonts w:hint="default"/>
                      <w:color w:val="auto"/>
                      <w:sz w:val="18"/>
                      <w:szCs w:val="18"/>
                      <w:lang w:val="en-US" w:eastAsia="zh-CN"/>
                    </w:rPr>
                  </w:pPr>
                  <w:r>
                    <w:rPr>
                      <w:rFonts w:hint="eastAsia"/>
                      <w:color w:val="auto"/>
                      <w:sz w:val="18"/>
                      <w:szCs w:val="18"/>
                      <w:lang w:val="en-US" w:eastAsia="zh-CN"/>
                    </w:rPr>
                    <w:t>接触池出口</w:t>
                  </w:r>
                </w:p>
              </w:tc>
              <w:tc>
                <w:tcPr>
                  <w:tcW w:w="1978" w:type="pct"/>
                  <w:tcBorders>
                    <w:bottom w:val="single" w:color="auto" w:sz="4" w:space="0"/>
                  </w:tcBorders>
                  <w:vAlign w:val="center"/>
                </w:tcPr>
                <w:p w14:paraId="7907BF8A">
                  <w:pPr>
                    <w:jc w:val="center"/>
                    <w:rPr>
                      <w:rFonts w:hint="default"/>
                      <w:bCs/>
                      <w:color w:val="auto"/>
                      <w:sz w:val="18"/>
                      <w:szCs w:val="18"/>
                      <w:lang w:val="en-US" w:eastAsia="zh-CN"/>
                    </w:rPr>
                  </w:pPr>
                  <w:r>
                    <w:rPr>
                      <w:rFonts w:hint="eastAsia"/>
                      <w:bCs/>
                      <w:color w:val="auto"/>
                      <w:sz w:val="18"/>
                      <w:szCs w:val="18"/>
                      <w:lang w:val="en-US" w:eastAsia="zh-CN"/>
                    </w:rPr>
                    <w:t>总余氯</w:t>
                  </w:r>
                </w:p>
              </w:tc>
              <w:tc>
                <w:tcPr>
                  <w:tcW w:w="1240" w:type="pct"/>
                  <w:tcBorders>
                    <w:bottom w:val="single" w:color="auto" w:sz="4" w:space="0"/>
                  </w:tcBorders>
                  <w:vAlign w:val="center"/>
                </w:tcPr>
                <w:p w14:paraId="0D7EE9C0">
                  <w:pPr>
                    <w:snapToGrid w:val="0"/>
                    <w:jc w:val="center"/>
                    <w:rPr>
                      <w:rFonts w:hint="default"/>
                      <w:color w:val="auto"/>
                      <w:sz w:val="18"/>
                      <w:szCs w:val="18"/>
                      <w:lang w:val="en-US" w:eastAsia="zh-CN"/>
                    </w:rPr>
                  </w:pPr>
                  <w:r>
                    <w:rPr>
                      <w:rFonts w:hint="eastAsia"/>
                      <w:color w:val="auto"/>
                      <w:sz w:val="18"/>
                      <w:szCs w:val="18"/>
                      <w:lang w:val="en-US" w:eastAsia="zh-CN"/>
                    </w:rPr>
                    <w:t>1次/12h</w:t>
                  </w:r>
                </w:p>
              </w:tc>
            </w:tr>
            <w:tr w14:paraId="3CE81F0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blHeader/>
                <w:jc w:val="center"/>
              </w:trPr>
              <w:tc>
                <w:tcPr>
                  <w:tcW w:w="658" w:type="pct"/>
                  <w:gridSpan w:val="2"/>
                  <w:vAlign w:val="center"/>
                </w:tcPr>
                <w:p w14:paraId="48129BFB">
                  <w:pPr>
                    <w:snapToGrid w:val="0"/>
                    <w:jc w:val="center"/>
                    <w:rPr>
                      <w:color w:val="auto"/>
                      <w:sz w:val="18"/>
                      <w:szCs w:val="18"/>
                    </w:rPr>
                  </w:pPr>
                  <w:r>
                    <w:rPr>
                      <w:rFonts w:hint="eastAsia"/>
                      <w:color w:val="auto"/>
                      <w:sz w:val="18"/>
                      <w:szCs w:val="18"/>
                      <w:lang w:val="en-US" w:eastAsia="zh-CN"/>
                    </w:rPr>
                    <w:t>噪声</w:t>
                  </w:r>
                </w:p>
              </w:tc>
              <w:tc>
                <w:tcPr>
                  <w:tcW w:w="489" w:type="pct"/>
                  <w:vAlign w:val="center"/>
                </w:tcPr>
                <w:p w14:paraId="74CF71C2">
                  <w:pPr>
                    <w:snapToGrid w:val="0"/>
                    <w:jc w:val="center"/>
                    <w:rPr>
                      <w:rFonts w:hint="eastAsia" w:eastAsia="宋体"/>
                      <w:color w:val="auto"/>
                      <w:sz w:val="18"/>
                      <w:szCs w:val="18"/>
                      <w:lang w:val="en-US" w:eastAsia="zh-CN"/>
                    </w:rPr>
                  </w:pPr>
                  <w:r>
                    <w:rPr>
                      <w:rFonts w:hint="eastAsia"/>
                      <w:color w:val="auto"/>
                      <w:sz w:val="18"/>
                      <w:szCs w:val="18"/>
                      <w:lang w:val="en-US" w:eastAsia="zh-CN"/>
                    </w:rPr>
                    <w:t>-</w:t>
                  </w:r>
                </w:p>
              </w:tc>
              <w:tc>
                <w:tcPr>
                  <w:tcW w:w="632" w:type="pct"/>
                  <w:vAlign w:val="center"/>
                </w:tcPr>
                <w:p w14:paraId="74795647">
                  <w:pPr>
                    <w:snapToGrid w:val="0"/>
                    <w:jc w:val="center"/>
                    <w:rPr>
                      <w:rFonts w:hint="eastAsia"/>
                      <w:color w:val="auto"/>
                      <w:sz w:val="18"/>
                      <w:szCs w:val="18"/>
                      <w:lang w:val="en-US" w:eastAsia="zh-CN"/>
                    </w:rPr>
                  </w:pPr>
                  <w:r>
                    <w:rPr>
                      <w:rFonts w:hint="eastAsia"/>
                      <w:color w:val="auto"/>
                      <w:sz w:val="18"/>
                      <w:szCs w:val="18"/>
                    </w:rPr>
                    <w:t>厂界四周</w:t>
                  </w:r>
                </w:p>
              </w:tc>
              <w:tc>
                <w:tcPr>
                  <w:tcW w:w="1978" w:type="pct"/>
                  <w:vAlign w:val="center"/>
                </w:tcPr>
                <w:p w14:paraId="3B60EA68">
                  <w:pPr>
                    <w:snapToGrid w:val="0"/>
                    <w:jc w:val="center"/>
                    <w:rPr>
                      <w:rFonts w:hint="eastAsia"/>
                      <w:color w:val="auto"/>
                      <w:sz w:val="18"/>
                      <w:szCs w:val="18"/>
                      <w:lang w:val="en-US" w:eastAsia="zh-CN"/>
                    </w:rPr>
                  </w:pPr>
                  <w:r>
                    <w:rPr>
                      <w:rFonts w:hint="eastAsia"/>
                      <w:color w:val="auto"/>
                      <w:sz w:val="18"/>
                      <w:szCs w:val="18"/>
                    </w:rPr>
                    <w:t>Leq</w:t>
                  </w:r>
                </w:p>
              </w:tc>
              <w:tc>
                <w:tcPr>
                  <w:tcW w:w="1240" w:type="pct"/>
                  <w:vAlign w:val="center"/>
                </w:tcPr>
                <w:p w14:paraId="39C16B87">
                  <w:pPr>
                    <w:snapToGrid w:val="0"/>
                    <w:jc w:val="center"/>
                    <w:rPr>
                      <w:rFonts w:hint="eastAsia"/>
                      <w:color w:val="auto"/>
                      <w:sz w:val="18"/>
                      <w:szCs w:val="18"/>
                      <w:lang w:val="en-US" w:eastAsia="zh-CN"/>
                    </w:rPr>
                  </w:pPr>
                  <w:r>
                    <w:rPr>
                      <w:rFonts w:hint="eastAsia"/>
                      <w:color w:val="auto"/>
                      <w:sz w:val="18"/>
                      <w:szCs w:val="18"/>
                    </w:rPr>
                    <w:t>每季度</w:t>
                  </w:r>
                  <w:r>
                    <w:rPr>
                      <w:color w:val="auto"/>
                      <w:sz w:val="18"/>
                      <w:szCs w:val="18"/>
                    </w:rPr>
                    <w:t>1次，每次1天，昼夜各监测1次</w:t>
                  </w:r>
                </w:p>
              </w:tc>
            </w:tr>
          </w:tbl>
          <w:p w14:paraId="3A40D5E2">
            <w:pPr>
              <w:spacing w:line="360" w:lineRule="auto"/>
              <w:ind w:firstLine="422" w:firstLineChars="200"/>
              <w:rPr>
                <w:b/>
                <w:bCs/>
                <w:color w:val="auto"/>
                <w:szCs w:val="21"/>
              </w:rPr>
            </w:pPr>
            <w:r>
              <w:rPr>
                <w:rFonts w:hint="eastAsia"/>
                <w:b/>
                <w:bCs/>
                <w:color w:val="auto"/>
                <w:szCs w:val="21"/>
                <w:lang w:val="en-US" w:eastAsia="zh-CN"/>
              </w:rPr>
              <w:t>4.9</w:t>
            </w:r>
            <w:r>
              <w:rPr>
                <w:rFonts w:hint="eastAsia"/>
                <w:b/>
                <w:bCs/>
                <w:color w:val="auto"/>
                <w:szCs w:val="21"/>
              </w:rPr>
              <w:t>环保投资</w:t>
            </w:r>
          </w:p>
          <w:p w14:paraId="49856523">
            <w:pPr>
              <w:spacing w:line="360" w:lineRule="auto"/>
              <w:ind w:firstLine="420" w:firstLineChars="200"/>
              <w:rPr>
                <w:bCs/>
                <w:color w:val="auto"/>
                <w:szCs w:val="21"/>
              </w:rPr>
            </w:pPr>
            <w:r>
              <w:rPr>
                <w:bCs/>
                <w:color w:val="auto"/>
                <w:szCs w:val="21"/>
              </w:rPr>
              <w:t>项目环保投资</w:t>
            </w:r>
            <w:r>
              <w:rPr>
                <w:rFonts w:hint="eastAsia"/>
                <w:bCs/>
                <w:color w:val="auto"/>
                <w:szCs w:val="21"/>
                <w:lang w:val="en-US" w:eastAsia="zh-CN"/>
              </w:rPr>
              <w:t>280</w:t>
            </w:r>
            <w:r>
              <w:rPr>
                <w:bCs/>
                <w:color w:val="auto"/>
                <w:szCs w:val="21"/>
              </w:rPr>
              <w:t>万元，占总投资的</w:t>
            </w:r>
            <w:r>
              <w:rPr>
                <w:rFonts w:hint="eastAsia"/>
                <w:bCs/>
                <w:color w:val="auto"/>
                <w:szCs w:val="21"/>
                <w:lang w:val="en-US" w:eastAsia="zh-CN"/>
              </w:rPr>
              <w:t>0.47</w:t>
            </w:r>
            <w:r>
              <w:rPr>
                <w:bCs/>
                <w:color w:val="auto"/>
                <w:szCs w:val="21"/>
              </w:rPr>
              <w:t>%。环保投资见表</w:t>
            </w:r>
            <w:r>
              <w:rPr>
                <w:rFonts w:hint="eastAsia"/>
                <w:bCs/>
                <w:color w:val="auto"/>
                <w:szCs w:val="21"/>
              </w:rPr>
              <w:t>4-</w:t>
            </w:r>
            <w:r>
              <w:rPr>
                <w:rFonts w:hint="eastAsia"/>
                <w:bCs/>
                <w:color w:val="auto"/>
                <w:szCs w:val="21"/>
                <w:lang w:val="en-US" w:eastAsia="zh-CN"/>
              </w:rPr>
              <w:t>14</w:t>
            </w:r>
            <w:r>
              <w:rPr>
                <w:bCs/>
                <w:color w:val="auto"/>
                <w:szCs w:val="21"/>
              </w:rPr>
              <w:t>。</w:t>
            </w:r>
          </w:p>
          <w:p w14:paraId="74FF901B">
            <w:pPr>
              <w:jc w:val="center"/>
              <w:rPr>
                <w:b/>
                <w:bCs/>
                <w:color w:val="auto"/>
                <w:sz w:val="18"/>
                <w:szCs w:val="18"/>
              </w:rPr>
            </w:pPr>
            <w:r>
              <w:rPr>
                <w:b/>
                <w:bCs/>
                <w:color w:val="auto"/>
                <w:sz w:val="18"/>
                <w:szCs w:val="18"/>
              </w:rPr>
              <w:t>表</w:t>
            </w:r>
            <w:r>
              <w:rPr>
                <w:rFonts w:hint="eastAsia"/>
                <w:b/>
                <w:bCs/>
                <w:color w:val="auto"/>
                <w:sz w:val="18"/>
                <w:szCs w:val="18"/>
              </w:rPr>
              <w:t>4-</w:t>
            </w:r>
            <w:r>
              <w:rPr>
                <w:rFonts w:hint="eastAsia"/>
                <w:b/>
                <w:bCs/>
                <w:color w:val="auto"/>
                <w:sz w:val="18"/>
                <w:szCs w:val="18"/>
                <w:lang w:val="en-US" w:eastAsia="zh-CN"/>
              </w:rPr>
              <w:t>14</w:t>
            </w:r>
            <w:r>
              <w:rPr>
                <w:b/>
                <w:bCs/>
                <w:color w:val="auto"/>
                <w:sz w:val="18"/>
                <w:szCs w:val="18"/>
              </w:rPr>
              <w:t xml:space="preserve"> </w:t>
            </w:r>
            <w:r>
              <w:rPr>
                <w:rFonts w:hint="eastAsia"/>
                <w:b/>
                <w:bCs/>
                <w:color w:val="auto"/>
                <w:sz w:val="18"/>
                <w:szCs w:val="18"/>
              </w:rPr>
              <w:t xml:space="preserve">  </w:t>
            </w:r>
            <w:r>
              <w:rPr>
                <w:b/>
                <w:bCs/>
                <w:color w:val="auto"/>
                <w:sz w:val="18"/>
                <w:szCs w:val="18"/>
              </w:rPr>
              <w:t xml:space="preserve"> 环保投资一览表</w:t>
            </w:r>
          </w:p>
          <w:tbl>
            <w:tblPr>
              <w:tblStyle w:val="47"/>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574"/>
              <w:gridCol w:w="1135"/>
              <w:gridCol w:w="5373"/>
              <w:gridCol w:w="941"/>
            </w:tblGrid>
            <w:tr w14:paraId="4407AB5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7" w:hRule="atLeast"/>
                <w:jc w:val="center"/>
              </w:trPr>
              <w:tc>
                <w:tcPr>
                  <w:tcW w:w="358" w:type="pct"/>
                  <w:vAlign w:val="center"/>
                </w:tcPr>
                <w:p w14:paraId="08756A5F">
                  <w:pPr>
                    <w:jc w:val="center"/>
                    <w:rPr>
                      <w:bCs/>
                      <w:color w:val="auto"/>
                      <w:sz w:val="18"/>
                      <w:szCs w:val="18"/>
                    </w:rPr>
                  </w:pPr>
                  <w:r>
                    <w:rPr>
                      <w:bCs/>
                      <w:color w:val="auto"/>
                      <w:sz w:val="18"/>
                      <w:szCs w:val="18"/>
                    </w:rPr>
                    <w:t>类别</w:t>
                  </w:r>
                </w:p>
              </w:tc>
              <w:tc>
                <w:tcPr>
                  <w:tcW w:w="706" w:type="pct"/>
                  <w:vAlign w:val="center"/>
                </w:tcPr>
                <w:p w14:paraId="3957E589">
                  <w:pPr>
                    <w:jc w:val="center"/>
                    <w:rPr>
                      <w:bCs/>
                      <w:color w:val="auto"/>
                      <w:sz w:val="18"/>
                      <w:szCs w:val="18"/>
                    </w:rPr>
                  </w:pPr>
                  <w:r>
                    <w:rPr>
                      <w:bCs/>
                      <w:color w:val="auto"/>
                      <w:sz w:val="18"/>
                      <w:szCs w:val="18"/>
                    </w:rPr>
                    <w:t>污染源</w:t>
                  </w:r>
                </w:p>
              </w:tc>
              <w:tc>
                <w:tcPr>
                  <w:tcW w:w="3347" w:type="pct"/>
                  <w:vAlign w:val="center"/>
                </w:tcPr>
                <w:p w14:paraId="4EA889EA">
                  <w:pPr>
                    <w:jc w:val="center"/>
                    <w:rPr>
                      <w:bCs/>
                      <w:color w:val="auto"/>
                      <w:sz w:val="18"/>
                      <w:szCs w:val="18"/>
                    </w:rPr>
                  </w:pPr>
                  <w:r>
                    <w:rPr>
                      <w:bCs/>
                      <w:color w:val="auto"/>
                      <w:sz w:val="18"/>
                      <w:szCs w:val="18"/>
                    </w:rPr>
                    <w:t>防治措施</w:t>
                  </w:r>
                </w:p>
              </w:tc>
              <w:tc>
                <w:tcPr>
                  <w:tcW w:w="586" w:type="pct"/>
                  <w:vAlign w:val="center"/>
                </w:tcPr>
                <w:p w14:paraId="7E203997">
                  <w:pPr>
                    <w:jc w:val="center"/>
                    <w:rPr>
                      <w:bCs/>
                      <w:color w:val="auto"/>
                      <w:sz w:val="18"/>
                      <w:szCs w:val="18"/>
                    </w:rPr>
                  </w:pPr>
                  <w:r>
                    <w:rPr>
                      <w:bCs/>
                      <w:color w:val="auto"/>
                      <w:sz w:val="18"/>
                      <w:szCs w:val="18"/>
                    </w:rPr>
                    <w:t>投资</w:t>
                  </w:r>
                </w:p>
                <w:p w14:paraId="3D6C4A98">
                  <w:pPr>
                    <w:jc w:val="center"/>
                    <w:rPr>
                      <w:bCs/>
                      <w:color w:val="auto"/>
                      <w:sz w:val="18"/>
                      <w:szCs w:val="18"/>
                    </w:rPr>
                  </w:pPr>
                  <w:r>
                    <w:rPr>
                      <w:bCs/>
                      <w:color w:val="auto"/>
                      <w:sz w:val="18"/>
                      <w:szCs w:val="18"/>
                    </w:rPr>
                    <w:t>（万元）</w:t>
                  </w:r>
                </w:p>
              </w:tc>
            </w:tr>
            <w:tr w14:paraId="6C4192E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7" w:hRule="atLeast"/>
                <w:jc w:val="center"/>
              </w:trPr>
              <w:tc>
                <w:tcPr>
                  <w:tcW w:w="358" w:type="pct"/>
                  <w:vMerge w:val="restart"/>
                  <w:vAlign w:val="center"/>
                </w:tcPr>
                <w:p w14:paraId="5A11D893">
                  <w:pPr>
                    <w:jc w:val="center"/>
                    <w:rPr>
                      <w:bCs/>
                      <w:color w:val="auto"/>
                      <w:sz w:val="18"/>
                      <w:szCs w:val="18"/>
                    </w:rPr>
                  </w:pPr>
                  <w:r>
                    <w:rPr>
                      <w:bCs/>
                      <w:color w:val="auto"/>
                      <w:sz w:val="18"/>
                      <w:szCs w:val="18"/>
                    </w:rPr>
                    <w:t>废气</w:t>
                  </w:r>
                </w:p>
              </w:tc>
              <w:tc>
                <w:tcPr>
                  <w:tcW w:w="706" w:type="pct"/>
                  <w:vAlign w:val="center"/>
                </w:tcPr>
                <w:p w14:paraId="0DCB3311">
                  <w:pPr>
                    <w:pStyle w:val="19"/>
                    <w:spacing w:after="0"/>
                    <w:ind w:left="0" w:leftChars="0"/>
                    <w:jc w:val="center"/>
                    <w:rPr>
                      <w:rFonts w:hint="default" w:eastAsia="宋体"/>
                      <w:bCs/>
                      <w:color w:val="auto"/>
                      <w:kern w:val="2"/>
                      <w:sz w:val="18"/>
                      <w:szCs w:val="18"/>
                      <w:lang w:val="en-US" w:eastAsia="zh-CN"/>
                    </w:rPr>
                  </w:pPr>
                  <w:r>
                    <w:rPr>
                      <w:rFonts w:hint="eastAsia"/>
                      <w:bCs/>
                      <w:color w:val="auto"/>
                      <w:kern w:val="2"/>
                      <w:sz w:val="18"/>
                      <w:szCs w:val="18"/>
                      <w:lang w:val="en-US" w:eastAsia="zh-CN"/>
                    </w:rPr>
                    <w:t>污水处理站</w:t>
                  </w:r>
                </w:p>
              </w:tc>
              <w:tc>
                <w:tcPr>
                  <w:tcW w:w="3347" w:type="pct"/>
                  <w:vAlign w:val="center"/>
                </w:tcPr>
                <w:p w14:paraId="3BC00137">
                  <w:pPr>
                    <w:jc w:val="center"/>
                    <w:rPr>
                      <w:rFonts w:hint="default" w:eastAsia="宋体"/>
                      <w:bCs/>
                      <w:color w:val="auto"/>
                      <w:sz w:val="18"/>
                      <w:szCs w:val="18"/>
                      <w:lang w:val="en-US" w:eastAsia="zh-CN"/>
                    </w:rPr>
                  </w:pPr>
                  <w:r>
                    <w:rPr>
                      <w:rFonts w:hint="eastAsia"/>
                      <w:bCs/>
                      <w:color w:val="auto"/>
                      <w:sz w:val="18"/>
                      <w:szCs w:val="18"/>
                      <w:lang w:val="en-US" w:eastAsia="zh-CN"/>
                    </w:rPr>
                    <w:t>各池体密闭 ，定期喷洒除臭剂，加强周边绿化</w:t>
                  </w:r>
                </w:p>
              </w:tc>
              <w:tc>
                <w:tcPr>
                  <w:tcW w:w="586" w:type="pct"/>
                  <w:vAlign w:val="center"/>
                </w:tcPr>
                <w:p w14:paraId="63E941F2">
                  <w:pPr>
                    <w:jc w:val="center"/>
                    <w:rPr>
                      <w:rFonts w:hint="default" w:eastAsia="宋体"/>
                      <w:bCs/>
                      <w:color w:val="auto"/>
                      <w:sz w:val="18"/>
                      <w:szCs w:val="18"/>
                      <w:lang w:val="en-US" w:eastAsia="zh-CN"/>
                    </w:rPr>
                  </w:pPr>
                  <w:r>
                    <w:rPr>
                      <w:rFonts w:hint="eastAsia"/>
                      <w:bCs/>
                      <w:color w:val="auto"/>
                      <w:sz w:val="18"/>
                      <w:szCs w:val="18"/>
                      <w:lang w:val="en-US" w:eastAsia="zh-CN"/>
                    </w:rPr>
                    <w:t>20</w:t>
                  </w:r>
                </w:p>
              </w:tc>
            </w:tr>
            <w:tr w14:paraId="3D5F8EB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7" w:hRule="atLeast"/>
                <w:jc w:val="center"/>
              </w:trPr>
              <w:tc>
                <w:tcPr>
                  <w:tcW w:w="358" w:type="pct"/>
                  <w:vMerge w:val="continue"/>
                  <w:vAlign w:val="center"/>
                </w:tcPr>
                <w:p w14:paraId="14A72195">
                  <w:pPr>
                    <w:jc w:val="center"/>
                    <w:rPr>
                      <w:bCs/>
                      <w:color w:val="auto"/>
                      <w:sz w:val="18"/>
                      <w:szCs w:val="18"/>
                    </w:rPr>
                  </w:pPr>
                </w:p>
              </w:tc>
              <w:tc>
                <w:tcPr>
                  <w:tcW w:w="706" w:type="pct"/>
                  <w:vAlign w:val="center"/>
                </w:tcPr>
                <w:p w14:paraId="16459B99">
                  <w:pPr>
                    <w:pStyle w:val="19"/>
                    <w:spacing w:after="0"/>
                    <w:ind w:left="0" w:leftChars="0"/>
                    <w:jc w:val="center"/>
                    <w:rPr>
                      <w:rFonts w:hint="eastAsia" w:eastAsia="宋体"/>
                      <w:bCs/>
                      <w:color w:val="auto"/>
                      <w:kern w:val="2"/>
                      <w:sz w:val="18"/>
                      <w:szCs w:val="18"/>
                      <w:lang w:val="en-US" w:eastAsia="zh-CN"/>
                    </w:rPr>
                  </w:pPr>
                  <w:r>
                    <w:rPr>
                      <w:rFonts w:hint="eastAsia"/>
                      <w:bCs/>
                      <w:color w:val="auto"/>
                      <w:kern w:val="2"/>
                      <w:sz w:val="18"/>
                      <w:szCs w:val="18"/>
                      <w:lang w:val="en-US" w:eastAsia="zh-CN"/>
                    </w:rPr>
                    <w:t>食堂</w:t>
                  </w:r>
                </w:p>
              </w:tc>
              <w:tc>
                <w:tcPr>
                  <w:tcW w:w="3347" w:type="pct"/>
                  <w:vAlign w:val="center"/>
                </w:tcPr>
                <w:p w14:paraId="1F68D68A">
                  <w:pPr>
                    <w:jc w:val="center"/>
                    <w:rPr>
                      <w:rFonts w:hint="default"/>
                      <w:bCs/>
                      <w:color w:val="auto"/>
                      <w:sz w:val="18"/>
                      <w:szCs w:val="18"/>
                      <w:lang w:val="en-US" w:eastAsia="zh-CN"/>
                    </w:rPr>
                  </w:pPr>
                  <w:r>
                    <w:rPr>
                      <w:rFonts w:hint="eastAsia"/>
                      <w:bCs/>
                      <w:color w:val="auto"/>
                      <w:sz w:val="18"/>
                      <w:szCs w:val="18"/>
                      <w:lang w:val="en-US" w:eastAsia="zh-CN"/>
                    </w:rPr>
                    <w:t>安装油烟净化器，净化效率不低于75%</w:t>
                  </w:r>
                </w:p>
              </w:tc>
              <w:tc>
                <w:tcPr>
                  <w:tcW w:w="586" w:type="pct"/>
                  <w:vAlign w:val="center"/>
                </w:tcPr>
                <w:p w14:paraId="3306E180">
                  <w:pPr>
                    <w:jc w:val="center"/>
                    <w:rPr>
                      <w:rFonts w:hint="default"/>
                      <w:bCs/>
                      <w:color w:val="auto"/>
                      <w:sz w:val="18"/>
                      <w:szCs w:val="18"/>
                      <w:lang w:val="en-US" w:eastAsia="zh-CN"/>
                    </w:rPr>
                  </w:pPr>
                  <w:r>
                    <w:rPr>
                      <w:rFonts w:hint="eastAsia"/>
                      <w:bCs/>
                      <w:color w:val="auto"/>
                      <w:sz w:val="18"/>
                      <w:szCs w:val="18"/>
                      <w:lang w:val="en-US" w:eastAsia="zh-CN"/>
                    </w:rPr>
                    <w:t>20</w:t>
                  </w:r>
                </w:p>
              </w:tc>
            </w:tr>
            <w:tr w14:paraId="7C34D92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7" w:hRule="atLeast"/>
                <w:jc w:val="center"/>
              </w:trPr>
              <w:tc>
                <w:tcPr>
                  <w:tcW w:w="358" w:type="pct"/>
                  <w:vAlign w:val="center"/>
                </w:tcPr>
                <w:p w14:paraId="303948A2">
                  <w:pPr>
                    <w:jc w:val="center"/>
                    <w:rPr>
                      <w:rFonts w:hint="eastAsia" w:eastAsia="宋体"/>
                      <w:bCs/>
                      <w:color w:val="auto"/>
                      <w:sz w:val="18"/>
                      <w:szCs w:val="18"/>
                      <w:lang w:val="en-US" w:eastAsia="zh-CN"/>
                    </w:rPr>
                  </w:pPr>
                  <w:r>
                    <w:rPr>
                      <w:rFonts w:hint="eastAsia"/>
                      <w:bCs/>
                      <w:color w:val="auto"/>
                      <w:sz w:val="18"/>
                      <w:szCs w:val="18"/>
                      <w:lang w:val="en-US" w:eastAsia="zh-CN"/>
                    </w:rPr>
                    <w:t>废水</w:t>
                  </w:r>
                </w:p>
              </w:tc>
              <w:tc>
                <w:tcPr>
                  <w:tcW w:w="706" w:type="pct"/>
                  <w:vAlign w:val="center"/>
                </w:tcPr>
                <w:p w14:paraId="2D0E395D">
                  <w:pPr>
                    <w:pStyle w:val="19"/>
                    <w:spacing w:after="0"/>
                    <w:ind w:left="0" w:leftChars="0"/>
                    <w:jc w:val="center"/>
                    <w:rPr>
                      <w:rFonts w:hint="default"/>
                      <w:bCs/>
                      <w:color w:val="auto"/>
                      <w:kern w:val="2"/>
                      <w:sz w:val="18"/>
                      <w:szCs w:val="18"/>
                      <w:lang w:val="en-US" w:eastAsia="zh-CN"/>
                    </w:rPr>
                  </w:pPr>
                  <w:r>
                    <w:rPr>
                      <w:rFonts w:hint="eastAsia"/>
                      <w:bCs/>
                      <w:color w:val="auto"/>
                      <w:kern w:val="2"/>
                      <w:sz w:val="18"/>
                      <w:szCs w:val="18"/>
                      <w:lang w:val="en-US" w:eastAsia="zh-CN"/>
                    </w:rPr>
                    <w:t>各单元</w:t>
                  </w:r>
                </w:p>
              </w:tc>
              <w:tc>
                <w:tcPr>
                  <w:tcW w:w="3347" w:type="pct"/>
                  <w:vAlign w:val="center"/>
                </w:tcPr>
                <w:p w14:paraId="4D63152B">
                  <w:pPr>
                    <w:jc w:val="center"/>
                    <w:rPr>
                      <w:rFonts w:hint="eastAsia"/>
                      <w:bCs/>
                      <w:color w:val="auto"/>
                      <w:sz w:val="18"/>
                      <w:szCs w:val="18"/>
                      <w:lang w:val="en-US" w:eastAsia="zh-CN"/>
                    </w:rPr>
                  </w:pPr>
                  <w:r>
                    <w:rPr>
                      <w:rFonts w:hint="eastAsia"/>
                      <w:bCs/>
                      <w:color w:val="auto"/>
                      <w:sz w:val="18"/>
                      <w:szCs w:val="18"/>
                      <w:lang w:val="en-US" w:eastAsia="zh-CN"/>
                    </w:rPr>
                    <w:t>食堂废水经隔油处理（1座2m</w:t>
                  </w:r>
                  <w:r>
                    <w:rPr>
                      <w:rFonts w:hint="eastAsia"/>
                      <w:bCs/>
                      <w:color w:val="auto"/>
                      <w:sz w:val="18"/>
                      <w:szCs w:val="18"/>
                      <w:vertAlign w:val="superscript"/>
                      <w:lang w:val="en-US" w:eastAsia="zh-CN"/>
                    </w:rPr>
                    <w:t>3</w:t>
                  </w:r>
                  <w:r>
                    <w:rPr>
                      <w:rFonts w:hint="eastAsia"/>
                      <w:bCs/>
                      <w:color w:val="auto"/>
                      <w:sz w:val="18"/>
                      <w:szCs w:val="18"/>
                      <w:lang w:val="en-US" w:eastAsia="zh-CN"/>
                    </w:rPr>
                    <w:t>隔油池）；</w:t>
                  </w:r>
                </w:p>
                <w:p w14:paraId="78186277">
                  <w:pPr>
                    <w:jc w:val="center"/>
                    <w:rPr>
                      <w:rFonts w:hint="eastAsia"/>
                      <w:bCs/>
                      <w:color w:val="auto"/>
                      <w:sz w:val="18"/>
                      <w:szCs w:val="18"/>
                      <w:lang w:val="en-US" w:eastAsia="zh-CN"/>
                    </w:rPr>
                  </w:pPr>
                  <w:r>
                    <w:rPr>
                      <w:rFonts w:hint="eastAsia"/>
                      <w:bCs/>
                      <w:color w:val="auto"/>
                      <w:sz w:val="18"/>
                      <w:szCs w:val="18"/>
                      <w:lang w:val="en-US" w:eastAsia="zh-CN"/>
                    </w:rPr>
                    <w:t>特殊性质废水采取预处理（二氧化氯消毒、石灰中和）；</w:t>
                  </w:r>
                </w:p>
                <w:p w14:paraId="4F3631E7">
                  <w:pPr>
                    <w:jc w:val="center"/>
                    <w:rPr>
                      <w:rFonts w:hint="default"/>
                      <w:bCs/>
                      <w:color w:val="auto"/>
                      <w:sz w:val="18"/>
                      <w:szCs w:val="18"/>
                      <w:lang w:val="en-US" w:eastAsia="zh-CN"/>
                    </w:rPr>
                  </w:pPr>
                  <w:r>
                    <w:rPr>
                      <w:rFonts w:hint="eastAsia"/>
                      <w:bCs/>
                      <w:color w:val="auto"/>
                      <w:sz w:val="18"/>
                      <w:szCs w:val="18"/>
                      <w:lang w:val="en-US" w:eastAsia="zh-CN"/>
                    </w:rPr>
                    <w:t>生活污水进入化粪池（1座50m</w:t>
                  </w:r>
                  <w:r>
                    <w:rPr>
                      <w:rFonts w:hint="eastAsia"/>
                      <w:bCs/>
                      <w:color w:val="auto"/>
                      <w:sz w:val="18"/>
                      <w:szCs w:val="18"/>
                      <w:vertAlign w:val="superscript"/>
                      <w:lang w:val="en-US" w:eastAsia="zh-CN"/>
                    </w:rPr>
                    <w:t>3</w:t>
                  </w:r>
                  <w:r>
                    <w:rPr>
                      <w:rFonts w:hint="eastAsia"/>
                      <w:bCs/>
                      <w:color w:val="auto"/>
                      <w:sz w:val="18"/>
                      <w:szCs w:val="18"/>
                      <w:lang w:val="en-US" w:eastAsia="zh-CN"/>
                    </w:rPr>
                    <w:t>化粪池）沉淀；</w:t>
                  </w:r>
                </w:p>
                <w:p w14:paraId="0611FD26">
                  <w:pPr>
                    <w:jc w:val="center"/>
                    <w:rPr>
                      <w:rFonts w:hint="default"/>
                      <w:bCs/>
                      <w:color w:val="auto"/>
                      <w:sz w:val="18"/>
                      <w:szCs w:val="18"/>
                      <w:lang w:val="en-US" w:eastAsia="zh-CN"/>
                    </w:rPr>
                  </w:pPr>
                  <w:r>
                    <w:rPr>
                      <w:rFonts w:hint="eastAsia"/>
                      <w:bCs/>
                      <w:color w:val="auto"/>
                      <w:sz w:val="18"/>
                      <w:szCs w:val="18"/>
                      <w:lang w:val="en-US" w:eastAsia="zh-CN"/>
                    </w:rPr>
                    <w:t>各类废水经预处理后，经管道进入污水处理站（处理规模200m</w:t>
                  </w:r>
                  <w:r>
                    <w:rPr>
                      <w:rFonts w:hint="eastAsia"/>
                      <w:bCs/>
                      <w:color w:val="auto"/>
                      <w:sz w:val="18"/>
                      <w:szCs w:val="18"/>
                      <w:vertAlign w:val="superscript"/>
                      <w:lang w:val="en-US" w:eastAsia="zh-CN"/>
                    </w:rPr>
                    <w:t>3</w:t>
                  </w:r>
                  <w:r>
                    <w:rPr>
                      <w:rFonts w:hint="eastAsia"/>
                      <w:bCs/>
                      <w:color w:val="auto"/>
                      <w:sz w:val="18"/>
                      <w:szCs w:val="18"/>
                      <w:lang w:val="en-US" w:eastAsia="zh-CN"/>
                    </w:rPr>
                    <w:t>/d）处理水质达到《医疗机构水污染物排放标准》（GB18466-2005）表2中预处理标准要求后进入园区污水管网，最终进入大同市开发区污水处理厂。</w:t>
                  </w:r>
                </w:p>
              </w:tc>
              <w:tc>
                <w:tcPr>
                  <w:tcW w:w="586" w:type="pct"/>
                  <w:vAlign w:val="center"/>
                </w:tcPr>
                <w:p w14:paraId="0B87E158">
                  <w:pPr>
                    <w:jc w:val="center"/>
                    <w:rPr>
                      <w:rFonts w:hint="default"/>
                      <w:bCs/>
                      <w:color w:val="auto"/>
                      <w:sz w:val="18"/>
                      <w:szCs w:val="18"/>
                      <w:lang w:val="en-US" w:eastAsia="zh-CN"/>
                    </w:rPr>
                  </w:pPr>
                  <w:r>
                    <w:rPr>
                      <w:rFonts w:hint="eastAsia"/>
                      <w:bCs/>
                      <w:color w:val="auto"/>
                      <w:sz w:val="18"/>
                      <w:szCs w:val="18"/>
                      <w:lang w:val="en-US" w:eastAsia="zh-CN"/>
                    </w:rPr>
                    <w:t>80</w:t>
                  </w:r>
                </w:p>
              </w:tc>
            </w:tr>
            <w:tr w14:paraId="3EC544B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7" w:hRule="atLeast"/>
                <w:jc w:val="center"/>
              </w:trPr>
              <w:tc>
                <w:tcPr>
                  <w:tcW w:w="358" w:type="pct"/>
                  <w:vMerge w:val="restart"/>
                  <w:vAlign w:val="center"/>
                </w:tcPr>
                <w:p w14:paraId="344798A4">
                  <w:pPr>
                    <w:jc w:val="center"/>
                    <w:rPr>
                      <w:bCs/>
                      <w:color w:val="auto"/>
                      <w:sz w:val="18"/>
                      <w:szCs w:val="18"/>
                    </w:rPr>
                  </w:pPr>
                  <w:r>
                    <w:rPr>
                      <w:bCs/>
                      <w:color w:val="auto"/>
                      <w:sz w:val="18"/>
                      <w:szCs w:val="18"/>
                    </w:rPr>
                    <w:t>固废</w:t>
                  </w:r>
                </w:p>
              </w:tc>
              <w:tc>
                <w:tcPr>
                  <w:tcW w:w="706" w:type="pct"/>
                  <w:vAlign w:val="center"/>
                </w:tcPr>
                <w:p w14:paraId="5B30999C">
                  <w:pPr>
                    <w:pStyle w:val="19"/>
                    <w:spacing w:after="0"/>
                    <w:ind w:left="0" w:leftChars="0"/>
                    <w:jc w:val="center"/>
                    <w:rPr>
                      <w:bCs/>
                      <w:color w:val="auto"/>
                      <w:kern w:val="2"/>
                      <w:sz w:val="18"/>
                      <w:szCs w:val="18"/>
                    </w:rPr>
                  </w:pPr>
                  <w:r>
                    <w:rPr>
                      <w:rFonts w:hint="eastAsia"/>
                      <w:bCs/>
                      <w:color w:val="auto"/>
                      <w:kern w:val="2"/>
                      <w:sz w:val="18"/>
                      <w:szCs w:val="18"/>
                    </w:rPr>
                    <w:t>生活垃圾</w:t>
                  </w:r>
                </w:p>
              </w:tc>
              <w:tc>
                <w:tcPr>
                  <w:tcW w:w="3347" w:type="pct"/>
                  <w:vAlign w:val="center"/>
                </w:tcPr>
                <w:p w14:paraId="5ADFF71E">
                  <w:pPr>
                    <w:pStyle w:val="19"/>
                    <w:spacing w:after="0"/>
                    <w:ind w:left="0" w:leftChars="0"/>
                    <w:jc w:val="center"/>
                    <w:rPr>
                      <w:bCs/>
                      <w:color w:val="auto"/>
                      <w:kern w:val="2"/>
                      <w:sz w:val="18"/>
                      <w:szCs w:val="18"/>
                    </w:rPr>
                  </w:pPr>
                  <w:r>
                    <w:rPr>
                      <w:rFonts w:hint="eastAsia"/>
                      <w:bCs/>
                      <w:color w:val="auto"/>
                      <w:kern w:val="2"/>
                      <w:sz w:val="18"/>
                      <w:szCs w:val="18"/>
                    </w:rPr>
                    <w:t>设封闭式垃圾箱，收集后由环卫部门处置</w:t>
                  </w:r>
                </w:p>
              </w:tc>
              <w:tc>
                <w:tcPr>
                  <w:tcW w:w="586" w:type="pct"/>
                  <w:vAlign w:val="center"/>
                </w:tcPr>
                <w:p w14:paraId="71DF5F55">
                  <w:pPr>
                    <w:jc w:val="center"/>
                    <w:rPr>
                      <w:rFonts w:hint="default" w:eastAsia="宋体"/>
                      <w:bCs/>
                      <w:color w:val="auto"/>
                      <w:sz w:val="18"/>
                      <w:szCs w:val="18"/>
                      <w:lang w:val="en-US" w:eastAsia="zh-CN"/>
                    </w:rPr>
                  </w:pPr>
                  <w:r>
                    <w:rPr>
                      <w:rFonts w:hint="eastAsia"/>
                      <w:bCs/>
                      <w:color w:val="auto"/>
                      <w:sz w:val="18"/>
                      <w:szCs w:val="18"/>
                      <w:lang w:val="en-US" w:eastAsia="zh-CN"/>
                    </w:rPr>
                    <w:t>5</w:t>
                  </w:r>
                </w:p>
              </w:tc>
            </w:tr>
            <w:tr w14:paraId="101BD4F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7" w:hRule="atLeast"/>
                <w:jc w:val="center"/>
              </w:trPr>
              <w:tc>
                <w:tcPr>
                  <w:tcW w:w="358" w:type="pct"/>
                  <w:vMerge w:val="continue"/>
                  <w:vAlign w:val="center"/>
                </w:tcPr>
                <w:p w14:paraId="56F7115A">
                  <w:pPr>
                    <w:jc w:val="center"/>
                    <w:rPr>
                      <w:bCs/>
                      <w:color w:val="auto"/>
                      <w:sz w:val="18"/>
                      <w:szCs w:val="18"/>
                    </w:rPr>
                  </w:pPr>
                </w:p>
              </w:tc>
              <w:tc>
                <w:tcPr>
                  <w:tcW w:w="706" w:type="pct"/>
                  <w:vAlign w:val="center"/>
                </w:tcPr>
                <w:p w14:paraId="08DF7563">
                  <w:pPr>
                    <w:pStyle w:val="19"/>
                    <w:spacing w:after="0"/>
                    <w:ind w:left="0" w:leftChars="0"/>
                    <w:jc w:val="center"/>
                    <w:rPr>
                      <w:bCs/>
                      <w:color w:val="auto"/>
                      <w:kern w:val="2"/>
                      <w:sz w:val="18"/>
                      <w:szCs w:val="18"/>
                    </w:rPr>
                  </w:pPr>
                  <w:r>
                    <w:rPr>
                      <w:rFonts w:hint="eastAsia"/>
                      <w:bCs/>
                      <w:color w:val="auto"/>
                      <w:kern w:val="2"/>
                      <w:sz w:val="18"/>
                      <w:szCs w:val="18"/>
                    </w:rPr>
                    <w:t>危险废物</w:t>
                  </w:r>
                </w:p>
              </w:tc>
              <w:tc>
                <w:tcPr>
                  <w:tcW w:w="3347" w:type="pct"/>
                  <w:vAlign w:val="center"/>
                </w:tcPr>
                <w:p w14:paraId="34355D30">
                  <w:pPr>
                    <w:keepNext w:val="0"/>
                    <w:keepLines w:val="0"/>
                    <w:widowControl/>
                    <w:suppressLineNumbers w:val="0"/>
                    <w:jc w:val="center"/>
                    <w:rPr>
                      <w:rFonts w:hint="eastAsia" w:ascii="Times New Roman" w:hAnsi="Times New Roman" w:eastAsia="宋体" w:cs="Times New Roman"/>
                      <w:bCs/>
                      <w:color w:val="auto"/>
                      <w:kern w:val="2"/>
                      <w:sz w:val="18"/>
                      <w:szCs w:val="18"/>
                      <w:lang w:val="en-US" w:eastAsia="zh-CN" w:bidi="ar-SA"/>
                    </w:rPr>
                  </w:pPr>
                  <w:r>
                    <w:rPr>
                      <w:rFonts w:hint="eastAsia" w:ascii="Times New Roman" w:hAnsi="Times New Roman" w:eastAsia="宋体" w:cs="Times New Roman"/>
                      <w:bCs/>
                      <w:color w:val="auto"/>
                      <w:kern w:val="2"/>
                      <w:sz w:val="18"/>
                      <w:szCs w:val="18"/>
                      <w:lang w:val="en-US" w:eastAsia="zh-CN" w:bidi="ar-SA"/>
                    </w:rPr>
                    <w:t>设置</w:t>
                  </w:r>
                  <w:r>
                    <w:rPr>
                      <w:rFonts w:hint="default" w:ascii="Times New Roman" w:hAnsi="Times New Roman" w:eastAsia="宋体" w:cs="Times New Roman"/>
                      <w:bCs/>
                      <w:color w:val="auto"/>
                      <w:kern w:val="2"/>
                      <w:sz w:val="18"/>
                      <w:szCs w:val="18"/>
                      <w:lang w:val="en-US" w:eastAsia="zh-CN" w:bidi="ar-SA"/>
                    </w:rPr>
                    <w:t>1</w:t>
                  </w:r>
                  <w:r>
                    <w:rPr>
                      <w:rFonts w:hint="eastAsia" w:ascii="Times New Roman" w:hAnsi="Times New Roman" w:eastAsia="宋体" w:cs="Times New Roman"/>
                      <w:bCs/>
                      <w:color w:val="auto"/>
                      <w:kern w:val="2"/>
                      <w:sz w:val="18"/>
                      <w:szCs w:val="18"/>
                      <w:lang w:val="en-US" w:eastAsia="zh-CN" w:bidi="ar-SA"/>
                    </w:rPr>
                    <w:t>座</w:t>
                  </w:r>
                  <w:r>
                    <w:rPr>
                      <w:rFonts w:hint="eastAsia" w:cs="Times New Roman"/>
                      <w:bCs/>
                      <w:color w:val="auto"/>
                      <w:kern w:val="2"/>
                      <w:sz w:val="18"/>
                      <w:szCs w:val="18"/>
                      <w:lang w:val="en-US" w:eastAsia="zh-CN" w:bidi="ar-SA"/>
                    </w:rPr>
                    <w:t>2</w:t>
                  </w:r>
                  <w:r>
                    <w:rPr>
                      <w:rFonts w:hint="default" w:ascii="Times New Roman" w:hAnsi="Times New Roman" w:eastAsia="宋体" w:cs="Times New Roman"/>
                      <w:bCs/>
                      <w:color w:val="auto"/>
                      <w:kern w:val="2"/>
                      <w:sz w:val="18"/>
                      <w:szCs w:val="18"/>
                      <w:lang w:val="en-US" w:eastAsia="zh-CN" w:bidi="ar-SA"/>
                    </w:rPr>
                    <w:t>0m</w:t>
                  </w:r>
                  <w:r>
                    <w:rPr>
                      <w:rFonts w:hint="default" w:ascii="Times New Roman" w:hAnsi="Times New Roman" w:eastAsia="宋体" w:cs="Times New Roman"/>
                      <w:bCs/>
                      <w:color w:val="auto"/>
                      <w:kern w:val="2"/>
                      <w:sz w:val="18"/>
                      <w:szCs w:val="18"/>
                      <w:vertAlign w:val="superscript"/>
                      <w:lang w:val="en-US" w:eastAsia="zh-CN" w:bidi="ar-SA"/>
                    </w:rPr>
                    <w:t>2</w:t>
                  </w:r>
                  <w:r>
                    <w:rPr>
                      <w:rFonts w:hint="default" w:ascii="Times New Roman" w:hAnsi="Times New Roman" w:eastAsia="宋体" w:cs="Times New Roman"/>
                      <w:bCs/>
                      <w:color w:val="auto"/>
                      <w:kern w:val="2"/>
                      <w:sz w:val="18"/>
                      <w:szCs w:val="18"/>
                      <w:lang w:val="en-US" w:eastAsia="zh-CN" w:bidi="ar-SA"/>
                    </w:rPr>
                    <w:t xml:space="preserve"> </w:t>
                  </w:r>
                  <w:r>
                    <w:rPr>
                      <w:rFonts w:hint="eastAsia" w:ascii="Times New Roman" w:hAnsi="Times New Roman" w:eastAsia="宋体" w:cs="Times New Roman"/>
                      <w:bCs/>
                      <w:color w:val="auto"/>
                      <w:kern w:val="2"/>
                      <w:sz w:val="18"/>
                      <w:szCs w:val="18"/>
                      <w:lang w:val="en-US" w:eastAsia="zh-CN" w:bidi="ar-SA"/>
                    </w:rPr>
                    <w:t>医疗废物</w:t>
                  </w:r>
                  <w:r>
                    <w:rPr>
                      <w:rFonts w:hint="eastAsia" w:cs="Times New Roman"/>
                      <w:bCs/>
                      <w:color w:val="auto"/>
                      <w:kern w:val="2"/>
                      <w:sz w:val="18"/>
                      <w:szCs w:val="18"/>
                      <w:lang w:val="en-US" w:eastAsia="zh-CN" w:bidi="ar-SA"/>
                    </w:rPr>
                    <w:t>贮存库</w:t>
                  </w:r>
                  <w:r>
                    <w:rPr>
                      <w:rFonts w:hint="eastAsia" w:ascii="Times New Roman" w:hAnsi="Times New Roman" w:eastAsia="宋体" w:cs="Times New Roman"/>
                      <w:bCs/>
                      <w:color w:val="auto"/>
                      <w:kern w:val="2"/>
                      <w:sz w:val="18"/>
                      <w:szCs w:val="18"/>
                      <w:lang w:val="en-US" w:eastAsia="zh-CN" w:bidi="ar-SA"/>
                    </w:rPr>
                    <w:t>，设专人收集管理，医疗垃圾、污水处理产生的污泥及栅渣等经收集后暂存于医疗废物暂存</w:t>
                  </w:r>
                </w:p>
                <w:p w14:paraId="5E0DD15C">
                  <w:pPr>
                    <w:keepNext w:val="0"/>
                    <w:keepLines w:val="0"/>
                    <w:widowControl/>
                    <w:suppressLineNumbers w:val="0"/>
                    <w:jc w:val="center"/>
                    <w:rPr>
                      <w:bCs/>
                      <w:color w:val="auto"/>
                      <w:kern w:val="2"/>
                      <w:sz w:val="18"/>
                      <w:szCs w:val="18"/>
                    </w:rPr>
                  </w:pPr>
                  <w:r>
                    <w:rPr>
                      <w:rFonts w:hint="eastAsia" w:ascii="Times New Roman" w:hAnsi="Times New Roman" w:eastAsia="宋体" w:cs="Times New Roman"/>
                      <w:bCs/>
                      <w:color w:val="auto"/>
                      <w:kern w:val="2"/>
                      <w:sz w:val="18"/>
                      <w:szCs w:val="18"/>
                      <w:lang w:val="en-US" w:eastAsia="zh-CN" w:bidi="ar-SA"/>
                    </w:rPr>
                    <w:t>间内，委托有资质单位清运处理</w:t>
                  </w:r>
                  <w:r>
                    <w:rPr>
                      <w:rFonts w:hint="eastAsia" w:cs="Times New Roman"/>
                      <w:bCs/>
                      <w:color w:val="auto"/>
                      <w:kern w:val="2"/>
                      <w:sz w:val="18"/>
                      <w:szCs w:val="18"/>
                      <w:lang w:val="en-US" w:eastAsia="zh-CN" w:bidi="ar-SA"/>
                    </w:rPr>
                    <w:t>。</w:t>
                  </w:r>
                </w:p>
              </w:tc>
              <w:tc>
                <w:tcPr>
                  <w:tcW w:w="586" w:type="pct"/>
                  <w:vAlign w:val="center"/>
                </w:tcPr>
                <w:p w14:paraId="3B906A2B">
                  <w:pPr>
                    <w:jc w:val="center"/>
                    <w:rPr>
                      <w:rFonts w:hint="default" w:eastAsia="宋体"/>
                      <w:bCs/>
                      <w:color w:val="auto"/>
                      <w:sz w:val="18"/>
                      <w:szCs w:val="18"/>
                      <w:lang w:val="en-US" w:eastAsia="zh-CN"/>
                    </w:rPr>
                  </w:pPr>
                  <w:r>
                    <w:rPr>
                      <w:rFonts w:hint="eastAsia"/>
                      <w:bCs/>
                      <w:color w:val="auto"/>
                      <w:sz w:val="18"/>
                      <w:szCs w:val="18"/>
                      <w:lang w:val="en-US" w:eastAsia="zh-CN"/>
                    </w:rPr>
                    <w:t>10</w:t>
                  </w:r>
                </w:p>
              </w:tc>
            </w:tr>
            <w:tr w14:paraId="34F94AD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7" w:hRule="atLeast"/>
                <w:jc w:val="center"/>
              </w:trPr>
              <w:tc>
                <w:tcPr>
                  <w:tcW w:w="358" w:type="pct"/>
                  <w:vAlign w:val="center"/>
                </w:tcPr>
                <w:p w14:paraId="41FFA998">
                  <w:pPr>
                    <w:jc w:val="center"/>
                    <w:rPr>
                      <w:bCs/>
                      <w:color w:val="auto"/>
                      <w:sz w:val="18"/>
                      <w:szCs w:val="18"/>
                    </w:rPr>
                  </w:pPr>
                  <w:r>
                    <w:rPr>
                      <w:bCs/>
                      <w:color w:val="auto"/>
                      <w:sz w:val="18"/>
                      <w:szCs w:val="18"/>
                    </w:rPr>
                    <w:t>噪声</w:t>
                  </w:r>
                </w:p>
              </w:tc>
              <w:tc>
                <w:tcPr>
                  <w:tcW w:w="706" w:type="pct"/>
                  <w:vAlign w:val="center"/>
                </w:tcPr>
                <w:p w14:paraId="66DF8AF1">
                  <w:pPr>
                    <w:pStyle w:val="19"/>
                    <w:spacing w:after="0"/>
                    <w:ind w:left="0" w:leftChars="0"/>
                    <w:jc w:val="center"/>
                    <w:rPr>
                      <w:bCs/>
                      <w:color w:val="auto"/>
                      <w:kern w:val="2"/>
                      <w:sz w:val="18"/>
                      <w:szCs w:val="18"/>
                    </w:rPr>
                  </w:pPr>
                  <w:r>
                    <w:rPr>
                      <w:bCs/>
                      <w:color w:val="auto"/>
                      <w:kern w:val="2"/>
                      <w:sz w:val="18"/>
                      <w:szCs w:val="18"/>
                    </w:rPr>
                    <w:t>生产设备</w:t>
                  </w:r>
                </w:p>
              </w:tc>
              <w:tc>
                <w:tcPr>
                  <w:tcW w:w="3347" w:type="pct"/>
                  <w:vAlign w:val="center"/>
                </w:tcPr>
                <w:p w14:paraId="2EF14C9B">
                  <w:pPr>
                    <w:pStyle w:val="19"/>
                    <w:spacing w:after="0"/>
                    <w:ind w:left="0" w:leftChars="0"/>
                    <w:jc w:val="center"/>
                    <w:rPr>
                      <w:bCs/>
                      <w:color w:val="auto"/>
                      <w:kern w:val="2"/>
                      <w:sz w:val="18"/>
                      <w:szCs w:val="18"/>
                    </w:rPr>
                  </w:pPr>
                  <w:r>
                    <w:rPr>
                      <w:bCs/>
                      <w:color w:val="auto"/>
                      <w:kern w:val="2"/>
                      <w:sz w:val="18"/>
                      <w:szCs w:val="18"/>
                    </w:rPr>
                    <w:t>选用低噪设备，基础减振，风机消声，厂房隔声等措施</w:t>
                  </w:r>
                </w:p>
              </w:tc>
              <w:tc>
                <w:tcPr>
                  <w:tcW w:w="586" w:type="pct"/>
                  <w:vAlign w:val="center"/>
                </w:tcPr>
                <w:p w14:paraId="23133E1E">
                  <w:pPr>
                    <w:jc w:val="center"/>
                    <w:rPr>
                      <w:rFonts w:hint="default" w:eastAsia="宋体"/>
                      <w:bCs/>
                      <w:color w:val="auto"/>
                      <w:sz w:val="18"/>
                      <w:szCs w:val="18"/>
                      <w:lang w:val="en-US" w:eastAsia="zh-CN"/>
                    </w:rPr>
                  </w:pPr>
                  <w:r>
                    <w:rPr>
                      <w:rFonts w:hint="eastAsia"/>
                      <w:bCs/>
                      <w:color w:val="auto"/>
                      <w:sz w:val="18"/>
                      <w:szCs w:val="18"/>
                      <w:lang w:val="en-US" w:eastAsia="zh-CN"/>
                    </w:rPr>
                    <w:t>10</w:t>
                  </w:r>
                </w:p>
              </w:tc>
            </w:tr>
            <w:tr w14:paraId="10AEC80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7" w:hRule="atLeast"/>
                <w:jc w:val="center"/>
              </w:trPr>
              <w:tc>
                <w:tcPr>
                  <w:tcW w:w="1065" w:type="pct"/>
                  <w:gridSpan w:val="2"/>
                  <w:vAlign w:val="center"/>
                </w:tcPr>
                <w:p w14:paraId="4432E50F">
                  <w:pPr>
                    <w:pStyle w:val="19"/>
                    <w:spacing w:after="0"/>
                    <w:ind w:left="0" w:leftChars="0"/>
                    <w:jc w:val="center"/>
                    <w:rPr>
                      <w:bCs/>
                      <w:color w:val="auto"/>
                      <w:kern w:val="2"/>
                      <w:sz w:val="18"/>
                      <w:szCs w:val="18"/>
                    </w:rPr>
                  </w:pPr>
                  <w:r>
                    <w:rPr>
                      <w:rFonts w:hint="eastAsia"/>
                      <w:bCs/>
                      <w:color w:val="auto"/>
                      <w:sz w:val="18"/>
                      <w:szCs w:val="18"/>
                      <w:lang w:val="en-US" w:eastAsia="zh-CN"/>
                    </w:rPr>
                    <w:t>地下水、土壤</w:t>
                  </w:r>
                </w:p>
              </w:tc>
              <w:tc>
                <w:tcPr>
                  <w:tcW w:w="3347" w:type="pct"/>
                  <w:vAlign w:val="center"/>
                </w:tcPr>
                <w:p w14:paraId="08D1A93C">
                  <w:pPr>
                    <w:jc w:val="center"/>
                    <w:rPr>
                      <w:rFonts w:hint="eastAsia"/>
                      <w:bCs/>
                      <w:color w:val="auto"/>
                      <w:sz w:val="18"/>
                      <w:szCs w:val="18"/>
                      <w:lang w:val="en-US" w:eastAsia="zh-CN"/>
                    </w:rPr>
                  </w:pPr>
                  <w:r>
                    <w:rPr>
                      <w:rFonts w:hint="eastAsia"/>
                      <w:bCs/>
                      <w:color w:val="auto"/>
                      <w:sz w:val="18"/>
                      <w:szCs w:val="18"/>
                      <w:lang w:val="en-US" w:eastAsia="zh-CN"/>
                    </w:rPr>
                    <w:t>分区防渗；重点防渗区包括：污水处理设施、医疗废物暂存间、 污水管道；</w:t>
                  </w:r>
                </w:p>
              </w:tc>
              <w:tc>
                <w:tcPr>
                  <w:tcW w:w="586" w:type="pct"/>
                  <w:vAlign w:val="center"/>
                </w:tcPr>
                <w:p w14:paraId="4C48930D">
                  <w:pPr>
                    <w:jc w:val="center"/>
                    <w:rPr>
                      <w:rFonts w:hint="default"/>
                      <w:bCs/>
                      <w:color w:val="auto"/>
                      <w:sz w:val="18"/>
                      <w:szCs w:val="18"/>
                      <w:lang w:val="en-US" w:eastAsia="zh-CN"/>
                    </w:rPr>
                  </w:pPr>
                  <w:r>
                    <w:rPr>
                      <w:rFonts w:hint="eastAsia"/>
                      <w:bCs/>
                      <w:color w:val="auto"/>
                      <w:sz w:val="18"/>
                      <w:szCs w:val="18"/>
                      <w:lang w:val="en-US" w:eastAsia="zh-CN"/>
                    </w:rPr>
                    <w:t>50</w:t>
                  </w:r>
                </w:p>
              </w:tc>
            </w:tr>
            <w:tr w14:paraId="182AF02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7" w:hRule="atLeast"/>
                <w:jc w:val="center"/>
              </w:trPr>
              <w:tc>
                <w:tcPr>
                  <w:tcW w:w="1065" w:type="pct"/>
                  <w:gridSpan w:val="2"/>
                  <w:vAlign w:val="center"/>
                </w:tcPr>
                <w:p w14:paraId="53C7B84B">
                  <w:pPr>
                    <w:pStyle w:val="19"/>
                    <w:spacing w:after="0"/>
                    <w:ind w:left="0" w:leftChars="0"/>
                    <w:jc w:val="center"/>
                    <w:rPr>
                      <w:rFonts w:hint="default"/>
                      <w:bCs/>
                      <w:color w:val="auto"/>
                      <w:sz w:val="18"/>
                      <w:szCs w:val="18"/>
                      <w:lang w:val="en-US" w:eastAsia="zh-CN"/>
                    </w:rPr>
                  </w:pPr>
                  <w:r>
                    <w:rPr>
                      <w:rFonts w:hint="eastAsia"/>
                      <w:bCs/>
                      <w:color w:val="auto"/>
                      <w:sz w:val="18"/>
                      <w:szCs w:val="18"/>
                      <w:lang w:val="en-US" w:eastAsia="zh-CN"/>
                    </w:rPr>
                    <w:t>其他</w:t>
                  </w:r>
                </w:p>
              </w:tc>
              <w:tc>
                <w:tcPr>
                  <w:tcW w:w="3347" w:type="pct"/>
                  <w:vAlign w:val="center"/>
                </w:tcPr>
                <w:p w14:paraId="16BDD8E5">
                  <w:pPr>
                    <w:jc w:val="center"/>
                    <w:rPr>
                      <w:rFonts w:hint="default"/>
                      <w:bCs/>
                      <w:color w:val="auto"/>
                      <w:sz w:val="18"/>
                      <w:szCs w:val="18"/>
                      <w:lang w:val="en-US" w:eastAsia="zh-CN"/>
                    </w:rPr>
                  </w:pPr>
                  <w:r>
                    <w:rPr>
                      <w:rFonts w:hint="eastAsia"/>
                      <w:bCs/>
                      <w:color w:val="auto"/>
                      <w:sz w:val="18"/>
                      <w:szCs w:val="18"/>
                      <w:lang w:val="en-US" w:eastAsia="zh-CN"/>
                    </w:rPr>
                    <w:t>绿化面积14000m</w:t>
                  </w:r>
                  <w:r>
                    <w:rPr>
                      <w:rFonts w:hint="eastAsia"/>
                      <w:bCs/>
                      <w:color w:val="auto"/>
                      <w:sz w:val="18"/>
                      <w:szCs w:val="18"/>
                      <w:vertAlign w:val="superscript"/>
                      <w:lang w:val="en-US" w:eastAsia="zh-CN"/>
                    </w:rPr>
                    <w:t>2</w:t>
                  </w:r>
                </w:p>
              </w:tc>
              <w:tc>
                <w:tcPr>
                  <w:tcW w:w="586" w:type="pct"/>
                  <w:vAlign w:val="center"/>
                </w:tcPr>
                <w:p w14:paraId="59D7874B">
                  <w:pPr>
                    <w:jc w:val="center"/>
                    <w:rPr>
                      <w:rFonts w:hint="default"/>
                      <w:bCs/>
                      <w:color w:val="auto"/>
                      <w:sz w:val="18"/>
                      <w:szCs w:val="18"/>
                      <w:lang w:val="en-US" w:eastAsia="zh-CN"/>
                    </w:rPr>
                  </w:pPr>
                  <w:r>
                    <w:rPr>
                      <w:rFonts w:hint="eastAsia"/>
                      <w:bCs/>
                      <w:color w:val="auto"/>
                      <w:sz w:val="18"/>
                      <w:szCs w:val="18"/>
                      <w:lang w:val="en-US" w:eastAsia="zh-CN"/>
                    </w:rPr>
                    <w:t>85</w:t>
                  </w:r>
                </w:p>
              </w:tc>
            </w:tr>
            <w:tr w14:paraId="22402F7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7" w:hRule="atLeast"/>
                <w:jc w:val="center"/>
              </w:trPr>
              <w:tc>
                <w:tcPr>
                  <w:tcW w:w="1065" w:type="pct"/>
                  <w:gridSpan w:val="2"/>
                  <w:vAlign w:val="center"/>
                </w:tcPr>
                <w:p w14:paraId="7D2A190E">
                  <w:pPr>
                    <w:pStyle w:val="19"/>
                    <w:spacing w:after="0"/>
                    <w:ind w:left="0" w:leftChars="0"/>
                    <w:jc w:val="center"/>
                    <w:rPr>
                      <w:rFonts w:hint="default"/>
                      <w:bCs/>
                      <w:color w:val="auto"/>
                      <w:sz w:val="18"/>
                      <w:szCs w:val="18"/>
                      <w:lang w:val="en-US" w:eastAsia="zh-CN"/>
                    </w:rPr>
                  </w:pPr>
                  <w:r>
                    <w:rPr>
                      <w:rFonts w:hint="eastAsia"/>
                      <w:bCs/>
                      <w:color w:val="auto"/>
                      <w:sz w:val="18"/>
                      <w:szCs w:val="18"/>
                      <w:lang w:val="en-US" w:eastAsia="zh-CN"/>
                    </w:rPr>
                    <w:t>总计</w:t>
                  </w:r>
                </w:p>
              </w:tc>
              <w:tc>
                <w:tcPr>
                  <w:tcW w:w="3347" w:type="pct"/>
                  <w:vAlign w:val="center"/>
                </w:tcPr>
                <w:p w14:paraId="25A5E3C4">
                  <w:pPr>
                    <w:jc w:val="center"/>
                    <w:rPr>
                      <w:rFonts w:hint="default"/>
                      <w:bCs/>
                      <w:color w:val="auto"/>
                      <w:sz w:val="18"/>
                      <w:szCs w:val="18"/>
                      <w:lang w:val="en-US" w:eastAsia="zh-CN"/>
                    </w:rPr>
                  </w:pPr>
                  <w:r>
                    <w:rPr>
                      <w:rFonts w:hint="eastAsia"/>
                      <w:bCs/>
                      <w:color w:val="auto"/>
                      <w:sz w:val="18"/>
                      <w:szCs w:val="18"/>
                      <w:lang w:val="en-US" w:eastAsia="zh-CN"/>
                    </w:rPr>
                    <w:t>-</w:t>
                  </w:r>
                </w:p>
              </w:tc>
              <w:tc>
                <w:tcPr>
                  <w:tcW w:w="586" w:type="pct"/>
                  <w:vAlign w:val="center"/>
                </w:tcPr>
                <w:p w14:paraId="6A4767EC">
                  <w:pPr>
                    <w:jc w:val="center"/>
                    <w:rPr>
                      <w:rFonts w:hint="default"/>
                      <w:bCs/>
                      <w:color w:val="auto"/>
                      <w:sz w:val="18"/>
                      <w:szCs w:val="18"/>
                      <w:lang w:val="en-US" w:eastAsia="zh-CN"/>
                    </w:rPr>
                  </w:pPr>
                  <w:r>
                    <w:rPr>
                      <w:rFonts w:hint="eastAsia"/>
                      <w:bCs/>
                      <w:color w:val="auto"/>
                      <w:sz w:val="18"/>
                      <w:szCs w:val="18"/>
                      <w:lang w:val="en-US" w:eastAsia="zh-CN"/>
                    </w:rPr>
                    <w:t>280</w:t>
                  </w:r>
                </w:p>
              </w:tc>
            </w:tr>
          </w:tbl>
          <w:p w14:paraId="514B4992">
            <w:pPr>
              <w:widowControl/>
              <w:snapToGrid w:val="0"/>
              <w:spacing w:line="360" w:lineRule="auto"/>
              <w:ind w:firstLine="420" w:firstLineChars="200"/>
              <w:rPr>
                <w:color w:val="auto"/>
                <w:szCs w:val="21"/>
              </w:rPr>
            </w:pPr>
          </w:p>
          <w:p w14:paraId="6C183FB1">
            <w:pPr>
              <w:rPr>
                <w:color w:val="auto"/>
                <w:szCs w:val="21"/>
              </w:rPr>
            </w:pPr>
          </w:p>
          <w:p w14:paraId="19C96A20">
            <w:pPr>
              <w:rPr>
                <w:color w:val="auto"/>
                <w:szCs w:val="21"/>
              </w:rPr>
            </w:pPr>
          </w:p>
          <w:p w14:paraId="242063D7">
            <w:pPr>
              <w:rPr>
                <w:color w:val="auto"/>
                <w:szCs w:val="21"/>
              </w:rPr>
            </w:pPr>
          </w:p>
          <w:p w14:paraId="7E9E13AF">
            <w:pPr>
              <w:rPr>
                <w:color w:val="auto"/>
                <w:szCs w:val="21"/>
              </w:rPr>
            </w:pPr>
          </w:p>
          <w:p w14:paraId="27CE1FFA">
            <w:pPr>
              <w:rPr>
                <w:color w:val="auto"/>
                <w:szCs w:val="21"/>
              </w:rPr>
            </w:pPr>
          </w:p>
          <w:p w14:paraId="680A5696">
            <w:pPr>
              <w:rPr>
                <w:color w:val="auto"/>
                <w:szCs w:val="21"/>
              </w:rPr>
            </w:pPr>
          </w:p>
          <w:p w14:paraId="4B49E852">
            <w:pPr>
              <w:rPr>
                <w:color w:val="auto"/>
                <w:szCs w:val="21"/>
              </w:rPr>
            </w:pPr>
          </w:p>
        </w:tc>
      </w:tr>
    </w:tbl>
    <w:p w14:paraId="68E4D052">
      <w:pPr>
        <w:adjustRightInd w:val="0"/>
        <w:snapToGrid w:val="0"/>
        <w:spacing w:line="360" w:lineRule="auto"/>
        <w:rPr>
          <w:b/>
          <w:kern w:val="0"/>
          <w:sz w:val="28"/>
          <w:szCs w:val="28"/>
        </w:rPr>
        <w:sectPr>
          <w:pgSz w:w="11907" w:h="16840"/>
          <w:pgMar w:top="1701" w:right="1531" w:bottom="2127"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329B43C0">
      <w:pPr>
        <w:pStyle w:val="41"/>
        <w:jc w:val="center"/>
        <w:outlineLvl w:val="0"/>
        <w:rPr>
          <w:rFonts w:ascii="Times New Roman" w:hAnsi="Times New Roman" w:eastAsia="黑体"/>
          <w:snapToGrid w:val="0"/>
          <w:sz w:val="30"/>
          <w:szCs w:val="30"/>
        </w:rPr>
      </w:pPr>
      <w:bookmarkStart w:id="7" w:name="_Toc6666"/>
      <w:r>
        <w:rPr>
          <w:rFonts w:ascii="Times New Roman" w:hAnsi="Times New Roman" w:eastAsia="黑体"/>
          <w:snapToGrid w:val="0"/>
          <w:sz w:val="30"/>
          <w:szCs w:val="30"/>
        </w:rPr>
        <w:t>五、</w:t>
      </w:r>
      <w:bookmarkStart w:id="8" w:name="_Hlk54167917"/>
      <w:r>
        <w:rPr>
          <w:rFonts w:ascii="Times New Roman" w:hAnsi="Times New Roman" w:eastAsia="黑体"/>
          <w:snapToGrid w:val="0"/>
          <w:sz w:val="30"/>
          <w:szCs w:val="30"/>
        </w:rPr>
        <w:t>环境保护措施监督检查清单</w:t>
      </w:r>
      <w:bookmarkEnd w:id="7"/>
      <w:bookmarkEnd w:id="8"/>
    </w:p>
    <w:tbl>
      <w:tblPr>
        <w:tblStyle w:val="47"/>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778"/>
        <w:gridCol w:w="1755"/>
        <w:gridCol w:w="1407"/>
        <w:gridCol w:w="2103"/>
        <w:gridCol w:w="1757"/>
      </w:tblGrid>
      <w:tr w14:paraId="405EF35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tcBorders>
              <w:tl2br w:val="single" w:color="auto" w:sz="4" w:space="0"/>
            </w:tcBorders>
          </w:tcPr>
          <w:p w14:paraId="0362DB93">
            <w:pPr>
              <w:adjustRightInd w:val="0"/>
              <w:snapToGrid w:val="0"/>
              <w:ind w:firstLine="840"/>
              <w:rPr>
                <w:color w:val="auto"/>
                <w:szCs w:val="21"/>
              </w:rPr>
            </w:pPr>
            <w:r>
              <w:rPr>
                <w:color w:val="auto"/>
                <w:szCs w:val="21"/>
              </w:rPr>
              <w:t>内容</w:t>
            </w:r>
          </w:p>
          <w:p w14:paraId="2C774736">
            <w:pPr>
              <w:adjustRightInd w:val="0"/>
              <w:snapToGrid w:val="0"/>
              <w:rPr>
                <w:color w:val="auto"/>
                <w:szCs w:val="21"/>
              </w:rPr>
            </w:pPr>
            <w:r>
              <w:rPr>
                <w:color w:val="auto"/>
                <w:szCs w:val="21"/>
              </w:rPr>
              <w:t>要素</w:t>
            </w:r>
          </w:p>
        </w:tc>
        <w:tc>
          <w:tcPr>
            <w:tcW w:w="1755" w:type="dxa"/>
            <w:vAlign w:val="center"/>
          </w:tcPr>
          <w:p w14:paraId="5FBCE108">
            <w:pPr>
              <w:adjustRightInd w:val="0"/>
              <w:snapToGrid w:val="0"/>
              <w:jc w:val="center"/>
              <w:rPr>
                <w:color w:val="auto"/>
                <w:szCs w:val="21"/>
              </w:rPr>
            </w:pPr>
            <w:r>
              <w:rPr>
                <w:color w:val="auto"/>
                <w:szCs w:val="21"/>
              </w:rPr>
              <w:t>排放口(编号、</w:t>
            </w:r>
          </w:p>
          <w:p w14:paraId="61CA2578">
            <w:pPr>
              <w:adjustRightInd w:val="0"/>
              <w:snapToGrid w:val="0"/>
              <w:jc w:val="center"/>
              <w:rPr>
                <w:color w:val="auto"/>
                <w:szCs w:val="21"/>
              </w:rPr>
            </w:pPr>
            <w:r>
              <w:rPr>
                <w:color w:val="auto"/>
                <w:szCs w:val="21"/>
              </w:rPr>
              <w:t>名称)/污染源</w:t>
            </w:r>
          </w:p>
        </w:tc>
        <w:tc>
          <w:tcPr>
            <w:tcW w:w="1407" w:type="dxa"/>
            <w:vAlign w:val="center"/>
          </w:tcPr>
          <w:p w14:paraId="7BA177AC">
            <w:pPr>
              <w:adjustRightInd w:val="0"/>
              <w:snapToGrid w:val="0"/>
              <w:jc w:val="center"/>
              <w:rPr>
                <w:color w:val="auto"/>
                <w:szCs w:val="21"/>
              </w:rPr>
            </w:pPr>
            <w:r>
              <w:rPr>
                <w:color w:val="auto"/>
                <w:szCs w:val="21"/>
              </w:rPr>
              <w:t>污染物项目</w:t>
            </w:r>
          </w:p>
        </w:tc>
        <w:tc>
          <w:tcPr>
            <w:tcW w:w="2103" w:type="dxa"/>
            <w:vAlign w:val="center"/>
          </w:tcPr>
          <w:p w14:paraId="1B0C73DC">
            <w:pPr>
              <w:adjustRightInd w:val="0"/>
              <w:snapToGrid w:val="0"/>
              <w:jc w:val="center"/>
              <w:rPr>
                <w:color w:val="auto"/>
                <w:szCs w:val="21"/>
              </w:rPr>
            </w:pPr>
            <w:r>
              <w:rPr>
                <w:color w:val="auto"/>
                <w:szCs w:val="21"/>
              </w:rPr>
              <w:t>环境保护措施</w:t>
            </w:r>
          </w:p>
        </w:tc>
        <w:tc>
          <w:tcPr>
            <w:tcW w:w="1757" w:type="dxa"/>
            <w:vAlign w:val="center"/>
          </w:tcPr>
          <w:p w14:paraId="3C7D222E">
            <w:pPr>
              <w:adjustRightInd w:val="0"/>
              <w:snapToGrid w:val="0"/>
              <w:jc w:val="center"/>
              <w:rPr>
                <w:color w:val="auto"/>
                <w:szCs w:val="21"/>
              </w:rPr>
            </w:pPr>
            <w:r>
              <w:rPr>
                <w:color w:val="auto"/>
                <w:szCs w:val="21"/>
              </w:rPr>
              <w:t>执行标准</w:t>
            </w:r>
          </w:p>
        </w:tc>
      </w:tr>
      <w:tr w14:paraId="68DC691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restart"/>
            <w:vAlign w:val="center"/>
          </w:tcPr>
          <w:p w14:paraId="329813F3">
            <w:pPr>
              <w:adjustRightInd w:val="0"/>
              <w:snapToGrid w:val="0"/>
              <w:jc w:val="center"/>
              <w:rPr>
                <w:color w:val="auto"/>
                <w:szCs w:val="21"/>
              </w:rPr>
            </w:pPr>
            <w:r>
              <w:rPr>
                <w:color w:val="auto"/>
                <w:szCs w:val="21"/>
              </w:rPr>
              <w:t>大气环境</w:t>
            </w:r>
          </w:p>
        </w:tc>
        <w:tc>
          <w:tcPr>
            <w:tcW w:w="1755" w:type="dxa"/>
            <w:vAlign w:val="center"/>
          </w:tcPr>
          <w:p w14:paraId="446609A0">
            <w:pPr>
              <w:snapToGrid w:val="0"/>
              <w:jc w:val="center"/>
              <w:rPr>
                <w:rFonts w:hint="default" w:eastAsia="宋体"/>
                <w:color w:val="auto"/>
                <w:szCs w:val="21"/>
                <w:lang w:val="en-US" w:eastAsia="zh-CN"/>
              </w:rPr>
            </w:pPr>
            <w:r>
              <w:rPr>
                <w:rFonts w:hint="eastAsia"/>
                <w:color w:val="auto"/>
                <w:szCs w:val="21"/>
                <w:lang w:val="en-US" w:eastAsia="zh-CN"/>
              </w:rPr>
              <w:t>污水处理站</w:t>
            </w:r>
          </w:p>
        </w:tc>
        <w:tc>
          <w:tcPr>
            <w:tcW w:w="1407" w:type="dxa"/>
            <w:vAlign w:val="center"/>
          </w:tcPr>
          <w:p w14:paraId="1AFD466C">
            <w:pPr>
              <w:snapToGrid w:val="0"/>
              <w:jc w:val="center"/>
              <w:rPr>
                <w:rFonts w:hint="default" w:eastAsia="宋体"/>
                <w:color w:val="auto"/>
                <w:szCs w:val="21"/>
                <w:lang w:val="en-US" w:eastAsia="zh-CN"/>
              </w:rPr>
            </w:pPr>
            <w:r>
              <w:rPr>
                <w:rFonts w:hint="eastAsia"/>
                <w:color w:val="auto"/>
                <w:szCs w:val="21"/>
                <w:lang w:val="en-US" w:eastAsia="zh-CN"/>
              </w:rPr>
              <w:t>氨、硫化氢、臭气浓度等</w:t>
            </w:r>
          </w:p>
        </w:tc>
        <w:tc>
          <w:tcPr>
            <w:tcW w:w="2103" w:type="dxa"/>
            <w:vAlign w:val="center"/>
          </w:tcPr>
          <w:p w14:paraId="0F8ABE42">
            <w:pPr>
              <w:snapToGrid w:val="0"/>
              <w:jc w:val="center"/>
              <w:rPr>
                <w:rFonts w:ascii="宋体" w:hAnsi="宋体" w:cs="宋体"/>
                <w:color w:val="auto"/>
                <w:szCs w:val="21"/>
              </w:rPr>
            </w:pPr>
            <w:r>
              <w:rPr>
                <w:rFonts w:hint="eastAsia"/>
                <w:color w:val="auto"/>
                <w:szCs w:val="21"/>
                <w:lang w:val="en-US" w:eastAsia="zh-CN"/>
              </w:rPr>
              <w:t>各池体密闭、定期投加除臭剂、加强周边绿化</w:t>
            </w:r>
            <w:r>
              <w:rPr>
                <w:rFonts w:hint="eastAsia"/>
                <w:color w:val="auto"/>
                <w:szCs w:val="21"/>
              </w:rPr>
              <w:t>。</w:t>
            </w:r>
          </w:p>
        </w:tc>
        <w:tc>
          <w:tcPr>
            <w:tcW w:w="1757" w:type="dxa"/>
            <w:vAlign w:val="center"/>
          </w:tcPr>
          <w:p w14:paraId="698C6172">
            <w:pPr>
              <w:snapToGrid w:val="0"/>
              <w:jc w:val="center"/>
              <w:rPr>
                <w:rFonts w:hint="eastAsia"/>
                <w:color w:val="auto"/>
                <w:szCs w:val="21"/>
                <w:lang w:val="en-US" w:eastAsia="zh-CN"/>
              </w:rPr>
            </w:pPr>
            <w:r>
              <w:rPr>
                <w:rFonts w:hint="eastAsia"/>
                <w:color w:val="auto"/>
                <w:szCs w:val="21"/>
              </w:rPr>
              <w:t>《</w:t>
            </w:r>
            <w:r>
              <w:rPr>
                <w:rFonts w:hint="eastAsia"/>
                <w:color w:val="auto"/>
                <w:szCs w:val="21"/>
                <w:lang w:val="en-US" w:eastAsia="zh-CN"/>
              </w:rPr>
              <w:t>恶臭污染物</w:t>
            </w:r>
            <w:r>
              <w:rPr>
                <w:rFonts w:hint="eastAsia"/>
                <w:color w:val="auto"/>
                <w:szCs w:val="21"/>
              </w:rPr>
              <w:t>排放标准》（GB</w:t>
            </w:r>
            <w:r>
              <w:rPr>
                <w:rFonts w:hint="eastAsia"/>
                <w:color w:val="auto"/>
                <w:szCs w:val="21"/>
                <w:lang w:val="en-US" w:eastAsia="zh-CN"/>
              </w:rPr>
              <w:t>14554-93</w:t>
            </w:r>
            <w:r>
              <w:rPr>
                <w:rFonts w:hint="eastAsia"/>
                <w:color w:val="auto"/>
                <w:szCs w:val="21"/>
              </w:rPr>
              <w:t>）</w:t>
            </w:r>
            <w:r>
              <w:rPr>
                <w:rFonts w:hint="eastAsia"/>
                <w:color w:val="auto"/>
                <w:szCs w:val="21"/>
                <w:lang w:val="en-US" w:eastAsia="zh-CN"/>
              </w:rPr>
              <w:t>表1标准要求；</w:t>
            </w:r>
          </w:p>
          <w:p w14:paraId="01AC806D">
            <w:pPr>
              <w:snapToGrid w:val="0"/>
              <w:jc w:val="center"/>
              <w:rPr>
                <w:rFonts w:hint="eastAsia"/>
                <w:color w:val="auto"/>
                <w:szCs w:val="21"/>
                <w:lang w:val="en-US" w:eastAsia="zh-CN"/>
              </w:rPr>
            </w:pPr>
            <w:r>
              <w:rPr>
                <w:rFonts w:hint="eastAsia"/>
                <w:color w:val="auto"/>
                <w:szCs w:val="21"/>
                <w:lang w:val="en-US" w:eastAsia="zh-CN"/>
              </w:rPr>
              <w:t>《医疗机构水污染物排放标准》（</w:t>
            </w:r>
            <w:r>
              <w:rPr>
                <w:rFonts w:hint="default"/>
                <w:color w:val="auto"/>
                <w:szCs w:val="21"/>
                <w:lang w:val="en-US" w:eastAsia="zh-CN"/>
              </w:rPr>
              <w:t>GB18466-2005</w:t>
            </w:r>
            <w:r>
              <w:rPr>
                <w:rFonts w:hint="eastAsia"/>
                <w:color w:val="auto"/>
                <w:szCs w:val="21"/>
                <w:lang w:val="en-US" w:eastAsia="zh-CN"/>
              </w:rPr>
              <w:t>）</w:t>
            </w:r>
          </w:p>
          <w:p w14:paraId="3006E354">
            <w:pPr>
              <w:snapToGrid w:val="0"/>
              <w:jc w:val="center"/>
              <w:rPr>
                <w:rFonts w:hint="eastAsia"/>
                <w:color w:val="auto"/>
                <w:szCs w:val="21"/>
                <w:lang w:eastAsia="zh-CN"/>
              </w:rPr>
            </w:pPr>
          </w:p>
        </w:tc>
      </w:tr>
      <w:tr w14:paraId="095ED2E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continue"/>
            <w:vAlign w:val="center"/>
          </w:tcPr>
          <w:p w14:paraId="14D3BB56">
            <w:pPr>
              <w:adjustRightInd w:val="0"/>
              <w:snapToGrid w:val="0"/>
              <w:jc w:val="center"/>
              <w:rPr>
                <w:color w:val="auto"/>
                <w:szCs w:val="21"/>
              </w:rPr>
            </w:pPr>
          </w:p>
        </w:tc>
        <w:tc>
          <w:tcPr>
            <w:tcW w:w="1755" w:type="dxa"/>
            <w:vAlign w:val="center"/>
          </w:tcPr>
          <w:p w14:paraId="76FF9457">
            <w:pPr>
              <w:snapToGrid w:val="0"/>
              <w:jc w:val="center"/>
              <w:rPr>
                <w:rFonts w:hint="eastAsia" w:eastAsia="宋体"/>
                <w:color w:val="auto"/>
                <w:szCs w:val="21"/>
                <w:lang w:eastAsia="zh-CN"/>
              </w:rPr>
            </w:pPr>
            <w:r>
              <w:rPr>
                <w:rFonts w:hint="eastAsia"/>
                <w:color w:val="auto"/>
                <w:szCs w:val="21"/>
                <w:lang w:val="en-US" w:eastAsia="zh-CN"/>
              </w:rPr>
              <w:t>食堂</w:t>
            </w:r>
          </w:p>
        </w:tc>
        <w:tc>
          <w:tcPr>
            <w:tcW w:w="1407" w:type="dxa"/>
            <w:vAlign w:val="center"/>
          </w:tcPr>
          <w:p w14:paraId="0A569F76">
            <w:pPr>
              <w:snapToGrid w:val="0"/>
              <w:jc w:val="center"/>
              <w:rPr>
                <w:rFonts w:hint="default" w:eastAsia="宋体"/>
                <w:color w:val="auto"/>
                <w:szCs w:val="21"/>
                <w:lang w:val="en-US" w:eastAsia="zh-CN"/>
              </w:rPr>
            </w:pPr>
            <w:r>
              <w:rPr>
                <w:rFonts w:hint="eastAsia"/>
                <w:color w:val="auto"/>
                <w:szCs w:val="21"/>
                <w:lang w:val="en-US" w:eastAsia="zh-CN"/>
              </w:rPr>
              <w:t>油烟</w:t>
            </w:r>
          </w:p>
        </w:tc>
        <w:tc>
          <w:tcPr>
            <w:tcW w:w="2103" w:type="dxa"/>
            <w:vAlign w:val="center"/>
          </w:tcPr>
          <w:p w14:paraId="0B1F4AED">
            <w:pPr>
              <w:snapToGrid w:val="0"/>
              <w:jc w:val="center"/>
              <w:rPr>
                <w:rFonts w:hint="default"/>
                <w:color w:val="auto"/>
                <w:szCs w:val="21"/>
                <w:lang w:val="en-US" w:eastAsia="zh-CN"/>
              </w:rPr>
            </w:pPr>
            <w:r>
              <w:rPr>
                <w:rFonts w:hint="eastAsia"/>
                <w:color w:val="auto"/>
                <w:szCs w:val="21"/>
                <w:lang w:val="en-US" w:eastAsia="zh-CN"/>
              </w:rPr>
              <w:t xml:space="preserve">油烟净化装置，净化率大于 </w:t>
            </w:r>
            <w:r>
              <w:rPr>
                <w:rFonts w:hint="default"/>
                <w:color w:val="auto"/>
                <w:szCs w:val="21"/>
                <w:lang w:val="en-US" w:eastAsia="zh-CN"/>
              </w:rPr>
              <w:t>75%</w:t>
            </w:r>
          </w:p>
        </w:tc>
        <w:tc>
          <w:tcPr>
            <w:tcW w:w="1757" w:type="dxa"/>
            <w:vAlign w:val="center"/>
          </w:tcPr>
          <w:p w14:paraId="6EC8761E">
            <w:pPr>
              <w:snapToGrid w:val="0"/>
              <w:jc w:val="center"/>
              <w:rPr>
                <w:rFonts w:hint="default"/>
                <w:color w:val="auto"/>
                <w:szCs w:val="21"/>
                <w:lang w:val="en-US" w:eastAsia="zh-CN"/>
              </w:rPr>
            </w:pPr>
            <w:r>
              <w:rPr>
                <w:rFonts w:hint="eastAsia"/>
                <w:color w:val="auto"/>
                <w:szCs w:val="21"/>
                <w:lang w:val="en-US" w:eastAsia="zh-CN"/>
              </w:rPr>
              <w:t>《饮食业油烟排放标准》（GB18483-2001）中型要求</w:t>
            </w:r>
          </w:p>
        </w:tc>
      </w:tr>
      <w:tr w14:paraId="314FC8F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Align w:val="center"/>
          </w:tcPr>
          <w:p w14:paraId="5D47C07E">
            <w:pPr>
              <w:adjustRightInd w:val="0"/>
              <w:snapToGrid w:val="0"/>
              <w:jc w:val="center"/>
              <w:rPr>
                <w:color w:val="auto"/>
                <w:szCs w:val="21"/>
              </w:rPr>
            </w:pPr>
            <w:r>
              <w:rPr>
                <w:color w:val="auto"/>
                <w:szCs w:val="21"/>
              </w:rPr>
              <w:t>地表水环境</w:t>
            </w:r>
          </w:p>
        </w:tc>
        <w:tc>
          <w:tcPr>
            <w:tcW w:w="1755" w:type="dxa"/>
            <w:vAlign w:val="center"/>
          </w:tcPr>
          <w:p w14:paraId="27ACCCD0">
            <w:pPr>
              <w:jc w:val="center"/>
              <w:rPr>
                <w:rFonts w:hint="default" w:eastAsia="宋体"/>
                <w:color w:val="auto"/>
                <w:szCs w:val="21"/>
                <w:lang w:val="en-US" w:eastAsia="zh-CN"/>
              </w:rPr>
            </w:pPr>
            <w:r>
              <w:rPr>
                <w:rFonts w:hint="eastAsia"/>
                <w:color w:val="auto"/>
                <w:szCs w:val="21"/>
                <w:lang w:val="en-US" w:eastAsia="zh-CN"/>
              </w:rPr>
              <w:t>污水处理站</w:t>
            </w:r>
          </w:p>
        </w:tc>
        <w:tc>
          <w:tcPr>
            <w:tcW w:w="1407" w:type="dxa"/>
            <w:vAlign w:val="center"/>
          </w:tcPr>
          <w:p w14:paraId="4847E576">
            <w:pPr>
              <w:snapToGrid w:val="0"/>
              <w:jc w:val="center"/>
              <w:rPr>
                <w:rFonts w:hint="eastAsia"/>
                <w:color w:val="auto"/>
                <w:szCs w:val="21"/>
                <w:lang w:val="en-US" w:eastAsia="zh-CN"/>
              </w:rPr>
            </w:pPr>
            <w:r>
              <w:rPr>
                <w:rFonts w:hint="default"/>
                <w:color w:val="auto"/>
                <w:szCs w:val="21"/>
                <w:lang w:val="en-US" w:eastAsia="zh-CN"/>
              </w:rPr>
              <w:t>pH</w:t>
            </w:r>
            <w:r>
              <w:rPr>
                <w:rFonts w:hint="eastAsia"/>
                <w:color w:val="auto"/>
                <w:szCs w:val="21"/>
                <w:lang w:val="en-US" w:eastAsia="zh-CN"/>
              </w:rPr>
              <w:t>、</w:t>
            </w:r>
            <w:r>
              <w:rPr>
                <w:rFonts w:hint="default"/>
                <w:color w:val="auto"/>
                <w:szCs w:val="21"/>
                <w:lang w:val="en-US" w:eastAsia="zh-CN"/>
              </w:rPr>
              <w:t>CODcr</w:t>
            </w:r>
            <w:r>
              <w:rPr>
                <w:rFonts w:hint="eastAsia"/>
                <w:color w:val="auto"/>
                <w:szCs w:val="21"/>
                <w:lang w:val="en-US" w:eastAsia="zh-CN"/>
              </w:rPr>
              <w:t>、</w:t>
            </w:r>
            <w:r>
              <w:rPr>
                <w:rFonts w:hint="default"/>
                <w:color w:val="auto"/>
                <w:szCs w:val="21"/>
                <w:lang w:val="en-US" w:eastAsia="zh-CN"/>
              </w:rPr>
              <w:t>SS</w:t>
            </w:r>
            <w:r>
              <w:rPr>
                <w:rFonts w:hint="eastAsia"/>
                <w:color w:val="auto"/>
                <w:szCs w:val="21"/>
                <w:lang w:val="en-US" w:eastAsia="zh-CN"/>
              </w:rPr>
              <w:t>、粪大肠菌群、</w:t>
            </w:r>
            <w:r>
              <w:rPr>
                <w:rFonts w:hint="default"/>
                <w:color w:val="auto"/>
                <w:szCs w:val="21"/>
                <w:lang w:val="en-US" w:eastAsia="zh-CN"/>
              </w:rPr>
              <w:t>BOD</w:t>
            </w:r>
            <w:r>
              <w:rPr>
                <w:rFonts w:hint="default"/>
                <w:color w:val="auto"/>
                <w:szCs w:val="21"/>
                <w:vertAlign w:val="subscript"/>
                <w:lang w:val="en-US" w:eastAsia="zh-CN"/>
              </w:rPr>
              <w:t>5</w:t>
            </w:r>
            <w:r>
              <w:rPr>
                <w:rFonts w:hint="eastAsia"/>
                <w:color w:val="auto"/>
                <w:szCs w:val="21"/>
                <w:lang w:val="en-US" w:eastAsia="zh-CN"/>
              </w:rPr>
              <w:t xml:space="preserve">、石油类、挥发酚、动植物 </w:t>
            </w:r>
          </w:p>
          <w:p w14:paraId="30F2246D">
            <w:pPr>
              <w:snapToGrid w:val="0"/>
              <w:jc w:val="center"/>
              <w:rPr>
                <w:rFonts w:hint="eastAsia"/>
                <w:color w:val="auto"/>
                <w:szCs w:val="21"/>
                <w:lang w:val="en-US" w:eastAsia="zh-CN"/>
              </w:rPr>
            </w:pPr>
            <w:r>
              <w:rPr>
                <w:rFonts w:hint="eastAsia"/>
                <w:color w:val="auto"/>
                <w:szCs w:val="21"/>
                <w:lang w:val="en-US" w:eastAsia="zh-CN"/>
              </w:rPr>
              <w:t>油、阴离子表面活性剂、总氰化物、总余氯等</w:t>
            </w:r>
          </w:p>
        </w:tc>
        <w:tc>
          <w:tcPr>
            <w:tcW w:w="2103" w:type="dxa"/>
            <w:vAlign w:val="center"/>
          </w:tcPr>
          <w:p w14:paraId="68FBBFE5">
            <w:pPr>
              <w:snapToGrid w:val="0"/>
              <w:jc w:val="center"/>
              <w:rPr>
                <w:rFonts w:hint="default"/>
                <w:color w:val="auto"/>
                <w:szCs w:val="21"/>
                <w:lang w:val="en-US" w:eastAsia="zh-CN"/>
              </w:rPr>
            </w:pPr>
            <w:r>
              <w:rPr>
                <w:rFonts w:hint="eastAsia"/>
                <w:color w:val="auto"/>
                <w:szCs w:val="21"/>
                <w:lang w:val="en-US" w:eastAsia="zh-CN"/>
              </w:rPr>
              <w:t xml:space="preserve">项目设 </w:t>
            </w:r>
            <w:r>
              <w:rPr>
                <w:rFonts w:hint="default"/>
                <w:color w:val="auto"/>
                <w:szCs w:val="21"/>
                <w:lang w:val="en-US" w:eastAsia="zh-CN"/>
              </w:rPr>
              <w:t>1</w:t>
            </w:r>
            <w:r>
              <w:rPr>
                <w:rFonts w:hint="eastAsia"/>
                <w:color w:val="auto"/>
                <w:szCs w:val="21"/>
                <w:lang w:val="en-US" w:eastAsia="zh-CN"/>
              </w:rPr>
              <w:t>座地埋式污水处理设施，各类废水经预处理后排入污水处理设施，处理规模200</w:t>
            </w:r>
            <w:r>
              <w:rPr>
                <w:rFonts w:hint="default"/>
                <w:color w:val="auto"/>
                <w:szCs w:val="21"/>
                <w:lang w:val="en-US" w:eastAsia="zh-CN"/>
              </w:rPr>
              <w:t>m</w:t>
            </w:r>
            <w:r>
              <w:rPr>
                <w:rFonts w:hint="default"/>
                <w:color w:val="auto"/>
                <w:szCs w:val="21"/>
                <w:vertAlign w:val="superscript"/>
                <w:lang w:val="en-US" w:eastAsia="zh-CN"/>
              </w:rPr>
              <w:t>3</w:t>
            </w:r>
            <w:r>
              <w:rPr>
                <w:rFonts w:hint="default"/>
                <w:color w:val="auto"/>
                <w:szCs w:val="21"/>
                <w:lang w:val="en-US" w:eastAsia="zh-CN"/>
              </w:rPr>
              <w:t xml:space="preserve"> /d</w:t>
            </w:r>
            <w:r>
              <w:rPr>
                <w:rFonts w:hint="eastAsia"/>
                <w:color w:val="auto"/>
                <w:szCs w:val="21"/>
                <w:lang w:val="en-US" w:eastAsia="zh-CN"/>
              </w:rPr>
              <w:t>，处理工艺为“接触氧化</w:t>
            </w:r>
            <w:r>
              <w:rPr>
                <w:rFonts w:hint="default"/>
                <w:color w:val="auto"/>
                <w:szCs w:val="21"/>
                <w:lang w:val="en-US" w:eastAsia="zh-CN"/>
              </w:rPr>
              <w:t>+</w:t>
            </w:r>
            <w:r>
              <w:rPr>
                <w:rFonts w:hint="eastAsia"/>
                <w:color w:val="auto"/>
                <w:szCs w:val="21"/>
                <w:lang w:val="en-US" w:eastAsia="zh-CN"/>
              </w:rPr>
              <w:t>消毒”，经处理达标后排入市政污水管网。</w:t>
            </w:r>
          </w:p>
        </w:tc>
        <w:tc>
          <w:tcPr>
            <w:tcW w:w="1757" w:type="dxa"/>
            <w:vAlign w:val="center"/>
          </w:tcPr>
          <w:p w14:paraId="3035DE77">
            <w:pPr>
              <w:snapToGrid w:val="0"/>
              <w:jc w:val="center"/>
              <w:rPr>
                <w:rFonts w:hint="eastAsia"/>
                <w:color w:val="auto"/>
                <w:szCs w:val="21"/>
                <w:lang w:val="en-US" w:eastAsia="zh-CN"/>
              </w:rPr>
            </w:pPr>
            <w:r>
              <w:rPr>
                <w:rFonts w:hint="eastAsia"/>
                <w:color w:val="auto"/>
                <w:szCs w:val="21"/>
                <w:lang w:val="en-US" w:eastAsia="zh-CN"/>
              </w:rPr>
              <w:t>《医疗机构水污染物排放标准》（</w:t>
            </w:r>
            <w:r>
              <w:rPr>
                <w:rFonts w:hint="default"/>
                <w:color w:val="auto"/>
                <w:szCs w:val="21"/>
                <w:lang w:val="en-US" w:eastAsia="zh-CN"/>
              </w:rPr>
              <w:t>GB18466-2005</w:t>
            </w:r>
            <w:r>
              <w:rPr>
                <w:rFonts w:hint="eastAsia"/>
                <w:color w:val="auto"/>
                <w:szCs w:val="21"/>
                <w:lang w:val="en-US" w:eastAsia="zh-CN"/>
              </w:rPr>
              <w:t>）中表</w:t>
            </w:r>
            <w:r>
              <w:rPr>
                <w:rFonts w:hint="default"/>
                <w:color w:val="auto"/>
                <w:szCs w:val="21"/>
                <w:lang w:val="en-US" w:eastAsia="zh-CN"/>
              </w:rPr>
              <w:t xml:space="preserve">2 </w:t>
            </w:r>
            <w:r>
              <w:rPr>
                <w:rFonts w:hint="eastAsia"/>
                <w:color w:val="auto"/>
                <w:szCs w:val="21"/>
                <w:lang w:val="en-US" w:eastAsia="zh-CN"/>
              </w:rPr>
              <w:t>中预处理标准</w:t>
            </w:r>
          </w:p>
          <w:p w14:paraId="415F442D">
            <w:pPr>
              <w:snapToGrid w:val="0"/>
              <w:jc w:val="center"/>
              <w:rPr>
                <w:rFonts w:hint="eastAsia"/>
                <w:color w:val="auto"/>
                <w:szCs w:val="21"/>
                <w:lang w:val="en-US" w:eastAsia="zh-CN"/>
              </w:rPr>
            </w:pPr>
          </w:p>
        </w:tc>
      </w:tr>
      <w:tr w14:paraId="097A5E1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644" w:hRule="atLeast"/>
          <w:jc w:val="center"/>
        </w:trPr>
        <w:tc>
          <w:tcPr>
            <w:tcW w:w="1778" w:type="dxa"/>
            <w:vAlign w:val="center"/>
          </w:tcPr>
          <w:p w14:paraId="76C01E5A">
            <w:pPr>
              <w:adjustRightInd w:val="0"/>
              <w:snapToGrid w:val="0"/>
              <w:jc w:val="center"/>
              <w:rPr>
                <w:color w:val="auto"/>
                <w:szCs w:val="21"/>
              </w:rPr>
            </w:pPr>
            <w:r>
              <w:rPr>
                <w:color w:val="auto"/>
                <w:szCs w:val="21"/>
              </w:rPr>
              <w:t>声环境</w:t>
            </w:r>
          </w:p>
        </w:tc>
        <w:tc>
          <w:tcPr>
            <w:tcW w:w="1755" w:type="dxa"/>
            <w:vAlign w:val="center"/>
          </w:tcPr>
          <w:p w14:paraId="2ED18553">
            <w:pPr>
              <w:jc w:val="center"/>
              <w:rPr>
                <w:rFonts w:hint="eastAsia" w:eastAsia="宋体"/>
                <w:color w:val="auto"/>
                <w:szCs w:val="21"/>
                <w:lang w:eastAsia="zh-CN"/>
              </w:rPr>
            </w:pPr>
            <w:r>
              <w:rPr>
                <w:rFonts w:hint="eastAsia"/>
                <w:color w:val="auto"/>
                <w:szCs w:val="21"/>
                <w:lang w:val="en-US" w:eastAsia="zh-CN"/>
              </w:rPr>
              <w:t>厂界</w:t>
            </w:r>
          </w:p>
        </w:tc>
        <w:tc>
          <w:tcPr>
            <w:tcW w:w="1407" w:type="dxa"/>
            <w:vAlign w:val="center"/>
          </w:tcPr>
          <w:p w14:paraId="1423BE25">
            <w:pPr>
              <w:adjustRightInd w:val="0"/>
              <w:snapToGrid w:val="0"/>
              <w:jc w:val="center"/>
              <w:rPr>
                <w:color w:val="auto"/>
                <w:szCs w:val="21"/>
              </w:rPr>
            </w:pPr>
            <w:r>
              <w:rPr>
                <w:color w:val="auto"/>
                <w:szCs w:val="21"/>
              </w:rPr>
              <w:t>噪声</w:t>
            </w:r>
          </w:p>
        </w:tc>
        <w:tc>
          <w:tcPr>
            <w:tcW w:w="2103" w:type="dxa"/>
            <w:vAlign w:val="center"/>
          </w:tcPr>
          <w:p w14:paraId="44A7023F">
            <w:pPr>
              <w:snapToGrid w:val="0"/>
              <w:jc w:val="center"/>
              <w:rPr>
                <w:color w:val="auto"/>
                <w:szCs w:val="21"/>
              </w:rPr>
            </w:pPr>
            <w:r>
              <w:rPr>
                <w:rFonts w:hint="eastAsia"/>
                <w:color w:val="auto"/>
                <w:szCs w:val="21"/>
                <w:lang w:val="en-US" w:eastAsia="zh-CN"/>
              </w:rPr>
              <w:t>选用低噪设备、隔声减振、加强车辆管理、加强绿化。</w:t>
            </w:r>
          </w:p>
        </w:tc>
        <w:tc>
          <w:tcPr>
            <w:tcW w:w="1757" w:type="dxa"/>
            <w:vAlign w:val="center"/>
          </w:tcPr>
          <w:p w14:paraId="5D8A18D8">
            <w:pPr>
              <w:adjustRightInd w:val="0"/>
              <w:snapToGrid w:val="0"/>
              <w:jc w:val="center"/>
              <w:rPr>
                <w:rFonts w:hint="eastAsia" w:eastAsia="宋体"/>
                <w:color w:val="auto"/>
                <w:szCs w:val="21"/>
                <w:lang w:val="en-US" w:eastAsia="zh-CN"/>
              </w:rPr>
            </w:pPr>
            <w:r>
              <w:rPr>
                <w:color w:val="auto"/>
                <w:szCs w:val="21"/>
              </w:rPr>
              <w:t>厂界执行《工业企业厂界环境噪声排放标准》（GB12348—2008）中的</w:t>
            </w:r>
            <w:r>
              <w:rPr>
                <w:rFonts w:hint="eastAsia"/>
                <w:color w:val="auto"/>
                <w:szCs w:val="21"/>
                <w:lang w:val="en-US" w:eastAsia="zh-CN"/>
              </w:rPr>
              <w:t>1</w:t>
            </w:r>
            <w:r>
              <w:rPr>
                <w:color w:val="auto"/>
                <w:szCs w:val="21"/>
              </w:rPr>
              <w:t>类标准</w:t>
            </w:r>
            <w:r>
              <w:rPr>
                <w:rFonts w:hint="eastAsia"/>
                <w:color w:val="auto"/>
                <w:szCs w:val="21"/>
                <w:lang w:val="en-US" w:eastAsia="zh-CN"/>
              </w:rPr>
              <w:t>要求</w:t>
            </w:r>
          </w:p>
        </w:tc>
      </w:tr>
      <w:tr w14:paraId="316213B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1778" w:type="dxa"/>
            <w:vAlign w:val="center"/>
          </w:tcPr>
          <w:p w14:paraId="4D67A907">
            <w:pPr>
              <w:adjustRightInd w:val="0"/>
              <w:snapToGrid w:val="0"/>
              <w:jc w:val="center"/>
              <w:rPr>
                <w:rFonts w:ascii="宋体" w:hAnsi="宋体" w:cs="宋体"/>
                <w:color w:val="auto"/>
                <w:szCs w:val="21"/>
              </w:rPr>
            </w:pPr>
            <w:r>
              <w:rPr>
                <w:rFonts w:hint="eastAsia" w:ascii="宋体" w:hAnsi="宋体" w:cs="宋体"/>
                <w:color w:val="auto"/>
                <w:szCs w:val="21"/>
              </w:rPr>
              <w:t>电磁辐射</w:t>
            </w:r>
          </w:p>
        </w:tc>
        <w:tc>
          <w:tcPr>
            <w:tcW w:w="1755" w:type="dxa"/>
            <w:vAlign w:val="center"/>
          </w:tcPr>
          <w:p w14:paraId="6BABA098">
            <w:pPr>
              <w:adjustRightInd w:val="0"/>
              <w:snapToGrid w:val="0"/>
              <w:jc w:val="center"/>
              <w:rPr>
                <w:rFonts w:ascii="宋体" w:hAnsi="宋体" w:cs="宋体"/>
                <w:color w:val="auto"/>
                <w:szCs w:val="21"/>
              </w:rPr>
            </w:pPr>
            <w:r>
              <w:rPr>
                <w:rFonts w:hint="eastAsia" w:ascii="宋体" w:hAnsi="宋体" w:cs="宋体"/>
                <w:color w:val="auto"/>
                <w:szCs w:val="21"/>
              </w:rPr>
              <w:t>/</w:t>
            </w:r>
          </w:p>
        </w:tc>
        <w:tc>
          <w:tcPr>
            <w:tcW w:w="1407" w:type="dxa"/>
            <w:vAlign w:val="center"/>
          </w:tcPr>
          <w:p w14:paraId="3A62D166">
            <w:pPr>
              <w:adjustRightInd w:val="0"/>
              <w:snapToGrid w:val="0"/>
              <w:jc w:val="center"/>
              <w:rPr>
                <w:rFonts w:ascii="宋体" w:hAnsi="宋体" w:cs="宋体"/>
                <w:color w:val="auto"/>
                <w:szCs w:val="21"/>
              </w:rPr>
            </w:pPr>
            <w:r>
              <w:rPr>
                <w:rFonts w:hint="eastAsia" w:ascii="宋体" w:hAnsi="宋体" w:cs="宋体"/>
                <w:color w:val="auto"/>
                <w:szCs w:val="21"/>
              </w:rPr>
              <w:t>/</w:t>
            </w:r>
          </w:p>
        </w:tc>
        <w:tc>
          <w:tcPr>
            <w:tcW w:w="2103" w:type="dxa"/>
            <w:vAlign w:val="center"/>
          </w:tcPr>
          <w:p w14:paraId="3CA3CC96">
            <w:pPr>
              <w:adjustRightInd w:val="0"/>
              <w:snapToGrid w:val="0"/>
              <w:jc w:val="center"/>
              <w:rPr>
                <w:rFonts w:ascii="宋体" w:hAnsi="宋体" w:cs="宋体"/>
                <w:color w:val="auto"/>
                <w:szCs w:val="21"/>
              </w:rPr>
            </w:pPr>
            <w:r>
              <w:rPr>
                <w:rFonts w:hint="eastAsia" w:ascii="宋体" w:hAnsi="宋体" w:cs="宋体"/>
                <w:color w:val="auto"/>
                <w:szCs w:val="21"/>
              </w:rPr>
              <w:t>/</w:t>
            </w:r>
          </w:p>
        </w:tc>
        <w:tc>
          <w:tcPr>
            <w:tcW w:w="1757" w:type="dxa"/>
            <w:vAlign w:val="center"/>
          </w:tcPr>
          <w:p w14:paraId="44878D02">
            <w:pPr>
              <w:adjustRightInd w:val="0"/>
              <w:snapToGrid w:val="0"/>
              <w:jc w:val="center"/>
              <w:rPr>
                <w:rFonts w:ascii="宋体" w:hAnsi="宋体" w:cs="宋体"/>
                <w:color w:val="auto"/>
                <w:szCs w:val="21"/>
              </w:rPr>
            </w:pPr>
            <w:r>
              <w:rPr>
                <w:rFonts w:hint="eastAsia" w:ascii="宋体" w:hAnsi="宋体" w:cs="宋体"/>
                <w:color w:val="auto"/>
                <w:szCs w:val="21"/>
              </w:rPr>
              <w:t>/</w:t>
            </w:r>
          </w:p>
        </w:tc>
      </w:tr>
      <w:tr w14:paraId="7F54325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1778" w:type="dxa"/>
            <w:vAlign w:val="center"/>
          </w:tcPr>
          <w:p w14:paraId="30CF4046">
            <w:pPr>
              <w:adjustRightInd w:val="0"/>
              <w:snapToGrid w:val="0"/>
              <w:jc w:val="center"/>
              <w:rPr>
                <w:color w:val="auto"/>
                <w:szCs w:val="21"/>
              </w:rPr>
            </w:pPr>
            <w:r>
              <w:rPr>
                <w:color w:val="auto"/>
                <w:szCs w:val="21"/>
              </w:rPr>
              <w:t>固体废物</w:t>
            </w:r>
          </w:p>
        </w:tc>
        <w:tc>
          <w:tcPr>
            <w:tcW w:w="7022" w:type="dxa"/>
            <w:gridSpan w:val="4"/>
            <w:vAlign w:val="center"/>
          </w:tcPr>
          <w:p w14:paraId="45170782">
            <w:pPr>
              <w:adjustRightInd w:val="0"/>
              <w:snapToGrid w:val="0"/>
              <w:ind w:firstLine="420" w:firstLineChars="200"/>
              <w:rPr>
                <w:color w:val="auto"/>
                <w:szCs w:val="21"/>
              </w:rPr>
            </w:pPr>
            <w:r>
              <w:rPr>
                <w:rFonts w:hint="eastAsia"/>
                <w:snapToGrid w:val="0"/>
                <w:color w:val="auto"/>
                <w:kern w:val="0"/>
                <w:szCs w:val="21"/>
                <w:lang w:val="en-US" w:eastAsia="zh-CN"/>
              </w:rPr>
              <w:t>项目住院楼地下一层西南侧设1座2</w:t>
            </w:r>
            <w:r>
              <w:rPr>
                <w:rFonts w:hint="default"/>
                <w:snapToGrid w:val="0"/>
                <w:color w:val="auto"/>
                <w:kern w:val="0"/>
                <w:szCs w:val="21"/>
                <w:lang w:val="en-US" w:eastAsia="zh-CN"/>
              </w:rPr>
              <w:t>0m</w:t>
            </w:r>
            <w:r>
              <w:rPr>
                <w:rFonts w:hint="default"/>
                <w:snapToGrid w:val="0"/>
                <w:color w:val="auto"/>
                <w:kern w:val="0"/>
                <w:szCs w:val="21"/>
                <w:vertAlign w:val="superscript"/>
                <w:lang w:val="en-US" w:eastAsia="zh-CN"/>
              </w:rPr>
              <w:t>2</w:t>
            </w:r>
            <w:r>
              <w:rPr>
                <w:rFonts w:hint="eastAsia"/>
                <w:snapToGrid w:val="0"/>
                <w:color w:val="auto"/>
                <w:kern w:val="0"/>
                <w:szCs w:val="21"/>
                <w:lang w:val="en-US" w:eastAsia="zh-CN"/>
              </w:rPr>
              <w:t>医疗废物暂存间，医疗垃圾、污水处理产生的栅渣及污泥等属于危险废物，收集后储存于专用容器内，暂存于医疗废物暂存间，委托有资质单位进行处置；生活垃圾收集后由环卫部门处置。</w:t>
            </w:r>
          </w:p>
        </w:tc>
      </w:tr>
      <w:tr w14:paraId="1B48941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1778" w:type="dxa"/>
            <w:vAlign w:val="center"/>
          </w:tcPr>
          <w:p w14:paraId="249F2CBB">
            <w:pPr>
              <w:adjustRightInd w:val="0"/>
              <w:snapToGrid w:val="0"/>
              <w:jc w:val="center"/>
              <w:rPr>
                <w:color w:val="auto"/>
                <w:szCs w:val="21"/>
              </w:rPr>
            </w:pPr>
            <w:r>
              <w:rPr>
                <w:color w:val="auto"/>
                <w:szCs w:val="21"/>
              </w:rPr>
              <w:t>土壤及地下水</w:t>
            </w:r>
          </w:p>
          <w:p w14:paraId="6DA7022E">
            <w:pPr>
              <w:adjustRightInd w:val="0"/>
              <w:snapToGrid w:val="0"/>
              <w:jc w:val="center"/>
              <w:rPr>
                <w:color w:val="auto"/>
                <w:szCs w:val="21"/>
              </w:rPr>
            </w:pPr>
            <w:r>
              <w:rPr>
                <w:color w:val="auto"/>
                <w:szCs w:val="21"/>
              </w:rPr>
              <w:t>污染防治措施</w:t>
            </w:r>
          </w:p>
        </w:tc>
        <w:tc>
          <w:tcPr>
            <w:tcW w:w="7022" w:type="dxa"/>
            <w:gridSpan w:val="4"/>
            <w:vAlign w:val="center"/>
          </w:tcPr>
          <w:p w14:paraId="59E4E239">
            <w:pPr>
              <w:adjustRightInd w:val="0"/>
              <w:snapToGrid w:val="0"/>
              <w:ind w:firstLine="420" w:firstLineChars="200"/>
              <w:rPr>
                <w:color w:val="auto"/>
                <w:szCs w:val="21"/>
              </w:rPr>
            </w:pPr>
            <w:r>
              <w:rPr>
                <w:rFonts w:hint="eastAsia"/>
                <w:snapToGrid w:val="0"/>
                <w:color w:val="auto"/>
                <w:kern w:val="0"/>
                <w:szCs w:val="21"/>
                <w:lang w:val="en-US" w:eastAsia="zh-CN"/>
              </w:rPr>
              <w:t>污水处理设施、医疗废物贮存库、污水管道地面等设为重点防渗区；其他区域区设为简单防渗区；要求企业做好地下水应急预案。</w:t>
            </w:r>
          </w:p>
        </w:tc>
      </w:tr>
      <w:tr w14:paraId="4F689D9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1778" w:type="dxa"/>
            <w:vAlign w:val="center"/>
          </w:tcPr>
          <w:p w14:paraId="52775FB4">
            <w:pPr>
              <w:adjustRightInd w:val="0"/>
              <w:snapToGrid w:val="0"/>
              <w:jc w:val="center"/>
              <w:rPr>
                <w:color w:val="auto"/>
                <w:szCs w:val="21"/>
              </w:rPr>
            </w:pPr>
            <w:r>
              <w:rPr>
                <w:color w:val="auto"/>
                <w:szCs w:val="21"/>
              </w:rPr>
              <w:t>生态保护措施</w:t>
            </w:r>
          </w:p>
        </w:tc>
        <w:tc>
          <w:tcPr>
            <w:tcW w:w="7022" w:type="dxa"/>
            <w:gridSpan w:val="4"/>
            <w:vAlign w:val="center"/>
          </w:tcPr>
          <w:p w14:paraId="073BE12D">
            <w:pPr>
              <w:adjustRightInd w:val="0"/>
              <w:snapToGrid w:val="0"/>
              <w:ind w:firstLine="420" w:firstLineChars="200"/>
              <w:rPr>
                <w:color w:val="auto"/>
                <w:szCs w:val="21"/>
              </w:rPr>
            </w:pPr>
            <w:r>
              <w:rPr>
                <w:snapToGrid w:val="0"/>
                <w:color w:val="auto"/>
                <w:kern w:val="0"/>
                <w:szCs w:val="21"/>
              </w:rPr>
              <w:t>在</w:t>
            </w:r>
            <w:r>
              <w:rPr>
                <w:rFonts w:hint="eastAsia"/>
                <w:snapToGrid w:val="0"/>
                <w:color w:val="auto"/>
                <w:kern w:val="0"/>
                <w:szCs w:val="21"/>
                <w:lang w:val="en-US" w:eastAsia="zh-CN"/>
              </w:rPr>
              <w:t>院</w:t>
            </w:r>
            <w:r>
              <w:rPr>
                <w:snapToGrid w:val="0"/>
                <w:color w:val="auto"/>
                <w:kern w:val="0"/>
                <w:szCs w:val="21"/>
              </w:rPr>
              <w:t>区内空闲地带进行绿化种植，在项目区空地及道路两侧种植树木、草皮，以改善和美化环境。项目运营后，废气通过治理后达标排放，固体废物合理处置，正常情况下项目不会对周围生态环境造成大的影响。</w:t>
            </w:r>
          </w:p>
        </w:tc>
      </w:tr>
      <w:tr w14:paraId="7DC2827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1778" w:type="dxa"/>
            <w:vAlign w:val="center"/>
          </w:tcPr>
          <w:p w14:paraId="5DC297A4">
            <w:pPr>
              <w:adjustRightInd w:val="0"/>
              <w:snapToGrid w:val="0"/>
              <w:jc w:val="center"/>
              <w:rPr>
                <w:snapToGrid w:val="0"/>
                <w:color w:val="auto"/>
                <w:kern w:val="0"/>
                <w:szCs w:val="21"/>
              </w:rPr>
            </w:pPr>
            <w:r>
              <w:rPr>
                <w:snapToGrid w:val="0"/>
                <w:color w:val="auto"/>
                <w:kern w:val="0"/>
                <w:szCs w:val="21"/>
              </w:rPr>
              <w:t>环境风险</w:t>
            </w:r>
          </w:p>
          <w:p w14:paraId="559A1720">
            <w:pPr>
              <w:adjustRightInd w:val="0"/>
              <w:snapToGrid w:val="0"/>
              <w:jc w:val="center"/>
              <w:rPr>
                <w:snapToGrid w:val="0"/>
                <w:color w:val="auto"/>
                <w:kern w:val="0"/>
                <w:szCs w:val="21"/>
              </w:rPr>
            </w:pPr>
            <w:r>
              <w:rPr>
                <w:snapToGrid w:val="0"/>
                <w:color w:val="auto"/>
                <w:kern w:val="0"/>
                <w:szCs w:val="21"/>
              </w:rPr>
              <w:t>防范措施</w:t>
            </w:r>
          </w:p>
        </w:tc>
        <w:tc>
          <w:tcPr>
            <w:tcW w:w="7022" w:type="dxa"/>
            <w:gridSpan w:val="4"/>
            <w:vAlign w:val="center"/>
          </w:tcPr>
          <w:p w14:paraId="04D11B80">
            <w:pPr>
              <w:adjustRightInd w:val="0"/>
              <w:snapToGrid w:val="0"/>
              <w:ind w:firstLine="420" w:firstLineChars="200"/>
              <w:rPr>
                <w:rFonts w:hint="default" w:eastAsia="宋体"/>
                <w:snapToGrid w:val="0"/>
                <w:color w:val="auto"/>
                <w:kern w:val="0"/>
                <w:szCs w:val="21"/>
                <w:lang w:val="en-US" w:eastAsia="zh-CN"/>
              </w:rPr>
            </w:pPr>
            <w:r>
              <w:rPr>
                <w:rFonts w:hint="eastAsia"/>
                <w:snapToGrid w:val="0"/>
                <w:color w:val="auto"/>
                <w:kern w:val="0"/>
                <w:szCs w:val="21"/>
                <w:lang w:val="en-US" w:eastAsia="zh-CN"/>
              </w:rPr>
              <w:t xml:space="preserve">事故状态下废水排入化粪池、调节池，二者容积可容纳 </w:t>
            </w:r>
            <w:r>
              <w:rPr>
                <w:rFonts w:hint="default"/>
                <w:snapToGrid w:val="0"/>
                <w:color w:val="auto"/>
                <w:kern w:val="0"/>
                <w:szCs w:val="21"/>
                <w:lang w:val="en-US" w:eastAsia="zh-CN"/>
              </w:rPr>
              <w:t xml:space="preserve">1d </w:t>
            </w:r>
            <w:r>
              <w:rPr>
                <w:rFonts w:hint="eastAsia"/>
                <w:snapToGrid w:val="0"/>
                <w:color w:val="auto"/>
                <w:kern w:val="0"/>
                <w:szCs w:val="21"/>
                <w:lang w:val="en-US" w:eastAsia="zh-CN"/>
              </w:rPr>
              <w:t>项目废水，待故障排除后，排入污水处理设施处理；企业应制定突发环境事件应急预案。</w:t>
            </w:r>
          </w:p>
        </w:tc>
      </w:tr>
      <w:tr w14:paraId="34883E5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02" w:hRule="atLeast"/>
          <w:jc w:val="center"/>
        </w:trPr>
        <w:tc>
          <w:tcPr>
            <w:tcW w:w="1778" w:type="dxa"/>
            <w:vAlign w:val="center"/>
          </w:tcPr>
          <w:p w14:paraId="15D4859B">
            <w:pPr>
              <w:adjustRightInd w:val="0"/>
              <w:snapToGrid w:val="0"/>
              <w:jc w:val="center"/>
              <w:rPr>
                <w:color w:val="auto"/>
                <w:spacing w:val="-8"/>
                <w:szCs w:val="21"/>
              </w:rPr>
            </w:pPr>
            <w:r>
              <w:rPr>
                <w:color w:val="auto"/>
                <w:spacing w:val="-8"/>
                <w:szCs w:val="21"/>
              </w:rPr>
              <w:t>其他环境</w:t>
            </w:r>
          </w:p>
          <w:p w14:paraId="36CD19DB">
            <w:pPr>
              <w:adjustRightInd w:val="0"/>
              <w:snapToGrid w:val="0"/>
              <w:jc w:val="center"/>
              <w:rPr>
                <w:color w:val="auto"/>
                <w:spacing w:val="-8"/>
                <w:szCs w:val="21"/>
              </w:rPr>
            </w:pPr>
            <w:r>
              <w:rPr>
                <w:color w:val="auto"/>
                <w:spacing w:val="-8"/>
                <w:szCs w:val="21"/>
              </w:rPr>
              <w:t>管理要求</w:t>
            </w:r>
          </w:p>
        </w:tc>
        <w:tc>
          <w:tcPr>
            <w:tcW w:w="7022" w:type="dxa"/>
            <w:gridSpan w:val="4"/>
            <w:vAlign w:val="center"/>
          </w:tcPr>
          <w:p w14:paraId="7514F225">
            <w:pPr>
              <w:spacing w:line="360" w:lineRule="auto"/>
              <w:ind w:firstLine="422" w:firstLineChars="200"/>
              <w:rPr>
                <w:b/>
                <w:color w:val="auto"/>
                <w:szCs w:val="21"/>
              </w:rPr>
            </w:pPr>
            <w:r>
              <w:rPr>
                <w:rFonts w:hint="eastAsia"/>
                <w:b/>
                <w:snapToGrid w:val="0"/>
                <w:color w:val="auto"/>
                <w:kern w:val="0"/>
                <w:szCs w:val="21"/>
              </w:rPr>
              <w:t>1、</w:t>
            </w:r>
            <w:r>
              <w:rPr>
                <w:b/>
                <w:snapToGrid w:val="0"/>
                <w:color w:val="auto"/>
                <w:kern w:val="0"/>
                <w:szCs w:val="21"/>
              </w:rPr>
              <w:t>环境管理制度</w:t>
            </w:r>
          </w:p>
          <w:p w14:paraId="5E77EE0A">
            <w:pPr>
              <w:spacing w:line="360" w:lineRule="auto"/>
              <w:ind w:firstLine="420" w:firstLineChars="200"/>
              <w:rPr>
                <w:color w:val="auto"/>
                <w:szCs w:val="21"/>
              </w:rPr>
            </w:pPr>
            <w:r>
              <w:rPr>
                <w:snapToGrid w:val="0"/>
                <w:color w:val="auto"/>
                <w:kern w:val="0"/>
                <w:szCs w:val="21"/>
              </w:rPr>
              <w:t>企业在健全了环境管理体制与管理机构的基础上，还必须健全环保管理规章制度。各项规章制度应体现环境管理的任务、内容和准则，使环境管理的特点和要求渗透到企业的各项管理工作中。相应的环境管理制度包括：（1）环境保护管理条例；（2）环境管理的经济责任制；（3）环保设施运行与管理制度；（4）环境管理岗位责任制；（5）环境管理技术规范；（6）环境保护的考核制度；（7）环境保护严惩办法；（8）污染防治控制措施实施方法；（9）环境污染事故管理规定；（10）清洁生产审计制度；（11）环境保护质量管理规程。</w:t>
            </w:r>
          </w:p>
          <w:p w14:paraId="712A94C6">
            <w:pPr>
              <w:adjustRightInd w:val="0"/>
              <w:snapToGrid w:val="0"/>
              <w:spacing w:line="360" w:lineRule="auto"/>
              <w:ind w:firstLine="422" w:firstLineChars="200"/>
              <w:rPr>
                <w:b/>
                <w:snapToGrid w:val="0"/>
                <w:color w:val="auto"/>
                <w:kern w:val="0"/>
                <w:szCs w:val="21"/>
              </w:rPr>
            </w:pPr>
            <w:r>
              <w:rPr>
                <w:b/>
                <w:snapToGrid w:val="0"/>
                <w:color w:val="auto"/>
                <w:kern w:val="0"/>
                <w:szCs w:val="21"/>
              </w:rPr>
              <w:t>2</w:t>
            </w:r>
            <w:r>
              <w:rPr>
                <w:rFonts w:hint="eastAsia"/>
                <w:b/>
                <w:snapToGrid w:val="0"/>
                <w:color w:val="auto"/>
                <w:kern w:val="0"/>
                <w:szCs w:val="21"/>
              </w:rPr>
              <w:t>、</w:t>
            </w:r>
            <w:r>
              <w:rPr>
                <w:b/>
                <w:snapToGrid w:val="0"/>
                <w:color w:val="auto"/>
                <w:kern w:val="0"/>
                <w:szCs w:val="21"/>
              </w:rPr>
              <w:t>运营期环境管理计划</w:t>
            </w:r>
          </w:p>
          <w:p w14:paraId="1593D9CE">
            <w:pPr>
              <w:adjustRightInd w:val="0"/>
              <w:snapToGrid w:val="0"/>
              <w:spacing w:line="360" w:lineRule="auto"/>
              <w:ind w:firstLine="420" w:firstLineChars="200"/>
              <w:rPr>
                <w:snapToGrid w:val="0"/>
                <w:color w:val="auto"/>
                <w:kern w:val="0"/>
                <w:szCs w:val="21"/>
              </w:rPr>
            </w:pPr>
            <w:r>
              <w:rPr>
                <w:rFonts w:hint="eastAsia" w:ascii="宋体" w:hAnsi="宋体" w:cs="宋体"/>
                <w:snapToGrid w:val="0"/>
                <w:color w:val="auto"/>
                <w:kern w:val="0"/>
                <w:szCs w:val="21"/>
              </w:rPr>
              <w:t>①</w:t>
            </w:r>
            <w:r>
              <w:rPr>
                <w:snapToGrid w:val="0"/>
                <w:color w:val="auto"/>
                <w:kern w:val="0"/>
                <w:szCs w:val="21"/>
              </w:rPr>
              <w:t>管理机构</w:t>
            </w:r>
          </w:p>
          <w:p w14:paraId="6F703C7B">
            <w:pPr>
              <w:adjustRightInd w:val="0"/>
              <w:snapToGrid w:val="0"/>
              <w:spacing w:line="360" w:lineRule="auto"/>
              <w:ind w:firstLine="420" w:firstLineChars="200"/>
              <w:rPr>
                <w:snapToGrid w:val="0"/>
                <w:color w:val="auto"/>
                <w:kern w:val="0"/>
                <w:szCs w:val="21"/>
              </w:rPr>
            </w:pPr>
            <w:r>
              <w:rPr>
                <w:snapToGrid w:val="0"/>
                <w:color w:val="auto"/>
                <w:kern w:val="0"/>
                <w:szCs w:val="21"/>
              </w:rPr>
              <w:t>本</w:t>
            </w:r>
            <w:r>
              <w:rPr>
                <w:rFonts w:hint="eastAsia"/>
                <w:snapToGrid w:val="0"/>
                <w:color w:val="auto"/>
                <w:kern w:val="0"/>
                <w:szCs w:val="21"/>
              </w:rPr>
              <w:t>项目</w:t>
            </w:r>
            <w:r>
              <w:rPr>
                <w:snapToGrid w:val="0"/>
                <w:color w:val="auto"/>
                <w:kern w:val="0"/>
                <w:szCs w:val="21"/>
              </w:rPr>
              <w:t>应成立环保组，负责运营期的环境管理工作，于当地环保部门及其授权监测部门直接监管厂内污染物的排放情况，并对其污染事故、纠纷进行处理。</w:t>
            </w:r>
          </w:p>
          <w:p w14:paraId="2A507DDE">
            <w:pPr>
              <w:adjustRightInd w:val="0"/>
              <w:snapToGrid w:val="0"/>
              <w:spacing w:line="360" w:lineRule="auto"/>
              <w:ind w:firstLine="420" w:firstLineChars="200"/>
              <w:rPr>
                <w:snapToGrid w:val="0"/>
                <w:color w:val="auto"/>
                <w:kern w:val="0"/>
                <w:szCs w:val="21"/>
              </w:rPr>
            </w:pPr>
            <w:r>
              <w:rPr>
                <w:rFonts w:hint="eastAsia" w:ascii="宋体" w:hAnsi="宋体" w:cs="宋体"/>
                <w:snapToGrid w:val="0"/>
                <w:color w:val="auto"/>
                <w:kern w:val="0"/>
                <w:szCs w:val="21"/>
              </w:rPr>
              <w:t>②</w:t>
            </w:r>
            <w:r>
              <w:rPr>
                <w:snapToGrid w:val="0"/>
                <w:color w:val="auto"/>
                <w:kern w:val="0"/>
                <w:szCs w:val="21"/>
              </w:rPr>
              <w:t>运营期环境管理职责</w:t>
            </w:r>
          </w:p>
          <w:p w14:paraId="1DB6DD96">
            <w:pPr>
              <w:spacing w:line="360" w:lineRule="auto"/>
              <w:ind w:firstLine="420" w:firstLineChars="200"/>
              <w:rPr>
                <w:snapToGrid w:val="0"/>
                <w:color w:val="auto"/>
                <w:kern w:val="0"/>
                <w:szCs w:val="21"/>
              </w:rPr>
            </w:pPr>
            <w:r>
              <w:rPr>
                <w:snapToGrid w:val="0"/>
                <w:color w:val="auto"/>
                <w:kern w:val="0"/>
                <w:szCs w:val="21"/>
              </w:rPr>
              <w:t>由</w:t>
            </w:r>
            <w:r>
              <w:rPr>
                <w:rFonts w:hint="eastAsia"/>
                <w:snapToGrid w:val="0"/>
                <w:color w:val="auto"/>
                <w:kern w:val="0"/>
                <w:szCs w:val="21"/>
              </w:rPr>
              <w:t>厂长</w:t>
            </w:r>
            <w:r>
              <w:rPr>
                <w:snapToGrid w:val="0"/>
                <w:color w:val="auto"/>
                <w:kern w:val="0"/>
                <w:szCs w:val="21"/>
              </w:rPr>
              <w:t>负责环保指标的落实，将环保指标逐级分解到生产区、班组、个人，下属具体负责其附属环保设备的运转和维护，确保其正常运转和达标排放，充分发挥其作用；配合地方环保部门监测部门进行日常环境监测，记录并及时上报污染源及环保措施运转状态。在项目实施全过程中，本工程都应以《中华人民共和国环境保护法》及相关环保法律、法规为依据，通过对项目前后的环境审核，制定环境方针，建立环境目标和指标，设计环境方案，以达到“清洁生产”的良好效果，以达到长远、持久的发展。</w:t>
            </w:r>
          </w:p>
          <w:p w14:paraId="3259B838">
            <w:pPr>
              <w:spacing w:line="360" w:lineRule="auto"/>
              <w:ind w:firstLine="420" w:firstLineChars="200"/>
              <w:rPr>
                <w:bCs/>
                <w:color w:val="auto"/>
                <w:szCs w:val="21"/>
              </w:rPr>
            </w:pPr>
            <w:r>
              <w:rPr>
                <w:snapToGrid w:val="0"/>
                <w:color w:val="auto"/>
                <w:kern w:val="0"/>
                <w:szCs w:val="21"/>
              </w:rPr>
              <w:t>本工程环境管理工作计划见表5-1。</w:t>
            </w:r>
          </w:p>
          <w:p w14:paraId="73C15A2E">
            <w:pPr>
              <w:autoSpaceDE w:val="0"/>
              <w:autoSpaceDN w:val="0"/>
              <w:adjustRightInd w:val="0"/>
              <w:snapToGrid w:val="0"/>
              <w:jc w:val="center"/>
              <w:rPr>
                <w:color w:val="auto"/>
                <w:sz w:val="18"/>
                <w:szCs w:val="18"/>
              </w:rPr>
            </w:pPr>
            <w:r>
              <w:rPr>
                <w:b/>
                <w:color w:val="auto"/>
                <w:sz w:val="18"/>
                <w:szCs w:val="18"/>
              </w:rPr>
              <w:t>表5-1</w:t>
            </w:r>
            <w:r>
              <w:rPr>
                <w:rFonts w:hint="eastAsia"/>
                <w:b/>
                <w:color w:val="auto"/>
                <w:sz w:val="18"/>
                <w:szCs w:val="18"/>
              </w:rPr>
              <w:t xml:space="preserve">   </w:t>
            </w:r>
            <w:r>
              <w:rPr>
                <w:b/>
                <w:color w:val="auto"/>
                <w:sz w:val="18"/>
                <w:szCs w:val="18"/>
              </w:rPr>
              <w:t>环境管理工作计划表</w:t>
            </w:r>
          </w:p>
          <w:tbl>
            <w:tblPr>
              <w:tblStyle w:val="47"/>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113"/>
              <w:gridCol w:w="5663"/>
            </w:tblGrid>
            <w:tr w14:paraId="7ED8A90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blHeader/>
                <w:jc w:val="center"/>
              </w:trPr>
              <w:tc>
                <w:tcPr>
                  <w:tcW w:w="821" w:type="pct"/>
                  <w:vAlign w:val="center"/>
                </w:tcPr>
                <w:p w14:paraId="78AAD473">
                  <w:pPr>
                    <w:pStyle w:val="24"/>
                    <w:jc w:val="center"/>
                    <w:rPr>
                      <w:rFonts w:ascii="Times New Roman" w:hAnsi="Times New Roman"/>
                      <w:bCs/>
                      <w:color w:val="auto"/>
                      <w:sz w:val="18"/>
                      <w:szCs w:val="18"/>
                    </w:rPr>
                  </w:pPr>
                  <w:r>
                    <w:rPr>
                      <w:rFonts w:ascii="Times New Roman" w:hAnsi="Times New Roman"/>
                      <w:bCs/>
                      <w:color w:val="auto"/>
                      <w:sz w:val="18"/>
                      <w:szCs w:val="18"/>
                    </w:rPr>
                    <w:t>阶段</w:t>
                  </w:r>
                </w:p>
              </w:tc>
              <w:tc>
                <w:tcPr>
                  <w:tcW w:w="4179" w:type="pct"/>
                  <w:vAlign w:val="center"/>
                </w:tcPr>
                <w:p w14:paraId="6FE2C9AF">
                  <w:pPr>
                    <w:pStyle w:val="24"/>
                    <w:rPr>
                      <w:rFonts w:ascii="Times New Roman" w:hAnsi="Times New Roman"/>
                      <w:bCs/>
                      <w:color w:val="auto"/>
                      <w:sz w:val="18"/>
                      <w:szCs w:val="18"/>
                    </w:rPr>
                  </w:pPr>
                  <w:r>
                    <w:rPr>
                      <w:rFonts w:ascii="Times New Roman" w:hAnsi="Times New Roman"/>
                      <w:bCs/>
                      <w:color w:val="auto"/>
                      <w:sz w:val="18"/>
                      <w:szCs w:val="18"/>
                    </w:rPr>
                    <w:t>环境管理工作主要内容</w:t>
                  </w:r>
                </w:p>
              </w:tc>
            </w:tr>
            <w:tr w14:paraId="153F0FA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21" w:type="pct"/>
                  <w:vAlign w:val="center"/>
                </w:tcPr>
                <w:p w14:paraId="5C31FECC">
                  <w:pPr>
                    <w:pStyle w:val="24"/>
                    <w:jc w:val="center"/>
                    <w:rPr>
                      <w:rFonts w:ascii="Times New Roman" w:hAnsi="Times New Roman"/>
                      <w:bCs/>
                      <w:color w:val="auto"/>
                      <w:sz w:val="18"/>
                      <w:szCs w:val="18"/>
                    </w:rPr>
                  </w:pPr>
                  <w:r>
                    <w:rPr>
                      <w:rFonts w:ascii="Times New Roman" w:hAnsi="Times New Roman"/>
                      <w:bCs/>
                      <w:color w:val="auto"/>
                      <w:sz w:val="18"/>
                      <w:szCs w:val="18"/>
                    </w:rPr>
                    <w:t>环境管理</w:t>
                  </w:r>
                </w:p>
                <w:p w14:paraId="3308B46D">
                  <w:pPr>
                    <w:pStyle w:val="24"/>
                    <w:jc w:val="center"/>
                    <w:rPr>
                      <w:rFonts w:ascii="Times New Roman" w:hAnsi="Times New Roman"/>
                      <w:bCs/>
                      <w:color w:val="auto"/>
                      <w:sz w:val="18"/>
                      <w:szCs w:val="18"/>
                    </w:rPr>
                  </w:pPr>
                  <w:r>
                    <w:rPr>
                      <w:rFonts w:ascii="Times New Roman" w:hAnsi="Times New Roman"/>
                      <w:bCs/>
                      <w:color w:val="auto"/>
                      <w:sz w:val="18"/>
                      <w:szCs w:val="18"/>
                    </w:rPr>
                    <w:t>机构的职能</w:t>
                  </w:r>
                </w:p>
              </w:tc>
              <w:tc>
                <w:tcPr>
                  <w:tcW w:w="4179" w:type="pct"/>
                  <w:vAlign w:val="center"/>
                </w:tcPr>
                <w:p w14:paraId="01EACE7C">
                  <w:pPr>
                    <w:pStyle w:val="24"/>
                    <w:rPr>
                      <w:rFonts w:ascii="Times New Roman" w:hAnsi="Times New Roman"/>
                      <w:bCs/>
                      <w:color w:val="auto"/>
                      <w:sz w:val="18"/>
                      <w:szCs w:val="18"/>
                    </w:rPr>
                  </w:pPr>
                  <w:r>
                    <w:rPr>
                      <w:rFonts w:ascii="Times New Roman" w:hAnsi="Times New Roman"/>
                      <w:bCs/>
                      <w:color w:val="auto"/>
                      <w:sz w:val="18"/>
                      <w:szCs w:val="18"/>
                    </w:rPr>
                    <w:t>根据国家建设</w:t>
                  </w:r>
                  <w:r>
                    <w:rPr>
                      <w:rFonts w:hint="eastAsia" w:ascii="Times New Roman" w:hAnsi="Times New Roman"/>
                      <w:bCs/>
                      <w:color w:val="auto"/>
                      <w:sz w:val="18"/>
                      <w:szCs w:val="18"/>
                      <w:lang w:val="en-US" w:eastAsia="zh-CN"/>
                    </w:rPr>
                    <w:t>项</w:t>
                  </w:r>
                  <w:r>
                    <w:rPr>
                      <w:rFonts w:ascii="Times New Roman" w:hAnsi="Times New Roman"/>
                      <w:bCs/>
                      <w:color w:val="auto"/>
                      <w:sz w:val="18"/>
                      <w:szCs w:val="18"/>
                    </w:rPr>
                    <w:t>目环境管理规定，认真落实各项环保手续，完成各级环保主管部门对企业提出的环境要求，对企业内部各项管理计划的执行及完成情况进行监督，确保环境管理工作真正发挥作用。</w:t>
                  </w:r>
                </w:p>
              </w:tc>
            </w:tr>
            <w:tr w14:paraId="4F82388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21" w:type="pct"/>
                  <w:vAlign w:val="center"/>
                </w:tcPr>
                <w:p w14:paraId="021148BE">
                  <w:pPr>
                    <w:pStyle w:val="24"/>
                    <w:jc w:val="center"/>
                    <w:rPr>
                      <w:rFonts w:ascii="Times New Roman" w:hAnsi="Times New Roman"/>
                      <w:bCs/>
                      <w:color w:val="auto"/>
                      <w:sz w:val="18"/>
                      <w:szCs w:val="18"/>
                    </w:rPr>
                  </w:pPr>
                  <w:r>
                    <w:rPr>
                      <w:rFonts w:ascii="Times New Roman" w:hAnsi="Times New Roman"/>
                      <w:bCs/>
                      <w:color w:val="auto"/>
                      <w:sz w:val="18"/>
                      <w:szCs w:val="18"/>
                    </w:rPr>
                    <w:t>建设期</w:t>
                  </w:r>
                </w:p>
              </w:tc>
              <w:tc>
                <w:tcPr>
                  <w:tcW w:w="4179" w:type="pct"/>
                  <w:vAlign w:val="center"/>
                </w:tcPr>
                <w:p w14:paraId="2D017D68">
                  <w:pPr>
                    <w:pStyle w:val="24"/>
                    <w:rPr>
                      <w:rFonts w:ascii="Times New Roman" w:hAnsi="Times New Roman"/>
                      <w:bCs/>
                      <w:color w:val="auto"/>
                      <w:sz w:val="18"/>
                      <w:szCs w:val="18"/>
                    </w:rPr>
                  </w:pPr>
                  <w:r>
                    <w:rPr>
                      <w:rFonts w:ascii="Times New Roman" w:hAnsi="Times New Roman"/>
                      <w:bCs/>
                      <w:color w:val="auto"/>
                      <w:sz w:val="18"/>
                      <w:szCs w:val="18"/>
                    </w:rPr>
                    <w:t>1、</w:t>
                  </w:r>
                  <w:r>
                    <w:rPr>
                      <w:rFonts w:hint="eastAsia" w:ascii="Times New Roman" w:hAnsi="Times New Roman"/>
                      <w:bCs/>
                      <w:color w:val="auto"/>
                      <w:sz w:val="18"/>
                      <w:szCs w:val="18"/>
                    </w:rPr>
                    <w:t>严格控制施工占地；</w:t>
                  </w:r>
                </w:p>
                <w:p w14:paraId="217C199D">
                  <w:pPr>
                    <w:pStyle w:val="24"/>
                    <w:rPr>
                      <w:rFonts w:ascii="Times New Roman" w:hAnsi="Times New Roman"/>
                      <w:bCs/>
                      <w:color w:val="auto"/>
                      <w:sz w:val="18"/>
                      <w:szCs w:val="18"/>
                    </w:rPr>
                  </w:pPr>
                  <w:r>
                    <w:rPr>
                      <w:rFonts w:ascii="Times New Roman" w:hAnsi="Times New Roman"/>
                      <w:bCs/>
                      <w:color w:val="auto"/>
                      <w:sz w:val="18"/>
                      <w:szCs w:val="18"/>
                    </w:rPr>
                    <w:t>2、定期洒水</w:t>
                  </w:r>
                  <w:r>
                    <w:rPr>
                      <w:rFonts w:hint="eastAsia" w:ascii="Times New Roman" w:hAnsi="Times New Roman"/>
                      <w:bCs/>
                      <w:color w:val="auto"/>
                      <w:sz w:val="18"/>
                      <w:szCs w:val="18"/>
                    </w:rPr>
                    <w:t>降尘</w:t>
                  </w:r>
                  <w:r>
                    <w:rPr>
                      <w:rFonts w:ascii="Times New Roman" w:hAnsi="Times New Roman"/>
                      <w:bCs/>
                      <w:color w:val="auto"/>
                      <w:sz w:val="18"/>
                      <w:szCs w:val="18"/>
                    </w:rPr>
                    <w:t>。</w:t>
                  </w:r>
                </w:p>
                <w:p w14:paraId="20D34696">
                  <w:pPr>
                    <w:pStyle w:val="24"/>
                    <w:rPr>
                      <w:rFonts w:ascii="Times New Roman" w:hAnsi="Times New Roman"/>
                      <w:bCs/>
                      <w:color w:val="auto"/>
                      <w:sz w:val="18"/>
                      <w:szCs w:val="18"/>
                    </w:rPr>
                  </w:pPr>
                  <w:r>
                    <w:rPr>
                      <w:rFonts w:ascii="Times New Roman" w:hAnsi="Times New Roman"/>
                      <w:bCs/>
                      <w:color w:val="auto"/>
                      <w:sz w:val="18"/>
                      <w:szCs w:val="18"/>
                    </w:rPr>
                    <w:t>3、夜间严禁进行打桩等噪声大的施工作业。</w:t>
                  </w:r>
                </w:p>
                <w:p w14:paraId="0278A697">
                  <w:pPr>
                    <w:pStyle w:val="24"/>
                    <w:rPr>
                      <w:rFonts w:ascii="Times New Roman" w:hAnsi="Times New Roman"/>
                      <w:bCs/>
                      <w:color w:val="auto"/>
                      <w:sz w:val="18"/>
                      <w:szCs w:val="18"/>
                    </w:rPr>
                  </w:pPr>
                  <w:r>
                    <w:rPr>
                      <w:rFonts w:ascii="Times New Roman" w:hAnsi="Times New Roman"/>
                      <w:bCs/>
                      <w:color w:val="auto"/>
                      <w:sz w:val="18"/>
                      <w:szCs w:val="18"/>
                    </w:rPr>
                    <w:t>4、施工</w:t>
                  </w:r>
                  <w:r>
                    <w:rPr>
                      <w:rFonts w:hint="eastAsia" w:ascii="Times New Roman" w:hAnsi="Times New Roman"/>
                      <w:bCs/>
                      <w:color w:val="auto"/>
                      <w:sz w:val="18"/>
                      <w:szCs w:val="18"/>
                    </w:rPr>
                    <w:t>期</w:t>
                  </w:r>
                  <w:r>
                    <w:rPr>
                      <w:rFonts w:ascii="Times New Roman" w:hAnsi="Times New Roman"/>
                      <w:bCs/>
                      <w:color w:val="auto"/>
                      <w:sz w:val="18"/>
                      <w:szCs w:val="18"/>
                    </w:rPr>
                    <w:t>加强环境管理。</w:t>
                  </w:r>
                </w:p>
              </w:tc>
            </w:tr>
            <w:tr w14:paraId="75259EB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21" w:type="pct"/>
                  <w:vAlign w:val="center"/>
                </w:tcPr>
                <w:p w14:paraId="037DFEB2">
                  <w:pPr>
                    <w:pStyle w:val="24"/>
                    <w:jc w:val="center"/>
                    <w:rPr>
                      <w:rFonts w:ascii="Times New Roman" w:hAnsi="Times New Roman"/>
                      <w:bCs/>
                      <w:color w:val="auto"/>
                      <w:sz w:val="18"/>
                      <w:szCs w:val="18"/>
                    </w:rPr>
                  </w:pPr>
                  <w:r>
                    <w:rPr>
                      <w:rFonts w:ascii="Times New Roman" w:hAnsi="Times New Roman"/>
                      <w:bCs/>
                      <w:color w:val="auto"/>
                      <w:sz w:val="18"/>
                      <w:szCs w:val="18"/>
                    </w:rPr>
                    <w:t>调试期</w:t>
                  </w:r>
                </w:p>
              </w:tc>
              <w:tc>
                <w:tcPr>
                  <w:tcW w:w="4179" w:type="pct"/>
                  <w:vAlign w:val="center"/>
                </w:tcPr>
                <w:p w14:paraId="32FDD81D">
                  <w:pPr>
                    <w:pStyle w:val="24"/>
                    <w:rPr>
                      <w:rFonts w:ascii="Times New Roman" w:hAnsi="Times New Roman"/>
                      <w:bCs/>
                      <w:color w:val="auto"/>
                      <w:sz w:val="18"/>
                      <w:szCs w:val="18"/>
                    </w:rPr>
                  </w:pPr>
                  <w:r>
                    <w:rPr>
                      <w:rFonts w:ascii="Times New Roman" w:hAnsi="Times New Roman"/>
                      <w:bCs/>
                      <w:color w:val="auto"/>
                      <w:sz w:val="18"/>
                      <w:szCs w:val="18"/>
                    </w:rPr>
                    <w:t>1、申领排污许可证。</w:t>
                  </w:r>
                </w:p>
                <w:p w14:paraId="3E077FFC">
                  <w:pPr>
                    <w:pStyle w:val="24"/>
                    <w:rPr>
                      <w:rFonts w:ascii="Times New Roman" w:hAnsi="Times New Roman"/>
                      <w:bCs/>
                      <w:color w:val="auto"/>
                      <w:sz w:val="18"/>
                      <w:szCs w:val="18"/>
                    </w:rPr>
                  </w:pPr>
                  <w:r>
                    <w:rPr>
                      <w:rFonts w:ascii="Times New Roman" w:hAnsi="Times New Roman"/>
                      <w:bCs/>
                      <w:color w:val="auto"/>
                      <w:sz w:val="18"/>
                      <w:szCs w:val="18"/>
                    </w:rPr>
                    <w:t>2、对噪声防治效果进行检测。</w:t>
                  </w:r>
                </w:p>
                <w:p w14:paraId="6BA625BA">
                  <w:pPr>
                    <w:pStyle w:val="24"/>
                    <w:rPr>
                      <w:rFonts w:ascii="Times New Roman" w:hAnsi="Times New Roman"/>
                      <w:bCs/>
                      <w:color w:val="auto"/>
                      <w:sz w:val="18"/>
                      <w:szCs w:val="18"/>
                    </w:rPr>
                  </w:pPr>
                  <w:r>
                    <w:rPr>
                      <w:rFonts w:ascii="Times New Roman" w:hAnsi="Times New Roman"/>
                      <w:bCs/>
                      <w:color w:val="auto"/>
                      <w:sz w:val="18"/>
                      <w:szCs w:val="18"/>
                    </w:rPr>
                    <w:t>3、对各设施不定期进行检查。</w:t>
                  </w:r>
                </w:p>
                <w:p w14:paraId="29060187">
                  <w:pPr>
                    <w:pStyle w:val="24"/>
                    <w:rPr>
                      <w:rFonts w:ascii="Times New Roman" w:hAnsi="Times New Roman"/>
                      <w:bCs/>
                      <w:color w:val="auto"/>
                      <w:sz w:val="18"/>
                      <w:szCs w:val="18"/>
                    </w:rPr>
                  </w:pPr>
                  <w:r>
                    <w:rPr>
                      <w:rFonts w:ascii="Times New Roman" w:hAnsi="Times New Roman"/>
                      <w:bCs/>
                      <w:color w:val="auto"/>
                      <w:sz w:val="18"/>
                      <w:szCs w:val="18"/>
                    </w:rPr>
                    <w:t>4、记录各项环保设施的试运行状况，针对出现问题提出完善意见。</w:t>
                  </w:r>
                </w:p>
                <w:p w14:paraId="5B954E33">
                  <w:pPr>
                    <w:pStyle w:val="24"/>
                    <w:rPr>
                      <w:rFonts w:ascii="Times New Roman" w:hAnsi="Times New Roman"/>
                      <w:bCs/>
                      <w:color w:val="auto"/>
                      <w:sz w:val="18"/>
                      <w:szCs w:val="18"/>
                    </w:rPr>
                  </w:pPr>
                  <w:r>
                    <w:rPr>
                      <w:rFonts w:ascii="Times New Roman" w:hAnsi="Times New Roman"/>
                      <w:bCs/>
                      <w:color w:val="auto"/>
                      <w:sz w:val="18"/>
                      <w:szCs w:val="18"/>
                    </w:rPr>
                    <w:t>5、总结试运行期的生产经验，健全前期制定各项管理制度。</w:t>
                  </w:r>
                </w:p>
                <w:p w14:paraId="30E132F3">
                  <w:pPr>
                    <w:pStyle w:val="24"/>
                    <w:rPr>
                      <w:rFonts w:ascii="Times New Roman" w:hAnsi="Times New Roman"/>
                      <w:bCs/>
                      <w:color w:val="auto"/>
                      <w:sz w:val="18"/>
                      <w:szCs w:val="18"/>
                    </w:rPr>
                  </w:pPr>
                  <w:r>
                    <w:rPr>
                      <w:rFonts w:ascii="Times New Roman" w:hAnsi="Times New Roman"/>
                      <w:bCs/>
                      <w:color w:val="auto"/>
                      <w:sz w:val="18"/>
                      <w:szCs w:val="18"/>
                    </w:rPr>
                    <w:t>6、生产装置生产三个月内，进行环保设施的竣工验收。</w:t>
                  </w:r>
                </w:p>
              </w:tc>
            </w:tr>
            <w:tr w14:paraId="473D3B9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21" w:type="pct"/>
                  <w:vAlign w:val="center"/>
                </w:tcPr>
                <w:p w14:paraId="467B89EF">
                  <w:pPr>
                    <w:pStyle w:val="24"/>
                    <w:jc w:val="center"/>
                    <w:rPr>
                      <w:rFonts w:ascii="Times New Roman" w:hAnsi="Times New Roman"/>
                      <w:bCs/>
                      <w:color w:val="auto"/>
                      <w:sz w:val="18"/>
                      <w:szCs w:val="18"/>
                    </w:rPr>
                  </w:pPr>
                  <w:r>
                    <w:rPr>
                      <w:rFonts w:ascii="Times New Roman" w:hAnsi="Times New Roman"/>
                      <w:bCs/>
                      <w:color w:val="auto"/>
                      <w:sz w:val="18"/>
                      <w:szCs w:val="18"/>
                    </w:rPr>
                    <w:t>生产运行期</w:t>
                  </w:r>
                </w:p>
              </w:tc>
              <w:tc>
                <w:tcPr>
                  <w:tcW w:w="4179" w:type="pct"/>
                  <w:vAlign w:val="center"/>
                </w:tcPr>
                <w:p w14:paraId="5CD686BE">
                  <w:pPr>
                    <w:pStyle w:val="24"/>
                    <w:rPr>
                      <w:rFonts w:ascii="Times New Roman" w:hAnsi="Times New Roman"/>
                      <w:bCs/>
                      <w:color w:val="auto"/>
                      <w:sz w:val="18"/>
                      <w:szCs w:val="18"/>
                    </w:rPr>
                  </w:pPr>
                  <w:r>
                    <w:rPr>
                      <w:rFonts w:ascii="Times New Roman" w:hAnsi="Times New Roman"/>
                      <w:bCs/>
                      <w:color w:val="auto"/>
                      <w:sz w:val="18"/>
                      <w:szCs w:val="18"/>
                    </w:rPr>
                    <w:t>1、严格执行各项生产及环境管理制度，保证生产的正常进行。</w:t>
                  </w:r>
                </w:p>
                <w:p w14:paraId="253F46C0">
                  <w:pPr>
                    <w:pStyle w:val="24"/>
                    <w:rPr>
                      <w:rFonts w:ascii="Times New Roman" w:hAnsi="Times New Roman"/>
                      <w:bCs/>
                      <w:color w:val="auto"/>
                      <w:sz w:val="18"/>
                      <w:szCs w:val="18"/>
                    </w:rPr>
                  </w:pPr>
                  <w:r>
                    <w:rPr>
                      <w:rFonts w:ascii="Times New Roman" w:hAnsi="Times New Roman"/>
                      <w:bCs/>
                      <w:color w:val="auto"/>
                      <w:sz w:val="18"/>
                      <w:szCs w:val="18"/>
                    </w:rPr>
                    <w:t>2、设立环保设施运行卡，对环保设施定期进行检查维护，做到勤查、勤记、勤养护。</w:t>
                  </w:r>
                </w:p>
                <w:p w14:paraId="62D3FAD7">
                  <w:pPr>
                    <w:pStyle w:val="24"/>
                    <w:rPr>
                      <w:rFonts w:ascii="Times New Roman" w:hAnsi="Times New Roman"/>
                      <w:bCs/>
                      <w:color w:val="auto"/>
                      <w:sz w:val="18"/>
                      <w:szCs w:val="18"/>
                    </w:rPr>
                  </w:pPr>
                  <w:r>
                    <w:rPr>
                      <w:rFonts w:ascii="Times New Roman" w:hAnsi="Times New Roman"/>
                      <w:bCs/>
                      <w:color w:val="auto"/>
                      <w:sz w:val="18"/>
                      <w:szCs w:val="18"/>
                    </w:rPr>
                    <w:t>3、按照监测计划组织厂内的污染源监测，对不达标装置立即寻找原因，及时处理。</w:t>
                  </w:r>
                </w:p>
                <w:p w14:paraId="78DD5D50">
                  <w:pPr>
                    <w:pStyle w:val="24"/>
                    <w:rPr>
                      <w:rFonts w:ascii="Times New Roman" w:hAnsi="Times New Roman"/>
                      <w:bCs/>
                      <w:color w:val="auto"/>
                      <w:sz w:val="18"/>
                      <w:szCs w:val="18"/>
                    </w:rPr>
                  </w:pPr>
                  <w:r>
                    <w:rPr>
                      <w:rFonts w:ascii="Times New Roman" w:hAnsi="Times New Roman"/>
                      <w:bCs/>
                      <w:color w:val="auto"/>
                      <w:sz w:val="18"/>
                      <w:szCs w:val="18"/>
                    </w:rPr>
                    <w:t>4、不断加强技术培训，组织企业技术交流，提高操作水平，保持操作工人队伍稳定。</w:t>
                  </w:r>
                </w:p>
                <w:p w14:paraId="6C5AE3B8">
                  <w:pPr>
                    <w:pStyle w:val="24"/>
                    <w:rPr>
                      <w:rFonts w:ascii="Times New Roman" w:hAnsi="Times New Roman"/>
                      <w:bCs/>
                      <w:color w:val="auto"/>
                      <w:sz w:val="18"/>
                      <w:szCs w:val="18"/>
                    </w:rPr>
                  </w:pPr>
                  <w:r>
                    <w:rPr>
                      <w:rFonts w:ascii="Times New Roman" w:hAnsi="Times New Roman"/>
                      <w:bCs/>
                      <w:color w:val="auto"/>
                      <w:sz w:val="18"/>
                      <w:szCs w:val="18"/>
                    </w:rPr>
                    <w:t>5、建立环境管理台账制度，应真实记录基本信息、产污设施运行管理信息、污染防治设施运行管理信息、监测记录信息及其他环境管理信息等；按照电子台账和纸质台账两种记录形式同步管理。</w:t>
                  </w:r>
                </w:p>
              </w:tc>
            </w:tr>
          </w:tbl>
          <w:p w14:paraId="0EB5434B">
            <w:pPr>
              <w:spacing w:line="360" w:lineRule="auto"/>
              <w:ind w:firstLine="422" w:firstLineChars="200"/>
              <w:rPr>
                <w:b/>
                <w:snapToGrid w:val="0"/>
                <w:color w:val="auto"/>
                <w:kern w:val="0"/>
                <w:szCs w:val="21"/>
              </w:rPr>
            </w:pPr>
            <w:bookmarkStart w:id="9" w:name="_Toc15842"/>
            <w:r>
              <w:rPr>
                <w:rFonts w:hint="eastAsia"/>
                <w:b/>
                <w:snapToGrid w:val="0"/>
                <w:color w:val="auto"/>
                <w:kern w:val="0"/>
                <w:szCs w:val="21"/>
              </w:rPr>
              <w:t>3</w:t>
            </w:r>
            <w:r>
              <w:rPr>
                <w:b/>
                <w:snapToGrid w:val="0"/>
                <w:color w:val="auto"/>
                <w:kern w:val="0"/>
                <w:szCs w:val="21"/>
              </w:rPr>
              <w:t>、排污口规范化设置</w:t>
            </w:r>
            <w:bookmarkEnd w:id="9"/>
          </w:p>
          <w:p w14:paraId="0751F549">
            <w:pPr>
              <w:spacing w:line="360" w:lineRule="auto"/>
              <w:ind w:firstLine="420" w:firstLineChars="200"/>
              <w:rPr>
                <w:snapToGrid w:val="0"/>
                <w:color w:val="auto"/>
                <w:kern w:val="0"/>
                <w:szCs w:val="21"/>
              </w:rPr>
            </w:pPr>
            <w:r>
              <w:rPr>
                <w:snapToGrid w:val="0"/>
                <w:color w:val="auto"/>
                <w:kern w:val="0"/>
                <w:szCs w:val="21"/>
              </w:rPr>
              <w:t>项目需要按照要求设立排污口。</w:t>
            </w:r>
            <w:r>
              <w:rPr>
                <w:snapToGrid w:val="0"/>
                <w:color w:val="auto"/>
                <w:kern w:val="0"/>
                <w:szCs w:val="21"/>
                <w:highlight w:val="none"/>
              </w:rPr>
              <w:t>废气排放口</w:t>
            </w:r>
            <w:r>
              <w:rPr>
                <w:snapToGrid w:val="0"/>
                <w:color w:val="auto"/>
                <w:kern w:val="0"/>
                <w:szCs w:val="21"/>
              </w:rPr>
              <w:t>应进行规范化设计，具备采样、监测条件，排放口附近树立环保图形标志牌。排污口应符合“一明显、二合理、三便于”的要求，即环保标志明显，排污口设置合理，排污去向合理，便于采集样品，便于监测计量，便于公众监督管理。</w:t>
            </w:r>
          </w:p>
          <w:p w14:paraId="41C1CE63">
            <w:pPr>
              <w:spacing w:line="360" w:lineRule="auto"/>
              <w:ind w:firstLine="420" w:firstLineChars="200"/>
              <w:rPr>
                <w:bCs/>
                <w:color w:val="auto"/>
                <w:szCs w:val="21"/>
              </w:rPr>
            </w:pPr>
            <w:r>
              <w:rPr>
                <w:snapToGrid w:val="0"/>
                <w:color w:val="auto"/>
                <w:kern w:val="0"/>
                <w:szCs w:val="21"/>
              </w:rPr>
              <w:t>具体要求见表5-2。</w:t>
            </w:r>
          </w:p>
          <w:p w14:paraId="68ABDEFE">
            <w:pPr>
              <w:autoSpaceDE w:val="0"/>
              <w:autoSpaceDN w:val="0"/>
              <w:adjustRightInd w:val="0"/>
              <w:snapToGrid w:val="0"/>
              <w:jc w:val="center"/>
              <w:rPr>
                <w:b/>
                <w:color w:val="auto"/>
                <w:sz w:val="18"/>
                <w:szCs w:val="18"/>
              </w:rPr>
            </w:pPr>
            <w:r>
              <w:rPr>
                <w:b/>
                <w:color w:val="auto"/>
                <w:sz w:val="18"/>
                <w:szCs w:val="18"/>
              </w:rPr>
              <w:t>表5-2</w:t>
            </w:r>
            <w:r>
              <w:rPr>
                <w:rFonts w:hint="eastAsia"/>
                <w:b/>
                <w:color w:val="auto"/>
                <w:sz w:val="18"/>
                <w:szCs w:val="18"/>
              </w:rPr>
              <w:t xml:space="preserve">  </w:t>
            </w:r>
            <w:r>
              <w:rPr>
                <w:b/>
                <w:color w:val="auto"/>
                <w:sz w:val="18"/>
                <w:szCs w:val="18"/>
              </w:rPr>
              <w:t>环境保护图形标志</w:t>
            </w:r>
          </w:p>
          <w:tbl>
            <w:tblPr>
              <w:tblStyle w:val="47"/>
              <w:tblW w:w="709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02"/>
              <w:gridCol w:w="1736"/>
              <w:gridCol w:w="1808"/>
              <w:gridCol w:w="1652"/>
            </w:tblGrid>
            <w:tr w14:paraId="5538C8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48" w:hRule="atLeast"/>
                <w:jc w:val="center"/>
              </w:trPr>
              <w:tc>
                <w:tcPr>
                  <w:tcW w:w="1902" w:type="dxa"/>
                  <w:vAlign w:val="center"/>
                </w:tcPr>
                <w:p w14:paraId="6B2AB908">
                  <w:pPr>
                    <w:rPr>
                      <w:color w:val="auto"/>
                      <w:szCs w:val="21"/>
                    </w:rPr>
                  </w:pPr>
                  <w:r>
                    <w:rPr>
                      <w:color w:val="auto"/>
                      <w:szCs w:val="21"/>
                    </w:rPr>
                    <w:drawing>
                      <wp:inline distT="0" distB="0" distL="0" distR="0">
                        <wp:extent cx="1069975" cy="1017905"/>
                        <wp:effectExtent l="19050" t="0" r="0" b="0"/>
                        <wp:docPr id="12" name="图片 97" descr="点击看大图及详细资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97" descr="点击看大图及详细资料"/>
                                <pic:cNvPicPr>
                                  <a:picLocks noChangeAspect="1" noChangeArrowheads="1"/>
                                </pic:cNvPicPr>
                              </pic:nvPicPr>
                              <pic:blipFill>
                                <a:blip r:embed="rId20" cstate="print"/>
                                <a:srcRect/>
                                <a:stretch>
                                  <a:fillRect/>
                                </a:stretch>
                              </pic:blipFill>
                              <pic:spPr>
                                <a:xfrm>
                                  <a:off x="0" y="0"/>
                                  <a:ext cx="1069975" cy="1017905"/>
                                </a:xfrm>
                                <a:prstGeom prst="rect">
                                  <a:avLst/>
                                </a:prstGeom>
                                <a:noFill/>
                                <a:ln w="9525">
                                  <a:noFill/>
                                  <a:miter lim="800000"/>
                                  <a:headEnd/>
                                  <a:tailEnd/>
                                </a:ln>
                              </pic:spPr>
                            </pic:pic>
                          </a:graphicData>
                        </a:graphic>
                      </wp:inline>
                    </w:drawing>
                  </w:r>
                  <w:r>
                    <w:rPr>
                      <w:color w:val="auto"/>
                    </w:rPr>
                    <w:fldChar w:fldCharType="begin"/>
                  </w:r>
                  <w:r>
                    <w:rPr>
                      <w:color w:val="auto"/>
                    </w:rPr>
                    <w:instrText xml:space="preserve"> HYPERLINK "http://www.biaozhi.net/eNews/news/200602/0029_0000000905.shtml" \t "_blank" </w:instrText>
                  </w:r>
                  <w:r>
                    <w:rPr>
                      <w:color w:val="auto"/>
                    </w:rPr>
                    <w:fldChar w:fldCharType="separate"/>
                  </w:r>
                  <w:r>
                    <w:rPr>
                      <w:color w:val="auto"/>
                    </w:rPr>
                    <w:fldChar w:fldCharType="end"/>
                  </w:r>
                </w:p>
              </w:tc>
              <w:tc>
                <w:tcPr>
                  <w:tcW w:w="1736" w:type="dxa"/>
                  <w:vAlign w:val="center"/>
                </w:tcPr>
                <w:p w14:paraId="03D0C931">
                  <w:pPr>
                    <w:rPr>
                      <w:color w:val="auto"/>
                      <w:szCs w:val="21"/>
                    </w:rPr>
                  </w:pPr>
                  <w:r>
                    <w:rPr>
                      <w:color w:val="auto"/>
                      <w:szCs w:val="21"/>
                    </w:rPr>
                    <w:t>废气排放口</w:t>
                  </w:r>
                </w:p>
                <w:p w14:paraId="4D3DE76C">
                  <w:pPr>
                    <w:rPr>
                      <w:color w:val="auto"/>
                      <w:szCs w:val="21"/>
                    </w:rPr>
                  </w:pPr>
                  <w:r>
                    <w:rPr>
                      <w:color w:val="auto"/>
                      <w:szCs w:val="21"/>
                    </w:rPr>
                    <w:t>表示废气向大气环境排放</w:t>
                  </w:r>
                </w:p>
              </w:tc>
              <w:tc>
                <w:tcPr>
                  <w:tcW w:w="1808" w:type="dxa"/>
                  <w:vAlign w:val="center"/>
                </w:tcPr>
                <w:p w14:paraId="741E5656">
                  <w:pPr>
                    <w:rPr>
                      <w:color w:val="auto"/>
                      <w:szCs w:val="21"/>
                    </w:rPr>
                  </w:pPr>
                  <w:r>
                    <w:rPr>
                      <w:color w:val="auto"/>
                      <w:szCs w:val="21"/>
                    </w:rPr>
                    <w:drawing>
                      <wp:inline distT="0" distB="0" distL="0" distR="0">
                        <wp:extent cx="914400" cy="914400"/>
                        <wp:effectExtent l="19050" t="0" r="0" b="0"/>
                        <wp:docPr id="13" name="图片 35" descr="点击看大图及详细资料">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35" descr="点击看大图及详细资料"/>
                                <pic:cNvPicPr>
                                  <a:picLocks noChangeAspect="1" noChangeArrowheads="1"/>
                                </pic:cNvPicPr>
                              </pic:nvPicPr>
                              <pic:blipFill>
                                <a:blip r:embed="rId22" cstate="print"/>
                                <a:srcRect/>
                                <a:stretch>
                                  <a:fillRect/>
                                </a:stretch>
                              </pic:blipFill>
                              <pic:spPr>
                                <a:xfrm>
                                  <a:off x="0" y="0"/>
                                  <a:ext cx="914400" cy="914400"/>
                                </a:xfrm>
                                <a:prstGeom prst="rect">
                                  <a:avLst/>
                                </a:prstGeom>
                                <a:noFill/>
                                <a:ln w="9525">
                                  <a:noFill/>
                                  <a:miter lim="800000"/>
                                  <a:headEnd/>
                                  <a:tailEnd/>
                                </a:ln>
                              </pic:spPr>
                            </pic:pic>
                          </a:graphicData>
                        </a:graphic>
                      </wp:inline>
                    </w:drawing>
                  </w:r>
                </w:p>
              </w:tc>
              <w:tc>
                <w:tcPr>
                  <w:tcW w:w="1652" w:type="dxa"/>
                  <w:vAlign w:val="center"/>
                </w:tcPr>
                <w:p w14:paraId="7731009B">
                  <w:pPr>
                    <w:rPr>
                      <w:color w:val="auto"/>
                      <w:szCs w:val="21"/>
                    </w:rPr>
                  </w:pPr>
                  <w:r>
                    <w:rPr>
                      <w:color w:val="auto"/>
                      <w:szCs w:val="21"/>
                    </w:rPr>
                    <w:t>噪声排放源</w:t>
                  </w:r>
                </w:p>
                <w:p w14:paraId="160BE746">
                  <w:pPr>
                    <w:rPr>
                      <w:color w:val="auto"/>
                      <w:szCs w:val="21"/>
                    </w:rPr>
                  </w:pPr>
                  <w:r>
                    <w:rPr>
                      <w:color w:val="auto"/>
                      <w:szCs w:val="21"/>
                    </w:rPr>
                    <w:t>表示噪声向外环境排放</w:t>
                  </w:r>
                </w:p>
              </w:tc>
            </w:tr>
            <w:tr w14:paraId="2318F8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96" w:hRule="atLeast"/>
                <w:jc w:val="center"/>
              </w:trPr>
              <w:tc>
                <w:tcPr>
                  <w:tcW w:w="1902" w:type="dxa"/>
                  <w:vAlign w:val="center"/>
                </w:tcPr>
                <w:p w14:paraId="508C5272">
                  <w:pPr>
                    <w:rPr>
                      <w:color w:val="auto"/>
                      <w:szCs w:val="21"/>
                    </w:rPr>
                  </w:pPr>
                  <w:r>
                    <w:drawing>
                      <wp:anchor distT="0" distB="0" distL="114300" distR="114300" simplePos="0" relativeHeight="251665408" behindDoc="0" locked="0" layoutInCell="1" allowOverlap="1">
                        <wp:simplePos x="0" y="0"/>
                        <wp:positionH relativeFrom="column">
                          <wp:posOffset>38735</wp:posOffset>
                        </wp:positionH>
                        <wp:positionV relativeFrom="paragraph">
                          <wp:posOffset>13335</wp:posOffset>
                        </wp:positionV>
                        <wp:extent cx="1016635" cy="904875"/>
                        <wp:effectExtent l="0" t="0" r="12065" b="9525"/>
                        <wp:wrapNone/>
                        <wp:docPr id="6680" name="图片 40" descr="未标题-5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0" name="图片 40" descr="未标题-5 拷贝"/>
                                <pic:cNvPicPr>
                                  <a:picLocks noChangeAspect="1" noChangeArrowheads="1"/>
                                </pic:cNvPicPr>
                              </pic:nvPicPr>
                              <pic:blipFill>
                                <a:blip r:embed="rId23" cstate="print"/>
                                <a:srcRect l="4231" t="11546" r="58992" b="62689"/>
                                <a:stretch>
                                  <a:fillRect/>
                                </a:stretch>
                              </pic:blipFill>
                              <pic:spPr>
                                <a:xfrm>
                                  <a:off x="0" y="0"/>
                                  <a:ext cx="1016635" cy="904875"/>
                                </a:xfrm>
                                <a:prstGeom prst="rect">
                                  <a:avLst/>
                                </a:prstGeom>
                                <a:noFill/>
                                <a:ln w="9525">
                                  <a:noFill/>
                                  <a:miter lim="800000"/>
                                  <a:headEnd/>
                                  <a:tailEnd/>
                                </a:ln>
                              </pic:spPr>
                            </pic:pic>
                          </a:graphicData>
                        </a:graphic>
                      </wp:anchor>
                    </w:drawing>
                  </w:r>
                </w:p>
              </w:tc>
              <w:tc>
                <w:tcPr>
                  <w:tcW w:w="1736" w:type="dxa"/>
                  <w:vAlign w:val="center"/>
                </w:tcPr>
                <w:p w14:paraId="5F62C7F6">
                  <w:pPr>
                    <w:rPr>
                      <w:rFonts w:hint="default"/>
                      <w:color w:val="auto"/>
                      <w:szCs w:val="21"/>
                      <w:lang w:val="en-US" w:eastAsia="zh-CN"/>
                    </w:rPr>
                  </w:pPr>
                  <w:r>
                    <w:rPr>
                      <w:rFonts w:hint="eastAsia"/>
                      <w:color w:val="auto"/>
                      <w:szCs w:val="21"/>
                      <w:lang w:val="en-US" w:eastAsia="zh-CN"/>
                    </w:rPr>
                    <w:t>废水排放口</w:t>
                  </w:r>
                </w:p>
              </w:tc>
              <w:tc>
                <w:tcPr>
                  <w:tcW w:w="1808" w:type="dxa"/>
                  <w:vAlign w:val="center"/>
                </w:tcPr>
                <w:p w14:paraId="1444A6EB">
                  <w:pPr>
                    <w:rPr>
                      <w:color w:val="auto"/>
                      <w:szCs w:val="21"/>
                    </w:rPr>
                  </w:pPr>
                  <w:r>
                    <w:rPr>
                      <w:color w:val="auto"/>
                      <w:szCs w:val="21"/>
                    </w:rPr>
                    <w:drawing>
                      <wp:anchor distT="0" distB="0" distL="114300" distR="114300" simplePos="0" relativeHeight="251666432" behindDoc="0" locked="0" layoutInCell="1" allowOverlap="1">
                        <wp:simplePos x="0" y="0"/>
                        <wp:positionH relativeFrom="column">
                          <wp:posOffset>151765</wp:posOffset>
                        </wp:positionH>
                        <wp:positionV relativeFrom="paragraph">
                          <wp:posOffset>-717550</wp:posOffset>
                        </wp:positionV>
                        <wp:extent cx="1076325" cy="845185"/>
                        <wp:effectExtent l="19050" t="0" r="9525" b="0"/>
                        <wp:wrapSquare wrapText="bothSides"/>
                        <wp:docPr id="53"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47"/>
                                <pic:cNvPicPr>
                                  <a:picLocks noChangeAspect="1" noChangeArrowheads="1"/>
                                </pic:cNvPicPr>
                              </pic:nvPicPr>
                              <pic:blipFill>
                                <a:blip r:embed="rId24" cstate="print"/>
                                <a:srcRect/>
                                <a:stretch>
                                  <a:fillRect/>
                                </a:stretch>
                              </pic:blipFill>
                              <pic:spPr>
                                <a:xfrm>
                                  <a:off x="0" y="0"/>
                                  <a:ext cx="1076325" cy="845185"/>
                                </a:xfrm>
                                <a:prstGeom prst="rect">
                                  <a:avLst/>
                                </a:prstGeom>
                                <a:noFill/>
                                <a:ln w="9525">
                                  <a:noFill/>
                                  <a:miter lim="800000"/>
                                  <a:headEnd/>
                                  <a:tailEnd/>
                                </a:ln>
                              </pic:spPr>
                            </pic:pic>
                          </a:graphicData>
                        </a:graphic>
                      </wp:anchor>
                    </w:drawing>
                  </w:r>
                </w:p>
              </w:tc>
              <w:tc>
                <w:tcPr>
                  <w:tcW w:w="1652" w:type="dxa"/>
                  <w:vAlign w:val="center"/>
                </w:tcPr>
                <w:p w14:paraId="129F552B">
                  <w:pPr>
                    <w:rPr>
                      <w:color w:val="auto"/>
                      <w:szCs w:val="21"/>
                    </w:rPr>
                  </w:pPr>
                  <w:r>
                    <w:rPr>
                      <w:rFonts w:hint="eastAsia"/>
                      <w:color w:val="auto"/>
                      <w:szCs w:val="21"/>
                    </w:rPr>
                    <w:t>危险废物提示图形符合</w:t>
                  </w:r>
                </w:p>
                <w:p w14:paraId="7CAD4B73">
                  <w:pPr>
                    <w:rPr>
                      <w:color w:val="auto"/>
                      <w:szCs w:val="21"/>
                    </w:rPr>
                  </w:pPr>
                  <w:r>
                    <w:rPr>
                      <w:rFonts w:hint="eastAsia"/>
                      <w:color w:val="auto"/>
                      <w:szCs w:val="21"/>
                    </w:rPr>
                    <w:t>表示危险废物贮存、处置场</w:t>
                  </w:r>
                </w:p>
              </w:tc>
            </w:tr>
          </w:tbl>
          <w:p w14:paraId="41025D30">
            <w:pPr>
              <w:spacing w:line="360" w:lineRule="auto"/>
              <w:ind w:firstLine="422" w:firstLineChars="200"/>
              <w:rPr>
                <w:b/>
                <w:snapToGrid w:val="0"/>
                <w:color w:val="auto"/>
                <w:kern w:val="0"/>
                <w:szCs w:val="21"/>
              </w:rPr>
            </w:pPr>
            <w:r>
              <w:rPr>
                <w:rFonts w:hint="eastAsia"/>
                <w:b/>
                <w:snapToGrid w:val="0"/>
                <w:color w:val="auto"/>
                <w:kern w:val="0"/>
                <w:szCs w:val="21"/>
              </w:rPr>
              <w:t>4</w:t>
            </w:r>
            <w:r>
              <w:rPr>
                <w:b/>
                <w:snapToGrid w:val="0"/>
                <w:color w:val="auto"/>
                <w:kern w:val="0"/>
                <w:szCs w:val="21"/>
              </w:rPr>
              <w:t>、管理监测信息公开</w:t>
            </w:r>
          </w:p>
          <w:p w14:paraId="02E2AC6D">
            <w:pPr>
              <w:spacing w:line="360" w:lineRule="auto"/>
              <w:ind w:firstLine="420" w:firstLineChars="200"/>
              <w:rPr>
                <w:snapToGrid w:val="0"/>
                <w:color w:val="auto"/>
                <w:kern w:val="0"/>
                <w:szCs w:val="21"/>
              </w:rPr>
            </w:pPr>
            <w:r>
              <w:rPr>
                <w:snapToGrid w:val="0"/>
                <w:color w:val="auto"/>
                <w:kern w:val="0"/>
                <w:szCs w:val="21"/>
              </w:rPr>
              <w:t>根据《企业事业单位环境信息公开办法》，企业事业单位应当建立健全本单位环境信息公开制度，指定机构负责本单位环境信息公开日常工作，通过其网站、企业事业单位环境信息公开平台或者当地报刊等便于公众知晓的方式公开环境信息，主要公开内容如下：</w:t>
            </w:r>
          </w:p>
          <w:p w14:paraId="20372174">
            <w:pPr>
              <w:spacing w:line="360" w:lineRule="auto"/>
              <w:ind w:firstLine="420" w:firstLineChars="200"/>
              <w:rPr>
                <w:snapToGrid w:val="0"/>
                <w:color w:val="auto"/>
                <w:kern w:val="0"/>
                <w:szCs w:val="21"/>
              </w:rPr>
            </w:pPr>
            <w:r>
              <w:rPr>
                <w:snapToGrid w:val="0"/>
                <w:color w:val="auto"/>
                <w:kern w:val="0"/>
                <w:szCs w:val="21"/>
              </w:rPr>
              <w:t>1）基础信息，包括单位名称、组织机构代码、法定代表人、生产地址、联系方式，以及生产经营和管理服务的主要内容、产品及规模；</w:t>
            </w:r>
          </w:p>
          <w:p w14:paraId="485BC0B2">
            <w:pPr>
              <w:spacing w:line="360" w:lineRule="auto"/>
              <w:ind w:firstLine="420" w:firstLineChars="200"/>
              <w:rPr>
                <w:snapToGrid w:val="0"/>
                <w:color w:val="auto"/>
                <w:kern w:val="0"/>
                <w:szCs w:val="21"/>
              </w:rPr>
            </w:pPr>
            <w:r>
              <w:rPr>
                <w:snapToGrid w:val="0"/>
                <w:color w:val="auto"/>
                <w:kern w:val="0"/>
                <w:szCs w:val="21"/>
              </w:rPr>
              <w:t>2）排污信息，包括主要污染物及特征污染物的名称、排放方式、排放口数量和分布情况、排放浓度和总量、超标情况以及执行的污染物排放标准、核定的排放总量；</w:t>
            </w:r>
          </w:p>
          <w:p w14:paraId="32780E33">
            <w:pPr>
              <w:spacing w:line="360" w:lineRule="auto"/>
              <w:ind w:firstLine="420" w:firstLineChars="200"/>
              <w:rPr>
                <w:snapToGrid w:val="0"/>
                <w:color w:val="auto"/>
                <w:kern w:val="0"/>
                <w:szCs w:val="21"/>
              </w:rPr>
            </w:pPr>
            <w:r>
              <w:rPr>
                <w:snapToGrid w:val="0"/>
                <w:color w:val="auto"/>
                <w:kern w:val="0"/>
                <w:szCs w:val="21"/>
              </w:rPr>
              <w:t>3）防治污染设施的建设和运行情况；</w:t>
            </w:r>
          </w:p>
          <w:p w14:paraId="01260A16">
            <w:pPr>
              <w:spacing w:line="360" w:lineRule="auto"/>
              <w:ind w:firstLine="420" w:firstLineChars="200"/>
              <w:rPr>
                <w:snapToGrid w:val="0"/>
                <w:color w:val="auto"/>
                <w:kern w:val="0"/>
                <w:szCs w:val="21"/>
              </w:rPr>
            </w:pPr>
            <w:r>
              <w:rPr>
                <w:snapToGrid w:val="0"/>
                <w:color w:val="auto"/>
                <w:kern w:val="0"/>
                <w:szCs w:val="21"/>
              </w:rPr>
              <w:t>4）建设项目环境影响评价及其他环境保护行政许可情况；</w:t>
            </w:r>
          </w:p>
          <w:p w14:paraId="075F6CB2">
            <w:pPr>
              <w:spacing w:line="360" w:lineRule="auto"/>
              <w:ind w:firstLine="420" w:firstLineChars="200"/>
              <w:rPr>
                <w:snapToGrid w:val="0"/>
                <w:color w:val="auto"/>
                <w:kern w:val="0"/>
                <w:szCs w:val="21"/>
              </w:rPr>
            </w:pPr>
            <w:r>
              <w:rPr>
                <w:snapToGrid w:val="0"/>
                <w:color w:val="auto"/>
                <w:kern w:val="0"/>
                <w:szCs w:val="21"/>
              </w:rPr>
              <w:t>5）其他应当公开的环境信息。如竣工环境保护验收备案、自行监测工作开展情况及监测结果。</w:t>
            </w:r>
          </w:p>
          <w:p w14:paraId="717A53A2">
            <w:pPr>
              <w:adjustRightInd w:val="0"/>
              <w:snapToGrid w:val="0"/>
              <w:rPr>
                <w:color w:val="auto"/>
                <w:szCs w:val="21"/>
              </w:rPr>
            </w:pPr>
          </w:p>
          <w:p w14:paraId="015023B4">
            <w:pPr>
              <w:adjustRightInd w:val="0"/>
              <w:snapToGrid w:val="0"/>
              <w:rPr>
                <w:color w:val="auto"/>
                <w:szCs w:val="21"/>
              </w:rPr>
            </w:pPr>
          </w:p>
          <w:p w14:paraId="685D0287">
            <w:pPr>
              <w:adjustRightInd w:val="0"/>
              <w:snapToGrid w:val="0"/>
              <w:rPr>
                <w:color w:val="auto"/>
                <w:szCs w:val="21"/>
              </w:rPr>
            </w:pPr>
          </w:p>
          <w:p w14:paraId="09DC10D5">
            <w:pPr>
              <w:adjustRightInd w:val="0"/>
              <w:snapToGrid w:val="0"/>
              <w:rPr>
                <w:color w:val="auto"/>
                <w:szCs w:val="21"/>
              </w:rPr>
            </w:pPr>
          </w:p>
          <w:p w14:paraId="05A5544E">
            <w:pPr>
              <w:adjustRightInd w:val="0"/>
              <w:snapToGrid w:val="0"/>
              <w:rPr>
                <w:color w:val="auto"/>
                <w:szCs w:val="21"/>
              </w:rPr>
            </w:pPr>
          </w:p>
          <w:p w14:paraId="06D9EDA3">
            <w:pPr>
              <w:adjustRightInd w:val="0"/>
              <w:snapToGrid w:val="0"/>
              <w:rPr>
                <w:color w:val="auto"/>
                <w:szCs w:val="21"/>
              </w:rPr>
            </w:pPr>
          </w:p>
          <w:p w14:paraId="4CC79154">
            <w:pPr>
              <w:adjustRightInd w:val="0"/>
              <w:snapToGrid w:val="0"/>
              <w:rPr>
                <w:color w:val="auto"/>
                <w:szCs w:val="21"/>
              </w:rPr>
            </w:pPr>
          </w:p>
          <w:p w14:paraId="7C18CAD0">
            <w:pPr>
              <w:adjustRightInd w:val="0"/>
              <w:snapToGrid w:val="0"/>
              <w:rPr>
                <w:color w:val="auto"/>
                <w:szCs w:val="21"/>
              </w:rPr>
            </w:pPr>
          </w:p>
          <w:p w14:paraId="7360E0E6">
            <w:pPr>
              <w:adjustRightInd w:val="0"/>
              <w:snapToGrid w:val="0"/>
              <w:rPr>
                <w:color w:val="auto"/>
                <w:szCs w:val="21"/>
              </w:rPr>
            </w:pPr>
          </w:p>
          <w:p w14:paraId="758CD458">
            <w:pPr>
              <w:adjustRightInd w:val="0"/>
              <w:snapToGrid w:val="0"/>
              <w:rPr>
                <w:color w:val="auto"/>
                <w:szCs w:val="21"/>
              </w:rPr>
            </w:pPr>
          </w:p>
          <w:p w14:paraId="14A00BA0">
            <w:pPr>
              <w:adjustRightInd w:val="0"/>
              <w:snapToGrid w:val="0"/>
              <w:rPr>
                <w:color w:val="auto"/>
                <w:szCs w:val="21"/>
              </w:rPr>
            </w:pPr>
          </w:p>
          <w:p w14:paraId="19F50623">
            <w:pPr>
              <w:adjustRightInd w:val="0"/>
              <w:snapToGrid w:val="0"/>
              <w:rPr>
                <w:color w:val="auto"/>
                <w:szCs w:val="21"/>
              </w:rPr>
            </w:pPr>
          </w:p>
          <w:p w14:paraId="476DAB98">
            <w:pPr>
              <w:adjustRightInd w:val="0"/>
              <w:snapToGrid w:val="0"/>
              <w:rPr>
                <w:color w:val="auto"/>
                <w:szCs w:val="21"/>
              </w:rPr>
            </w:pPr>
          </w:p>
          <w:p w14:paraId="4B571CB4">
            <w:pPr>
              <w:adjustRightInd w:val="0"/>
              <w:snapToGrid w:val="0"/>
              <w:rPr>
                <w:color w:val="auto"/>
                <w:szCs w:val="21"/>
              </w:rPr>
            </w:pPr>
          </w:p>
          <w:p w14:paraId="6D10BB15">
            <w:pPr>
              <w:adjustRightInd w:val="0"/>
              <w:snapToGrid w:val="0"/>
              <w:rPr>
                <w:color w:val="auto"/>
                <w:szCs w:val="21"/>
              </w:rPr>
            </w:pPr>
          </w:p>
          <w:p w14:paraId="245C99AA">
            <w:pPr>
              <w:adjustRightInd w:val="0"/>
              <w:snapToGrid w:val="0"/>
              <w:rPr>
                <w:color w:val="auto"/>
                <w:szCs w:val="21"/>
              </w:rPr>
            </w:pPr>
          </w:p>
          <w:p w14:paraId="2CD1C268">
            <w:pPr>
              <w:adjustRightInd w:val="0"/>
              <w:snapToGrid w:val="0"/>
              <w:rPr>
                <w:color w:val="auto"/>
                <w:szCs w:val="21"/>
              </w:rPr>
            </w:pPr>
          </w:p>
          <w:p w14:paraId="45D80E05">
            <w:pPr>
              <w:adjustRightInd w:val="0"/>
              <w:snapToGrid w:val="0"/>
              <w:rPr>
                <w:color w:val="auto"/>
                <w:szCs w:val="21"/>
              </w:rPr>
            </w:pPr>
          </w:p>
          <w:p w14:paraId="115810A1">
            <w:pPr>
              <w:adjustRightInd w:val="0"/>
              <w:snapToGrid w:val="0"/>
              <w:rPr>
                <w:color w:val="auto"/>
                <w:szCs w:val="21"/>
              </w:rPr>
            </w:pPr>
          </w:p>
          <w:p w14:paraId="77ACE6D9">
            <w:pPr>
              <w:adjustRightInd w:val="0"/>
              <w:snapToGrid w:val="0"/>
              <w:rPr>
                <w:color w:val="auto"/>
                <w:szCs w:val="21"/>
              </w:rPr>
            </w:pPr>
          </w:p>
          <w:p w14:paraId="7389E0B3">
            <w:pPr>
              <w:adjustRightInd w:val="0"/>
              <w:snapToGrid w:val="0"/>
              <w:rPr>
                <w:color w:val="auto"/>
                <w:szCs w:val="21"/>
              </w:rPr>
            </w:pPr>
          </w:p>
          <w:p w14:paraId="6B1FF380">
            <w:pPr>
              <w:adjustRightInd w:val="0"/>
              <w:snapToGrid w:val="0"/>
              <w:rPr>
                <w:color w:val="auto"/>
                <w:szCs w:val="21"/>
              </w:rPr>
            </w:pPr>
          </w:p>
          <w:p w14:paraId="4C9FF4F3">
            <w:pPr>
              <w:adjustRightInd w:val="0"/>
              <w:snapToGrid w:val="0"/>
              <w:rPr>
                <w:color w:val="auto"/>
                <w:szCs w:val="21"/>
              </w:rPr>
            </w:pPr>
          </w:p>
          <w:p w14:paraId="663D23D6">
            <w:pPr>
              <w:adjustRightInd w:val="0"/>
              <w:snapToGrid w:val="0"/>
              <w:rPr>
                <w:color w:val="auto"/>
                <w:szCs w:val="21"/>
              </w:rPr>
            </w:pPr>
          </w:p>
        </w:tc>
      </w:tr>
    </w:tbl>
    <w:p w14:paraId="03D21D7D">
      <w:pPr>
        <w:pStyle w:val="41"/>
        <w:jc w:val="center"/>
        <w:outlineLvl w:val="0"/>
        <w:rPr>
          <w:rFonts w:ascii="Times New Roman" w:hAnsi="Times New Roman" w:eastAsia="黑体"/>
          <w:snapToGrid w:val="0"/>
          <w:sz w:val="30"/>
          <w:szCs w:val="30"/>
        </w:rPr>
      </w:pPr>
      <w:r>
        <w:rPr>
          <w:rFonts w:ascii="Times New Roman" w:hAnsi="Times New Roman"/>
          <w:snapToGrid w:val="0"/>
        </w:rPr>
        <w:br w:type="page"/>
      </w:r>
      <w:bookmarkStart w:id="10" w:name="_Toc11029"/>
      <w:r>
        <w:rPr>
          <w:rFonts w:ascii="Times New Roman" w:hAnsi="Times New Roman" w:eastAsia="黑体"/>
          <w:snapToGrid w:val="0"/>
          <w:sz w:val="30"/>
          <w:szCs w:val="30"/>
        </w:rPr>
        <w:t>六、结论</w:t>
      </w:r>
      <w:bookmarkEnd w:id="10"/>
    </w:p>
    <w:tbl>
      <w:tblPr>
        <w:tblStyle w:val="47"/>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414AD86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vAlign w:val="center"/>
          </w:tcPr>
          <w:p w14:paraId="5221DB34">
            <w:pPr>
              <w:spacing w:line="360" w:lineRule="auto"/>
              <w:ind w:firstLine="413" w:firstLineChars="196"/>
              <w:rPr>
                <w:szCs w:val="21"/>
              </w:rPr>
            </w:pPr>
            <w:r>
              <w:rPr>
                <w:b/>
                <w:szCs w:val="21"/>
                <w:lang w:val="zh-CN"/>
              </w:rPr>
              <w:t>综上所述，</w:t>
            </w:r>
            <w:r>
              <w:rPr>
                <w:rFonts w:hint="eastAsia"/>
                <w:b/>
                <w:szCs w:val="21"/>
                <w:lang w:val="zh-CN"/>
              </w:rPr>
              <w:t>大同市泰康国际医养中心项目</w:t>
            </w:r>
            <w:r>
              <w:rPr>
                <w:b/>
                <w:szCs w:val="21"/>
                <w:lang w:val="zh-CN"/>
              </w:rPr>
              <w:t>符合国家产业政策的要求，选址符合环保政策和当地规划的要求，在严格落实本次环评规定的环保措施并加强运行管理后，各污染物可以稳定达标排放，本评价认为</w:t>
            </w:r>
            <w:r>
              <w:rPr>
                <w:rFonts w:hint="eastAsia"/>
                <w:b/>
                <w:szCs w:val="21"/>
                <w:lang w:val="en-US" w:eastAsia="zh-CN"/>
              </w:rPr>
              <w:t>从环保角度，</w:t>
            </w:r>
            <w:r>
              <w:rPr>
                <w:b/>
                <w:szCs w:val="21"/>
                <w:lang w:val="zh-CN"/>
              </w:rPr>
              <w:t>项目建设可行的。</w:t>
            </w:r>
          </w:p>
        </w:tc>
      </w:tr>
    </w:tbl>
    <w:p w14:paraId="42DB4B32">
      <w:p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7A6E0979">
      <w:pPr>
        <w:pStyle w:val="41"/>
        <w:adjustRightInd w:val="0"/>
        <w:snapToGrid w:val="0"/>
        <w:spacing w:before="0" w:beforeAutospacing="0" w:after="0" w:afterAutospacing="0" w:line="360" w:lineRule="auto"/>
        <w:jc w:val="left"/>
        <w:outlineLvl w:val="0"/>
        <w:rPr>
          <w:rFonts w:ascii="Times New Roman" w:hAnsi="Times New Roman" w:eastAsia="方正小标宋_GBK"/>
          <w:snapToGrid w:val="0"/>
          <w:sz w:val="38"/>
          <w:szCs w:val="38"/>
        </w:rPr>
      </w:pPr>
      <w:bookmarkStart w:id="11" w:name="_Toc21181"/>
      <w:r>
        <w:rPr>
          <w:rFonts w:ascii="Times New Roman" w:hAnsi="Times New Roman" w:eastAsia="方正小标宋_GBK"/>
          <w:snapToGrid w:val="0"/>
          <w:sz w:val="38"/>
          <w:szCs w:val="38"/>
        </w:rPr>
        <w:t>附表</w:t>
      </w:r>
      <w:bookmarkEnd w:id="11"/>
    </w:p>
    <w:p w14:paraId="5D4D27A9">
      <w:pPr>
        <w:pStyle w:val="41"/>
        <w:adjustRightInd w:val="0"/>
        <w:snapToGrid w:val="0"/>
        <w:spacing w:before="0" w:beforeAutospacing="0" w:after="0" w:afterAutospacing="0" w:line="360" w:lineRule="auto"/>
        <w:jc w:val="center"/>
        <w:outlineLvl w:val="0"/>
        <w:rPr>
          <w:rFonts w:ascii="Times New Roman" w:hAnsi="Times New Roman" w:eastAsia="宋体" w:cs="Times New Roman"/>
          <w:b/>
          <w:kern w:val="2"/>
          <w:sz w:val="36"/>
          <w:szCs w:val="36"/>
          <w:lang w:val="zh-CN" w:eastAsia="zh-CN" w:bidi="ar-SA"/>
        </w:rPr>
      </w:pPr>
      <w:bookmarkStart w:id="12" w:name="_Toc29531"/>
      <w:r>
        <w:rPr>
          <w:rFonts w:ascii="Times New Roman" w:hAnsi="Times New Roman" w:eastAsia="宋体" w:cs="Times New Roman"/>
          <w:b/>
          <w:kern w:val="2"/>
          <w:sz w:val="36"/>
          <w:szCs w:val="36"/>
          <w:lang w:val="zh-CN" w:eastAsia="zh-CN" w:bidi="ar-SA"/>
        </w:rPr>
        <w:t>建设项目污染物排放量汇总表</w:t>
      </w:r>
      <w:bookmarkEnd w:id="12"/>
    </w:p>
    <w:tbl>
      <w:tblPr>
        <w:tblStyle w:val="47"/>
        <w:tblW w:w="0" w:type="auto"/>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88"/>
        <w:gridCol w:w="1417"/>
        <w:gridCol w:w="1701"/>
        <w:gridCol w:w="1276"/>
        <w:gridCol w:w="1701"/>
        <w:gridCol w:w="1559"/>
        <w:gridCol w:w="1761"/>
        <w:gridCol w:w="1499"/>
        <w:gridCol w:w="1286"/>
      </w:tblGrid>
      <w:tr w14:paraId="47A6877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1588" w:type="dxa"/>
            <w:tcBorders>
              <w:tl2br w:val="single" w:color="auto" w:sz="4" w:space="0"/>
            </w:tcBorders>
            <w:tcMar>
              <w:left w:w="28" w:type="dxa"/>
              <w:right w:w="28" w:type="dxa"/>
            </w:tcMar>
            <w:vAlign w:val="center"/>
          </w:tcPr>
          <w:p w14:paraId="4978F3C9">
            <w:pPr>
              <w:pStyle w:val="64"/>
              <w:spacing w:beforeLines="0" w:afterLines="0" w:line="240" w:lineRule="auto"/>
              <w:jc w:val="right"/>
              <w:rPr>
                <w:rFonts w:ascii="Times New Roman" w:eastAsia="黑体"/>
                <w:snapToGrid w:val="0"/>
                <w:color w:val="auto"/>
                <w:spacing w:val="-6"/>
                <w:kern w:val="21"/>
                <w:szCs w:val="21"/>
              </w:rPr>
            </w:pPr>
            <w:r>
              <w:rPr>
                <w:rFonts w:ascii="Times New Roman" w:eastAsia="黑体"/>
                <w:snapToGrid w:val="0"/>
                <w:color w:val="auto"/>
                <w:spacing w:val="-6"/>
                <w:kern w:val="21"/>
                <w:szCs w:val="21"/>
              </w:rPr>
              <w:t>项目</w:t>
            </w:r>
          </w:p>
          <w:p w14:paraId="6F5BEFA5">
            <w:pPr>
              <w:pStyle w:val="64"/>
              <w:spacing w:beforeLines="0" w:afterLines="0" w:line="240" w:lineRule="auto"/>
              <w:jc w:val="left"/>
              <w:rPr>
                <w:rFonts w:ascii="Times New Roman" w:eastAsia="黑体"/>
                <w:snapToGrid w:val="0"/>
                <w:color w:val="auto"/>
                <w:spacing w:val="-6"/>
                <w:kern w:val="21"/>
                <w:szCs w:val="21"/>
              </w:rPr>
            </w:pPr>
            <w:r>
              <w:rPr>
                <w:rFonts w:ascii="Times New Roman" w:eastAsia="黑体"/>
                <w:snapToGrid w:val="0"/>
                <w:color w:val="auto"/>
                <w:spacing w:val="-6"/>
                <w:kern w:val="21"/>
                <w:szCs w:val="21"/>
              </w:rPr>
              <w:t>分类</w:t>
            </w:r>
          </w:p>
        </w:tc>
        <w:tc>
          <w:tcPr>
            <w:tcW w:w="1417" w:type="dxa"/>
            <w:tcMar>
              <w:left w:w="28" w:type="dxa"/>
              <w:right w:w="28" w:type="dxa"/>
            </w:tcMar>
            <w:vAlign w:val="center"/>
          </w:tcPr>
          <w:p w14:paraId="267BC350">
            <w:pPr>
              <w:pStyle w:val="64"/>
              <w:spacing w:beforeLines="0" w:afterLines="0" w:line="240" w:lineRule="auto"/>
              <w:rPr>
                <w:rFonts w:ascii="Times New Roman" w:eastAsia="黑体"/>
                <w:snapToGrid w:val="0"/>
                <w:color w:val="auto"/>
                <w:spacing w:val="-6"/>
                <w:kern w:val="21"/>
                <w:szCs w:val="21"/>
              </w:rPr>
            </w:pPr>
            <w:r>
              <w:rPr>
                <w:rFonts w:ascii="Times New Roman" w:eastAsia="黑体"/>
                <w:snapToGrid w:val="0"/>
                <w:color w:val="auto"/>
                <w:spacing w:val="-6"/>
                <w:kern w:val="21"/>
                <w:szCs w:val="21"/>
              </w:rPr>
              <w:t>污染物名称</w:t>
            </w:r>
          </w:p>
        </w:tc>
        <w:tc>
          <w:tcPr>
            <w:tcW w:w="1701" w:type="dxa"/>
            <w:tcMar>
              <w:left w:w="28" w:type="dxa"/>
              <w:right w:w="28" w:type="dxa"/>
            </w:tcMar>
            <w:vAlign w:val="center"/>
          </w:tcPr>
          <w:p w14:paraId="6B600A23">
            <w:pPr>
              <w:pStyle w:val="64"/>
              <w:spacing w:beforeLines="0" w:afterLines="0" w:line="240" w:lineRule="auto"/>
              <w:rPr>
                <w:rFonts w:ascii="Times New Roman" w:eastAsia="黑体"/>
                <w:snapToGrid w:val="0"/>
                <w:color w:val="auto"/>
                <w:spacing w:val="-6"/>
                <w:kern w:val="21"/>
                <w:szCs w:val="21"/>
              </w:rPr>
            </w:pPr>
            <w:r>
              <w:rPr>
                <w:rFonts w:ascii="Times New Roman" w:eastAsia="黑体"/>
                <w:snapToGrid w:val="0"/>
                <w:color w:val="auto"/>
                <w:spacing w:val="-6"/>
                <w:kern w:val="21"/>
                <w:szCs w:val="21"/>
              </w:rPr>
              <w:t>现有工程</w:t>
            </w:r>
          </w:p>
          <w:p w14:paraId="7470C2B3">
            <w:pPr>
              <w:pStyle w:val="64"/>
              <w:spacing w:beforeLines="0" w:afterLines="0" w:line="240" w:lineRule="auto"/>
              <w:rPr>
                <w:rFonts w:ascii="Times New Roman" w:eastAsia="黑体"/>
                <w:snapToGrid w:val="0"/>
                <w:color w:val="auto"/>
                <w:spacing w:val="-6"/>
                <w:kern w:val="21"/>
                <w:szCs w:val="21"/>
              </w:rPr>
            </w:pPr>
            <w:r>
              <w:rPr>
                <w:rFonts w:ascii="Times New Roman" w:eastAsia="黑体"/>
                <w:snapToGrid w:val="0"/>
                <w:color w:val="auto"/>
                <w:spacing w:val="-6"/>
                <w:kern w:val="21"/>
                <w:szCs w:val="21"/>
              </w:rPr>
              <w:t>排放量（固体废物产生量）</w:t>
            </w:r>
            <w:r>
              <w:rPr>
                <w:rFonts w:ascii="Times New Roman" w:eastAsia="黑体"/>
                <w:snapToGrid w:val="0"/>
                <w:color w:val="auto"/>
                <w:spacing w:val="-6"/>
                <w:kern w:val="21"/>
                <w:szCs w:val="21"/>
              </w:rPr>
              <w:fldChar w:fldCharType="begin"/>
            </w:r>
            <w:r>
              <w:rPr>
                <w:rFonts w:ascii="Times New Roman" w:eastAsia="黑体"/>
                <w:snapToGrid w:val="0"/>
                <w:color w:val="auto"/>
                <w:spacing w:val="-6"/>
                <w:kern w:val="21"/>
                <w:szCs w:val="21"/>
              </w:rPr>
              <w:instrText xml:space="preserve"> = 1 \* GB3 \* MERGEFORMAT </w:instrText>
            </w:r>
            <w:r>
              <w:rPr>
                <w:rFonts w:ascii="Times New Roman" w:eastAsia="黑体"/>
                <w:snapToGrid w:val="0"/>
                <w:color w:val="auto"/>
                <w:spacing w:val="-6"/>
                <w:kern w:val="21"/>
                <w:szCs w:val="21"/>
              </w:rPr>
              <w:fldChar w:fldCharType="separate"/>
            </w:r>
            <w:r>
              <w:rPr>
                <w:color w:val="auto"/>
                <w:kern w:val="2"/>
                <w:szCs w:val="21"/>
              </w:rPr>
              <w:t>①</w:t>
            </w:r>
            <w:r>
              <w:rPr>
                <w:rFonts w:ascii="Times New Roman" w:eastAsia="黑体"/>
                <w:snapToGrid w:val="0"/>
                <w:color w:val="auto"/>
                <w:spacing w:val="-6"/>
                <w:kern w:val="21"/>
                <w:szCs w:val="21"/>
              </w:rPr>
              <w:fldChar w:fldCharType="end"/>
            </w:r>
          </w:p>
        </w:tc>
        <w:tc>
          <w:tcPr>
            <w:tcW w:w="1276" w:type="dxa"/>
            <w:tcMar>
              <w:left w:w="28" w:type="dxa"/>
              <w:right w:w="28" w:type="dxa"/>
            </w:tcMar>
            <w:vAlign w:val="center"/>
          </w:tcPr>
          <w:p w14:paraId="03CB5F63">
            <w:pPr>
              <w:pStyle w:val="64"/>
              <w:spacing w:beforeLines="0" w:afterLines="0" w:line="240" w:lineRule="auto"/>
              <w:rPr>
                <w:rFonts w:ascii="Times New Roman" w:eastAsia="黑体"/>
                <w:snapToGrid w:val="0"/>
                <w:color w:val="auto"/>
                <w:spacing w:val="-6"/>
                <w:kern w:val="21"/>
                <w:szCs w:val="21"/>
              </w:rPr>
            </w:pPr>
            <w:r>
              <w:rPr>
                <w:rFonts w:ascii="Times New Roman" w:eastAsia="黑体"/>
                <w:snapToGrid w:val="0"/>
                <w:color w:val="auto"/>
                <w:spacing w:val="-6"/>
                <w:kern w:val="21"/>
                <w:szCs w:val="21"/>
              </w:rPr>
              <w:t>现有工程</w:t>
            </w:r>
          </w:p>
          <w:p w14:paraId="6EE5D8E3">
            <w:pPr>
              <w:pStyle w:val="64"/>
              <w:spacing w:beforeLines="0" w:afterLines="0" w:line="240" w:lineRule="auto"/>
              <w:rPr>
                <w:rFonts w:ascii="Times New Roman" w:eastAsia="黑体"/>
                <w:snapToGrid w:val="0"/>
                <w:color w:val="auto"/>
                <w:spacing w:val="-6"/>
                <w:kern w:val="21"/>
                <w:szCs w:val="21"/>
              </w:rPr>
            </w:pPr>
            <w:r>
              <w:rPr>
                <w:rFonts w:ascii="Times New Roman" w:eastAsia="黑体"/>
                <w:snapToGrid w:val="0"/>
                <w:color w:val="auto"/>
                <w:spacing w:val="-6"/>
                <w:kern w:val="21"/>
                <w:szCs w:val="21"/>
              </w:rPr>
              <w:t>许可排放量</w:t>
            </w:r>
          </w:p>
          <w:p w14:paraId="3DD415D1">
            <w:pPr>
              <w:pStyle w:val="64"/>
              <w:spacing w:beforeLines="0" w:afterLines="0"/>
              <w:rPr>
                <w:rFonts w:ascii="Times New Roman" w:eastAsia="黑体"/>
                <w:snapToGrid w:val="0"/>
                <w:color w:val="auto"/>
                <w:spacing w:val="-6"/>
                <w:kern w:val="21"/>
                <w:szCs w:val="21"/>
              </w:rPr>
            </w:pPr>
            <w:r>
              <w:rPr>
                <w:rFonts w:ascii="Times New Roman" w:eastAsia="黑体"/>
                <w:snapToGrid w:val="0"/>
                <w:color w:val="auto"/>
                <w:spacing w:val="-6"/>
                <w:kern w:val="21"/>
                <w:szCs w:val="21"/>
              </w:rPr>
              <w:fldChar w:fldCharType="begin"/>
            </w:r>
            <w:r>
              <w:rPr>
                <w:rFonts w:ascii="Times New Roman" w:eastAsia="黑体"/>
                <w:snapToGrid w:val="0"/>
                <w:color w:val="auto"/>
                <w:spacing w:val="-6"/>
                <w:kern w:val="21"/>
                <w:szCs w:val="21"/>
              </w:rPr>
              <w:instrText xml:space="preserve"> = 2 \* GB3 \* MERGEFORMAT </w:instrText>
            </w:r>
            <w:r>
              <w:rPr>
                <w:rFonts w:ascii="Times New Roman" w:eastAsia="黑体"/>
                <w:snapToGrid w:val="0"/>
                <w:color w:val="auto"/>
                <w:spacing w:val="-6"/>
                <w:kern w:val="21"/>
                <w:szCs w:val="21"/>
              </w:rPr>
              <w:fldChar w:fldCharType="separate"/>
            </w:r>
            <w:r>
              <w:rPr>
                <w:snapToGrid w:val="0"/>
                <w:color w:val="auto"/>
                <w:spacing w:val="-6"/>
                <w:kern w:val="21"/>
                <w:szCs w:val="21"/>
              </w:rPr>
              <w:t>②</w:t>
            </w:r>
            <w:r>
              <w:rPr>
                <w:rFonts w:ascii="Times New Roman" w:eastAsia="黑体"/>
                <w:snapToGrid w:val="0"/>
                <w:color w:val="auto"/>
                <w:spacing w:val="-6"/>
                <w:kern w:val="21"/>
                <w:szCs w:val="21"/>
              </w:rPr>
              <w:fldChar w:fldCharType="end"/>
            </w:r>
          </w:p>
        </w:tc>
        <w:tc>
          <w:tcPr>
            <w:tcW w:w="1701" w:type="dxa"/>
            <w:tcMar>
              <w:left w:w="28" w:type="dxa"/>
              <w:right w:w="28" w:type="dxa"/>
            </w:tcMar>
            <w:vAlign w:val="center"/>
          </w:tcPr>
          <w:p w14:paraId="311F26E7">
            <w:pPr>
              <w:pStyle w:val="64"/>
              <w:spacing w:beforeLines="0" w:afterLines="0" w:line="240" w:lineRule="auto"/>
              <w:rPr>
                <w:rFonts w:ascii="Times New Roman" w:eastAsia="黑体"/>
                <w:snapToGrid w:val="0"/>
                <w:color w:val="auto"/>
                <w:spacing w:val="-6"/>
                <w:kern w:val="21"/>
                <w:szCs w:val="21"/>
              </w:rPr>
            </w:pPr>
            <w:r>
              <w:rPr>
                <w:rFonts w:ascii="Times New Roman" w:eastAsia="黑体"/>
                <w:snapToGrid w:val="0"/>
                <w:color w:val="auto"/>
                <w:spacing w:val="-6"/>
                <w:kern w:val="21"/>
                <w:szCs w:val="21"/>
              </w:rPr>
              <w:t>在建工程</w:t>
            </w:r>
          </w:p>
          <w:p w14:paraId="59511A65">
            <w:pPr>
              <w:pStyle w:val="64"/>
              <w:spacing w:beforeLines="0" w:afterLines="0" w:line="240" w:lineRule="auto"/>
              <w:rPr>
                <w:rFonts w:ascii="Times New Roman" w:eastAsia="黑体"/>
                <w:snapToGrid w:val="0"/>
                <w:color w:val="auto"/>
                <w:spacing w:val="-6"/>
                <w:kern w:val="21"/>
                <w:szCs w:val="21"/>
              </w:rPr>
            </w:pPr>
            <w:r>
              <w:rPr>
                <w:rFonts w:ascii="Times New Roman" w:eastAsia="黑体"/>
                <w:snapToGrid w:val="0"/>
                <w:color w:val="auto"/>
                <w:spacing w:val="-6"/>
                <w:kern w:val="21"/>
                <w:szCs w:val="21"/>
              </w:rPr>
              <w:t>排放量（固体废物产生量）</w:t>
            </w:r>
            <w:r>
              <w:rPr>
                <w:rFonts w:ascii="Times New Roman" w:eastAsia="黑体"/>
                <w:snapToGrid w:val="0"/>
                <w:color w:val="auto"/>
                <w:spacing w:val="-6"/>
                <w:kern w:val="21"/>
                <w:szCs w:val="21"/>
              </w:rPr>
              <w:fldChar w:fldCharType="begin"/>
            </w:r>
            <w:r>
              <w:rPr>
                <w:rFonts w:ascii="Times New Roman" w:eastAsia="黑体"/>
                <w:snapToGrid w:val="0"/>
                <w:color w:val="auto"/>
                <w:spacing w:val="-6"/>
                <w:kern w:val="21"/>
                <w:szCs w:val="21"/>
              </w:rPr>
              <w:instrText xml:space="preserve"> = 3 \* GB3 \* MERGEFORMAT </w:instrText>
            </w:r>
            <w:r>
              <w:rPr>
                <w:rFonts w:ascii="Times New Roman" w:eastAsia="黑体"/>
                <w:snapToGrid w:val="0"/>
                <w:color w:val="auto"/>
                <w:spacing w:val="-6"/>
                <w:kern w:val="21"/>
                <w:szCs w:val="21"/>
              </w:rPr>
              <w:fldChar w:fldCharType="separate"/>
            </w:r>
            <w:r>
              <w:rPr>
                <w:color w:val="auto"/>
                <w:kern w:val="2"/>
                <w:szCs w:val="21"/>
              </w:rPr>
              <w:t>③</w:t>
            </w:r>
            <w:r>
              <w:rPr>
                <w:rFonts w:ascii="Times New Roman" w:eastAsia="黑体"/>
                <w:snapToGrid w:val="0"/>
                <w:color w:val="auto"/>
                <w:spacing w:val="-6"/>
                <w:kern w:val="21"/>
                <w:szCs w:val="21"/>
              </w:rPr>
              <w:fldChar w:fldCharType="end"/>
            </w:r>
          </w:p>
        </w:tc>
        <w:tc>
          <w:tcPr>
            <w:tcW w:w="1559" w:type="dxa"/>
            <w:tcMar>
              <w:left w:w="28" w:type="dxa"/>
              <w:right w:w="28" w:type="dxa"/>
            </w:tcMar>
            <w:vAlign w:val="center"/>
          </w:tcPr>
          <w:p w14:paraId="60F3B202">
            <w:pPr>
              <w:pStyle w:val="64"/>
              <w:spacing w:beforeLines="0" w:afterLines="0" w:line="240" w:lineRule="auto"/>
              <w:rPr>
                <w:rFonts w:ascii="Times New Roman" w:eastAsia="黑体"/>
                <w:snapToGrid w:val="0"/>
                <w:color w:val="auto"/>
                <w:spacing w:val="-6"/>
                <w:kern w:val="21"/>
                <w:szCs w:val="21"/>
              </w:rPr>
            </w:pPr>
            <w:r>
              <w:rPr>
                <w:rFonts w:ascii="Times New Roman" w:eastAsia="黑体"/>
                <w:snapToGrid w:val="0"/>
                <w:color w:val="auto"/>
                <w:spacing w:val="-6"/>
                <w:kern w:val="21"/>
                <w:szCs w:val="21"/>
              </w:rPr>
              <w:t>本项目</w:t>
            </w:r>
          </w:p>
          <w:p w14:paraId="370B4168">
            <w:pPr>
              <w:pStyle w:val="64"/>
              <w:spacing w:beforeLines="0" w:afterLines="0" w:line="240" w:lineRule="auto"/>
              <w:rPr>
                <w:rFonts w:ascii="Times New Roman" w:eastAsia="黑体"/>
                <w:snapToGrid w:val="0"/>
                <w:color w:val="auto"/>
                <w:spacing w:val="-6"/>
                <w:kern w:val="21"/>
                <w:szCs w:val="21"/>
              </w:rPr>
            </w:pPr>
            <w:r>
              <w:rPr>
                <w:rFonts w:ascii="Times New Roman" w:eastAsia="黑体"/>
                <w:snapToGrid w:val="0"/>
                <w:color w:val="auto"/>
                <w:spacing w:val="-6"/>
                <w:kern w:val="21"/>
                <w:szCs w:val="21"/>
              </w:rPr>
              <w:t>排放量（固体废物产生量）</w:t>
            </w:r>
            <w:r>
              <w:rPr>
                <w:rFonts w:ascii="Times New Roman" w:eastAsia="黑体"/>
                <w:snapToGrid w:val="0"/>
                <w:color w:val="auto"/>
                <w:spacing w:val="-6"/>
                <w:kern w:val="21"/>
                <w:szCs w:val="21"/>
              </w:rPr>
              <w:fldChar w:fldCharType="begin"/>
            </w:r>
            <w:r>
              <w:rPr>
                <w:rFonts w:ascii="Times New Roman" w:eastAsia="黑体"/>
                <w:snapToGrid w:val="0"/>
                <w:color w:val="auto"/>
                <w:spacing w:val="-6"/>
                <w:kern w:val="21"/>
                <w:szCs w:val="21"/>
              </w:rPr>
              <w:instrText xml:space="preserve"> = 4 \* GB3 \* MERGEFORMAT </w:instrText>
            </w:r>
            <w:r>
              <w:rPr>
                <w:rFonts w:ascii="Times New Roman" w:eastAsia="黑体"/>
                <w:snapToGrid w:val="0"/>
                <w:color w:val="auto"/>
                <w:spacing w:val="-6"/>
                <w:kern w:val="21"/>
                <w:szCs w:val="21"/>
              </w:rPr>
              <w:fldChar w:fldCharType="separate"/>
            </w:r>
            <w:r>
              <w:rPr>
                <w:color w:val="auto"/>
                <w:kern w:val="2"/>
                <w:szCs w:val="21"/>
              </w:rPr>
              <w:t>④</w:t>
            </w:r>
            <w:r>
              <w:rPr>
                <w:rFonts w:ascii="Times New Roman" w:eastAsia="黑体"/>
                <w:snapToGrid w:val="0"/>
                <w:color w:val="auto"/>
                <w:spacing w:val="-6"/>
                <w:kern w:val="21"/>
                <w:szCs w:val="21"/>
              </w:rPr>
              <w:fldChar w:fldCharType="end"/>
            </w:r>
          </w:p>
        </w:tc>
        <w:tc>
          <w:tcPr>
            <w:tcW w:w="1761" w:type="dxa"/>
            <w:tcMar>
              <w:left w:w="28" w:type="dxa"/>
              <w:right w:w="28" w:type="dxa"/>
            </w:tcMar>
            <w:vAlign w:val="center"/>
          </w:tcPr>
          <w:p w14:paraId="5E44C3E4">
            <w:pPr>
              <w:pStyle w:val="64"/>
              <w:spacing w:beforeLines="0" w:afterLines="0" w:line="240" w:lineRule="auto"/>
              <w:rPr>
                <w:rFonts w:ascii="Times New Roman" w:eastAsia="黑体"/>
                <w:snapToGrid w:val="0"/>
                <w:color w:val="auto"/>
                <w:spacing w:val="-16"/>
                <w:kern w:val="21"/>
                <w:szCs w:val="21"/>
              </w:rPr>
            </w:pPr>
            <w:r>
              <w:rPr>
                <w:rFonts w:ascii="Times New Roman" w:eastAsia="黑体"/>
                <w:snapToGrid w:val="0"/>
                <w:color w:val="auto"/>
                <w:spacing w:val="-16"/>
                <w:kern w:val="21"/>
                <w:szCs w:val="21"/>
              </w:rPr>
              <w:t>以新带老削减量</w:t>
            </w:r>
          </w:p>
          <w:p w14:paraId="0C141064">
            <w:pPr>
              <w:pStyle w:val="64"/>
              <w:spacing w:beforeLines="0" w:afterLines="0" w:line="240" w:lineRule="auto"/>
              <w:rPr>
                <w:rFonts w:ascii="Times New Roman" w:eastAsia="黑体"/>
                <w:snapToGrid w:val="0"/>
                <w:color w:val="auto"/>
                <w:spacing w:val="-16"/>
                <w:kern w:val="21"/>
                <w:szCs w:val="21"/>
              </w:rPr>
            </w:pPr>
            <w:r>
              <w:rPr>
                <w:rFonts w:ascii="Times New Roman" w:eastAsia="黑体"/>
                <w:snapToGrid w:val="0"/>
                <w:color w:val="auto"/>
                <w:spacing w:val="-16"/>
                <w:kern w:val="21"/>
                <w:szCs w:val="21"/>
              </w:rPr>
              <w:t>（新建项目不填）</w:t>
            </w:r>
            <w:r>
              <w:rPr>
                <w:rFonts w:ascii="Times New Roman" w:eastAsia="黑体"/>
                <w:snapToGrid w:val="0"/>
                <w:color w:val="auto"/>
                <w:spacing w:val="-16"/>
                <w:kern w:val="21"/>
                <w:szCs w:val="21"/>
              </w:rPr>
              <w:fldChar w:fldCharType="begin"/>
            </w:r>
            <w:r>
              <w:rPr>
                <w:rFonts w:ascii="Times New Roman" w:eastAsia="黑体"/>
                <w:snapToGrid w:val="0"/>
                <w:color w:val="auto"/>
                <w:spacing w:val="-16"/>
                <w:kern w:val="21"/>
                <w:szCs w:val="21"/>
              </w:rPr>
              <w:instrText xml:space="preserve"> = 5 \* GB3 \* MERGEFORMAT </w:instrText>
            </w:r>
            <w:r>
              <w:rPr>
                <w:rFonts w:ascii="Times New Roman" w:eastAsia="黑体"/>
                <w:snapToGrid w:val="0"/>
                <w:color w:val="auto"/>
                <w:spacing w:val="-16"/>
                <w:kern w:val="21"/>
                <w:szCs w:val="21"/>
              </w:rPr>
              <w:fldChar w:fldCharType="separate"/>
            </w:r>
            <w:r>
              <w:rPr>
                <w:color w:val="auto"/>
                <w:kern w:val="2"/>
                <w:szCs w:val="21"/>
              </w:rPr>
              <w:t>⑤</w:t>
            </w:r>
            <w:r>
              <w:rPr>
                <w:rFonts w:ascii="Times New Roman" w:eastAsia="黑体"/>
                <w:snapToGrid w:val="0"/>
                <w:color w:val="auto"/>
                <w:spacing w:val="-16"/>
                <w:kern w:val="21"/>
                <w:szCs w:val="21"/>
              </w:rPr>
              <w:fldChar w:fldCharType="end"/>
            </w:r>
          </w:p>
        </w:tc>
        <w:tc>
          <w:tcPr>
            <w:tcW w:w="1499" w:type="dxa"/>
            <w:tcMar>
              <w:left w:w="28" w:type="dxa"/>
              <w:right w:w="28" w:type="dxa"/>
            </w:tcMar>
            <w:vAlign w:val="center"/>
          </w:tcPr>
          <w:p w14:paraId="49F773E8">
            <w:pPr>
              <w:pStyle w:val="64"/>
              <w:spacing w:beforeLines="0" w:afterLines="0" w:line="240" w:lineRule="auto"/>
              <w:rPr>
                <w:rFonts w:ascii="Times New Roman" w:eastAsia="黑体"/>
                <w:snapToGrid w:val="0"/>
                <w:color w:val="auto"/>
                <w:spacing w:val="-16"/>
                <w:kern w:val="21"/>
                <w:szCs w:val="21"/>
              </w:rPr>
            </w:pPr>
            <w:r>
              <w:rPr>
                <w:rFonts w:ascii="Times New Roman" w:eastAsia="黑体"/>
                <w:snapToGrid w:val="0"/>
                <w:color w:val="auto"/>
                <w:spacing w:val="-16"/>
                <w:kern w:val="21"/>
                <w:szCs w:val="21"/>
              </w:rPr>
              <w:t>本项目建成后</w:t>
            </w:r>
          </w:p>
          <w:p w14:paraId="7B74D7FC">
            <w:pPr>
              <w:pStyle w:val="64"/>
              <w:spacing w:beforeLines="0" w:afterLines="0" w:line="240" w:lineRule="auto"/>
              <w:rPr>
                <w:rFonts w:ascii="Times New Roman" w:eastAsia="黑体"/>
                <w:snapToGrid w:val="0"/>
                <w:color w:val="auto"/>
                <w:spacing w:val="-16"/>
                <w:kern w:val="21"/>
                <w:szCs w:val="21"/>
              </w:rPr>
            </w:pPr>
            <w:r>
              <w:rPr>
                <w:rFonts w:ascii="Times New Roman" w:eastAsia="黑体"/>
                <w:snapToGrid w:val="0"/>
                <w:color w:val="auto"/>
                <w:spacing w:val="-16"/>
                <w:kern w:val="21"/>
                <w:szCs w:val="21"/>
              </w:rPr>
              <w:t>全厂排放量（固体废物产生量）</w:t>
            </w:r>
            <w:r>
              <w:rPr>
                <w:rFonts w:ascii="Times New Roman" w:eastAsia="黑体"/>
                <w:snapToGrid w:val="0"/>
                <w:color w:val="auto"/>
                <w:spacing w:val="-16"/>
                <w:kern w:val="21"/>
                <w:szCs w:val="21"/>
              </w:rPr>
              <w:fldChar w:fldCharType="begin"/>
            </w:r>
            <w:r>
              <w:rPr>
                <w:rFonts w:ascii="Times New Roman" w:eastAsia="黑体"/>
                <w:snapToGrid w:val="0"/>
                <w:color w:val="auto"/>
                <w:spacing w:val="-16"/>
                <w:kern w:val="21"/>
                <w:szCs w:val="21"/>
              </w:rPr>
              <w:instrText xml:space="preserve"> = 6 \* GB3 \* MERGEFORMAT </w:instrText>
            </w:r>
            <w:r>
              <w:rPr>
                <w:rFonts w:ascii="Times New Roman" w:eastAsia="黑体"/>
                <w:snapToGrid w:val="0"/>
                <w:color w:val="auto"/>
                <w:spacing w:val="-16"/>
                <w:kern w:val="21"/>
                <w:szCs w:val="21"/>
              </w:rPr>
              <w:fldChar w:fldCharType="separate"/>
            </w:r>
            <w:r>
              <w:rPr>
                <w:color w:val="auto"/>
                <w:kern w:val="2"/>
                <w:szCs w:val="21"/>
              </w:rPr>
              <w:t>⑥</w:t>
            </w:r>
            <w:r>
              <w:rPr>
                <w:rFonts w:ascii="Times New Roman" w:eastAsia="黑体"/>
                <w:snapToGrid w:val="0"/>
                <w:color w:val="auto"/>
                <w:spacing w:val="-16"/>
                <w:kern w:val="21"/>
                <w:szCs w:val="21"/>
              </w:rPr>
              <w:fldChar w:fldCharType="end"/>
            </w:r>
          </w:p>
        </w:tc>
        <w:tc>
          <w:tcPr>
            <w:tcW w:w="1286" w:type="dxa"/>
            <w:tcMar>
              <w:left w:w="28" w:type="dxa"/>
              <w:right w:w="28" w:type="dxa"/>
            </w:tcMar>
            <w:vAlign w:val="center"/>
          </w:tcPr>
          <w:p w14:paraId="704E9583">
            <w:pPr>
              <w:pStyle w:val="64"/>
              <w:spacing w:beforeLines="0" w:afterLines="0" w:line="240" w:lineRule="auto"/>
              <w:rPr>
                <w:rFonts w:ascii="Times New Roman" w:eastAsia="黑体"/>
                <w:snapToGrid w:val="0"/>
                <w:color w:val="auto"/>
                <w:spacing w:val="-6"/>
                <w:kern w:val="21"/>
                <w:szCs w:val="21"/>
              </w:rPr>
            </w:pPr>
            <w:r>
              <w:rPr>
                <w:rFonts w:ascii="Times New Roman" w:eastAsia="黑体"/>
                <w:snapToGrid w:val="0"/>
                <w:color w:val="auto"/>
                <w:spacing w:val="-6"/>
                <w:kern w:val="21"/>
                <w:szCs w:val="21"/>
              </w:rPr>
              <w:t>变化量</w:t>
            </w:r>
          </w:p>
          <w:p w14:paraId="61F5046C">
            <w:pPr>
              <w:pStyle w:val="64"/>
              <w:spacing w:beforeLines="0" w:afterLines="0" w:line="240" w:lineRule="auto"/>
              <w:rPr>
                <w:rFonts w:ascii="Times New Roman" w:eastAsia="黑体"/>
                <w:snapToGrid w:val="0"/>
                <w:color w:val="auto"/>
                <w:spacing w:val="-6"/>
                <w:kern w:val="21"/>
                <w:szCs w:val="21"/>
              </w:rPr>
            </w:pPr>
            <w:r>
              <w:rPr>
                <w:rFonts w:ascii="Times New Roman" w:eastAsia="黑体"/>
                <w:snapToGrid w:val="0"/>
                <w:color w:val="auto"/>
                <w:spacing w:val="-6"/>
                <w:kern w:val="21"/>
                <w:szCs w:val="21"/>
              </w:rPr>
              <w:fldChar w:fldCharType="begin"/>
            </w:r>
            <w:r>
              <w:rPr>
                <w:rFonts w:ascii="Times New Roman" w:eastAsia="黑体"/>
                <w:snapToGrid w:val="0"/>
                <w:color w:val="auto"/>
                <w:spacing w:val="-6"/>
                <w:kern w:val="21"/>
                <w:szCs w:val="21"/>
              </w:rPr>
              <w:instrText xml:space="preserve"> = 7 \* GB3 \* MERGEFORMAT </w:instrText>
            </w:r>
            <w:r>
              <w:rPr>
                <w:rFonts w:ascii="Times New Roman" w:eastAsia="黑体"/>
                <w:snapToGrid w:val="0"/>
                <w:color w:val="auto"/>
                <w:spacing w:val="-6"/>
                <w:kern w:val="21"/>
                <w:szCs w:val="21"/>
              </w:rPr>
              <w:fldChar w:fldCharType="separate"/>
            </w:r>
            <w:r>
              <w:rPr>
                <w:color w:val="auto"/>
                <w:kern w:val="2"/>
                <w:szCs w:val="21"/>
              </w:rPr>
              <w:t>⑦</w:t>
            </w:r>
            <w:r>
              <w:rPr>
                <w:rFonts w:ascii="Times New Roman" w:eastAsia="黑体"/>
                <w:snapToGrid w:val="0"/>
                <w:color w:val="auto"/>
                <w:spacing w:val="-6"/>
                <w:kern w:val="21"/>
                <w:szCs w:val="21"/>
              </w:rPr>
              <w:fldChar w:fldCharType="end"/>
            </w:r>
          </w:p>
        </w:tc>
      </w:tr>
      <w:tr w14:paraId="3DDCE76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vAlign w:val="center"/>
          </w:tcPr>
          <w:p w14:paraId="170C7C43">
            <w:pPr>
              <w:pStyle w:val="64"/>
              <w:spacing w:beforeLines="0" w:afterLines="0" w:line="240" w:lineRule="auto"/>
              <w:rPr>
                <w:rFonts w:ascii="Times New Roman"/>
                <w:snapToGrid w:val="0"/>
                <w:color w:val="auto"/>
                <w:kern w:val="21"/>
                <w:szCs w:val="21"/>
              </w:rPr>
            </w:pPr>
            <w:r>
              <w:rPr>
                <w:rFonts w:ascii="Times New Roman"/>
                <w:snapToGrid w:val="0"/>
                <w:color w:val="auto"/>
                <w:kern w:val="21"/>
                <w:szCs w:val="21"/>
              </w:rPr>
              <w:t>废气</w:t>
            </w:r>
          </w:p>
        </w:tc>
        <w:tc>
          <w:tcPr>
            <w:tcW w:w="1417" w:type="dxa"/>
            <w:vAlign w:val="center"/>
          </w:tcPr>
          <w:p w14:paraId="297C0B39">
            <w:pPr>
              <w:pStyle w:val="64"/>
              <w:spacing w:beforeLines="0" w:afterLines="0" w:line="240" w:lineRule="auto"/>
              <w:rPr>
                <w:rFonts w:hint="eastAsia" w:ascii="Times New Roman"/>
                <w:snapToGrid w:val="0"/>
                <w:color w:val="auto"/>
                <w:kern w:val="21"/>
                <w:szCs w:val="21"/>
                <w:lang w:val="en-US" w:eastAsia="zh-CN"/>
              </w:rPr>
            </w:pPr>
            <w:r>
              <w:rPr>
                <w:rFonts w:hint="eastAsia" w:ascii="Times New Roman"/>
                <w:snapToGrid w:val="0"/>
                <w:color w:val="auto"/>
                <w:kern w:val="21"/>
                <w:szCs w:val="21"/>
                <w:lang w:val="en-US" w:eastAsia="zh-CN"/>
              </w:rPr>
              <w:t>氨</w:t>
            </w:r>
          </w:p>
          <w:p w14:paraId="7A604BA5">
            <w:pPr>
              <w:pStyle w:val="64"/>
              <w:spacing w:beforeLines="0" w:afterLines="0" w:line="240" w:lineRule="auto"/>
              <w:rPr>
                <w:rFonts w:hint="eastAsia" w:ascii="Times New Roman" w:eastAsia="宋体"/>
                <w:snapToGrid w:val="0"/>
                <w:color w:val="auto"/>
                <w:kern w:val="21"/>
                <w:szCs w:val="21"/>
                <w:lang w:eastAsia="zh-CN"/>
              </w:rPr>
            </w:pPr>
            <w:r>
              <w:rPr>
                <w:rFonts w:hint="eastAsia" w:ascii="Times New Roman"/>
                <w:snapToGrid w:val="0"/>
                <w:color w:val="auto"/>
                <w:kern w:val="21"/>
                <w:szCs w:val="21"/>
                <w:lang w:val="en-US" w:eastAsia="zh-CN"/>
              </w:rPr>
              <w:t>（无组织）</w:t>
            </w:r>
          </w:p>
        </w:tc>
        <w:tc>
          <w:tcPr>
            <w:tcW w:w="1701" w:type="dxa"/>
            <w:vAlign w:val="center"/>
          </w:tcPr>
          <w:p w14:paraId="174FC4A2">
            <w:pPr>
              <w:pStyle w:val="64"/>
              <w:spacing w:beforeLines="0" w:afterLines="0" w:line="240" w:lineRule="auto"/>
              <w:rPr>
                <w:rFonts w:ascii="Times New Roman"/>
                <w:snapToGrid w:val="0"/>
                <w:color w:val="auto"/>
                <w:kern w:val="21"/>
                <w:szCs w:val="21"/>
              </w:rPr>
            </w:pPr>
          </w:p>
        </w:tc>
        <w:tc>
          <w:tcPr>
            <w:tcW w:w="1276" w:type="dxa"/>
            <w:vAlign w:val="center"/>
          </w:tcPr>
          <w:p w14:paraId="50800A70">
            <w:pPr>
              <w:pStyle w:val="64"/>
              <w:spacing w:beforeLines="0" w:afterLines="0" w:line="240" w:lineRule="auto"/>
              <w:rPr>
                <w:rFonts w:ascii="Times New Roman"/>
                <w:snapToGrid w:val="0"/>
                <w:color w:val="auto"/>
                <w:kern w:val="21"/>
                <w:szCs w:val="21"/>
              </w:rPr>
            </w:pPr>
          </w:p>
        </w:tc>
        <w:tc>
          <w:tcPr>
            <w:tcW w:w="1701" w:type="dxa"/>
            <w:vAlign w:val="center"/>
          </w:tcPr>
          <w:p w14:paraId="404DD514">
            <w:pPr>
              <w:pStyle w:val="64"/>
              <w:spacing w:beforeLines="0" w:afterLines="0" w:line="240" w:lineRule="auto"/>
              <w:rPr>
                <w:rFonts w:ascii="Times New Roman"/>
                <w:snapToGrid w:val="0"/>
                <w:color w:val="auto"/>
                <w:kern w:val="21"/>
                <w:szCs w:val="21"/>
              </w:rPr>
            </w:pPr>
          </w:p>
        </w:tc>
        <w:tc>
          <w:tcPr>
            <w:tcW w:w="1559" w:type="dxa"/>
            <w:vAlign w:val="center"/>
          </w:tcPr>
          <w:p w14:paraId="384170F7">
            <w:pPr>
              <w:pStyle w:val="64"/>
              <w:spacing w:beforeLines="0" w:afterLines="0" w:line="240" w:lineRule="auto"/>
              <w:rPr>
                <w:rFonts w:hint="eastAsia" w:ascii="Times New Roman"/>
                <w:snapToGrid w:val="0"/>
                <w:color w:val="auto"/>
                <w:kern w:val="21"/>
                <w:szCs w:val="21"/>
                <w:lang w:eastAsia="zh-CN"/>
              </w:rPr>
            </w:pPr>
            <w:r>
              <w:rPr>
                <w:rFonts w:hint="eastAsia" w:ascii="Times New Roman"/>
                <w:snapToGrid w:val="0"/>
                <w:color w:val="auto"/>
                <w:kern w:val="21"/>
                <w:szCs w:val="21"/>
                <w:lang w:eastAsia="zh-CN"/>
              </w:rPr>
              <w:t>0.</w:t>
            </w:r>
            <w:r>
              <w:rPr>
                <w:rFonts w:hint="eastAsia" w:ascii="Times New Roman"/>
                <w:snapToGrid w:val="0"/>
                <w:color w:val="auto"/>
                <w:kern w:val="21"/>
                <w:szCs w:val="21"/>
                <w:lang w:val="en-US" w:eastAsia="zh-CN"/>
              </w:rPr>
              <w:t>0134t</w:t>
            </w:r>
            <w:r>
              <w:rPr>
                <w:rFonts w:hint="eastAsia" w:ascii="Times New Roman"/>
                <w:snapToGrid w:val="0"/>
                <w:color w:val="auto"/>
                <w:kern w:val="21"/>
                <w:szCs w:val="21"/>
                <w:lang w:eastAsia="zh-CN"/>
              </w:rPr>
              <w:t>/a</w:t>
            </w:r>
          </w:p>
        </w:tc>
        <w:tc>
          <w:tcPr>
            <w:tcW w:w="1761" w:type="dxa"/>
            <w:vAlign w:val="center"/>
          </w:tcPr>
          <w:p w14:paraId="53D05AB6">
            <w:pPr>
              <w:jc w:val="center"/>
              <w:rPr>
                <w:rFonts w:ascii="Times New Roman"/>
                <w:snapToGrid w:val="0"/>
                <w:color w:val="auto"/>
                <w:kern w:val="21"/>
                <w:szCs w:val="21"/>
              </w:rPr>
            </w:pPr>
          </w:p>
        </w:tc>
        <w:tc>
          <w:tcPr>
            <w:tcW w:w="1499" w:type="dxa"/>
            <w:vAlign w:val="center"/>
          </w:tcPr>
          <w:p w14:paraId="6D1B8CDA">
            <w:pPr>
              <w:pStyle w:val="64"/>
              <w:spacing w:beforeLines="0" w:afterLines="0" w:line="240" w:lineRule="auto"/>
              <w:rPr>
                <w:rFonts w:ascii="Times New Roman"/>
                <w:snapToGrid w:val="0"/>
                <w:color w:val="auto"/>
                <w:kern w:val="21"/>
                <w:szCs w:val="21"/>
              </w:rPr>
            </w:pPr>
            <w:r>
              <w:rPr>
                <w:rFonts w:hint="eastAsia" w:ascii="Times New Roman"/>
                <w:snapToGrid w:val="0"/>
                <w:color w:val="auto"/>
                <w:kern w:val="21"/>
                <w:szCs w:val="21"/>
                <w:lang w:eastAsia="zh-CN"/>
              </w:rPr>
              <w:t>0.</w:t>
            </w:r>
            <w:r>
              <w:rPr>
                <w:rFonts w:hint="eastAsia" w:ascii="Times New Roman"/>
                <w:snapToGrid w:val="0"/>
                <w:color w:val="auto"/>
                <w:kern w:val="21"/>
                <w:szCs w:val="21"/>
                <w:lang w:val="en-US" w:eastAsia="zh-CN"/>
              </w:rPr>
              <w:t>0134t</w:t>
            </w:r>
            <w:r>
              <w:rPr>
                <w:rFonts w:hint="eastAsia" w:ascii="Times New Roman"/>
                <w:snapToGrid w:val="0"/>
                <w:color w:val="auto"/>
                <w:kern w:val="21"/>
                <w:szCs w:val="21"/>
                <w:lang w:eastAsia="zh-CN"/>
              </w:rPr>
              <w:t>/a</w:t>
            </w:r>
          </w:p>
        </w:tc>
        <w:tc>
          <w:tcPr>
            <w:tcW w:w="1286" w:type="dxa"/>
            <w:vAlign w:val="center"/>
          </w:tcPr>
          <w:p w14:paraId="461BB205">
            <w:pPr>
              <w:pStyle w:val="64"/>
              <w:spacing w:beforeLines="0" w:afterLines="0" w:line="240" w:lineRule="auto"/>
              <w:rPr>
                <w:rFonts w:ascii="Times New Roman"/>
                <w:snapToGrid w:val="0"/>
                <w:color w:val="auto"/>
                <w:kern w:val="21"/>
                <w:szCs w:val="21"/>
              </w:rPr>
            </w:pPr>
          </w:p>
        </w:tc>
      </w:tr>
      <w:tr w14:paraId="43196FF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645F33D2">
            <w:pPr>
              <w:pStyle w:val="64"/>
              <w:spacing w:beforeLines="0" w:afterLines="0" w:line="240" w:lineRule="auto"/>
              <w:rPr>
                <w:rFonts w:ascii="Times New Roman"/>
                <w:snapToGrid w:val="0"/>
                <w:color w:val="auto"/>
                <w:kern w:val="21"/>
                <w:szCs w:val="21"/>
              </w:rPr>
            </w:pPr>
          </w:p>
        </w:tc>
        <w:tc>
          <w:tcPr>
            <w:tcW w:w="1417" w:type="dxa"/>
            <w:vAlign w:val="center"/>
          </w:tcPr>
          <w:p w14:paraId="2D571448">
            <w:pPr>
              <w:pStyle w:val="64"/>
              <w:spacing w:beforeLines="0" w:afterLines="0" w:line="240" w:lineRule="auto"/>
              <w:rPr>
                <w:rFonts w:hint="eastAsia" w:ascii="Times New Roman"/>
                <w:snapToGrid w:val="0"/>
                <w:color w:val="auto"/>
                <w:kern w:val="21"/>
                <w:szCs w:val="21"/>
                <w:lang w:val="en-US" w:eastAsia="zh-CN"/>
              </w:rPr>
            </w:pPr>
            <w:r>
              <w:rPr>
                <w:rFonts w:hint="eastAsia" w:ascii="Times New Roman"/>
                <w:snapToGrid w:val="0"/>
                <w:color w:val="auto"/>
                <w:kern w:val="21"/>
                <w:szCs w:val="21"/>
                <w:lang w:val="en-US" w:eastAsia="zh-CN"/>
              </w:rPr>
              <w:t>硫化氢</w:t>
            </w:r>
          </w:p>
          <w:p w14:paraId="408FB8A6">
            <w:pPr>
              <w:pStyle w:val="64"/>
              <w:spacing w:beforeLines="0" w:afterLines="0" w:line="240" w:lineRule="auto"/>
              <w:rPr>
                <w:rFonts w:hint="default" w:ascii="Times New Roman"/>
                <w:snapToGrid w:val="0"/>
                <w:color w:val="auto"/>
                <w:kern w:val="21"/>
                <w:szCs w:val="21"/>
                <w:lang w:val="en-US" w:eastAsia="zh-CN"/>
              </w:rPr>
            </w:pPr>
            <w:r>
              <w:rPr>
                <w:rFonts w:hint="eastAsia" w:ascii="Times New Roman"/>
                <w:snapToGrid w:val="0"/>
                <w:color w:val="auto"/>
                <w:kern w:val="21"/>
                <w:szCs w:val="21"/>
                <w:lang w:val="en-US" w:eastAsia="zh-CN"/>
              </w:rPr>
              <w:t>（无组织）</w:t>
            </w:r>
          </w:p>
        </w:tc>
        <w:tc>
          <w:tcPr>
            <w:tcW w:w="1701" w:type="dxa"/>
            <w:vAlign w:val="center"/>
          </w:tcPr>
          <w:p w14:paraId="3400A7E2">
            <w:pPr>
              <w:pStyle w:val="64"/>
              <w:spacing w:beforeLines="0" w:afterLines="0" w:line="240" w:lineRule="auto"/>
              <w:rPr>
                <w:rFonts w:ascii="Times New Roman"/>
                <w:snapToGrid w:val="0"/>
                <w:color w:val="auto"/>
                <w:kern w:val="21"/>
                <w:szCs w:val="21"/>
              </w:rPr>
            </w:pPr>
          </w:p>
        </w:tc>
        <w:tc>
          <w:tcPr>
            <w:tcW w:w="1276" w:type="dxa"/>
            <w:vAlign w:val="center"/>
          </w:tcPr>
          <w:p w14:paraId="2F92057E">
            <w:pPr>
              <w:pStyle w:val="64"/>
              <w:spacing w:beforeLines="0" w:afterLines="0" w:line="240" w:lineRule="auto"/>
              <w:rPr>
                <w:rFonts w:ascii="Times New Roman"/>
                <w:snapToGrid w:val="0"/>
                <w:color w:val="auto"/>
                <w:kern w:val="21"/>
                <w:szCs w:val="21"/>
              </w:rPr>
            </w:pPr>
          </w:p>
        </w:tc>
        <w:tc>
          <w:tcPr>
            <w:tcW w:w="1701" w:type="dxa"/>
            <w:vAlign w:val="center"/>
          </w:tcPr>
          <w:p w14:paraId="15379C6B">
            <w:pPr>
              <w:pStyle w:val="64"/>
              <w:spacing w:beforeLines="0" w:afterLines="0" w:line="240" w:lineRule="auto"/>
              <w:rPr>
                <w:rFonts w:ascii="Times New Roman"/>
                <w:snapToGrid w:val="0"/>
                <w:color w:val="auto"/>
                <w:kern w:val="21"/>
                <w:szCs w:val="21"/>
              </w:rPr>
            </w:pPr>
          </w:p>
        </w:tc>
        <w:tc>
          <w:tcPr>
            <w:tcW w:w="1559" w:type="dxa"/>
            <w:vAlign w:val="center"/>
          </w:tcPr>
          <w:p w14:paraId="7AF01DF7">
            <w:pPr>
              <w:pStyle w:val="64"/>
              <w:spacing w:beforeLines="0" w:afterLines="0" w:line="240" w:lineRule="auto"/>
              <w:rPr>
                <w:rFonts w:hint="eastAsia" w:ascii="Times New Roman"/>
                <w:snapToGrid w:val="0"/>
                <w:color w:val="auto"/>
                <w:kern w:val="21"/>
                <w:szCs w:val="21"/>
                <w:lang w:eastAsia="zh-CN"/>
              </w:rPr>
            </w:pPr>
            <w:r>
              <w:rPr>
                <w:rFonts w:hint="eastAsia" w:ascii="Times New Roman"/>
                <w:snapToGrid w:val="0"/>
                <w:color w:val="auto"/>
                <w:kern w:val="21"/>
                <w:szCs w:val="21"/>
                <w:lang w:val="en-US" w:eastAsia="zh-CN"/>
              </w:rPr>
              <w:t>0.0005t</w:t>
            </w:r>
            <w:r>
              <w:rPr>
                <w:rFonts w:hint="eastAsia" w:ascii="Times New Roman"/>
                <w:snapToGrid w:val="0"/>
                <w:color w:val="auto"/>
                <w:kern w:val="21"/>
                <w:szCs w:val="21"/>
                <w:lang w:eastAsia="zh-CN"/>
              </w:rPr>
              <w:t>/a</w:t>
            </w:r>
          </w:p>
        </w:tc>
        <w:tc>
          <w:tcPr>
            <w:tcW w:w="1761" w:type="dxa"/>
            <w:vAlign w:val="center"/>
          </w:tcPr>
          <w:p w14:paraId="581A5F83">
            <w:pPr>
              <w:jc w:val="center"/>
              <w:rPr>
                <w:rFonts w:ascii="Times New Roman"/>
                <w:snapToGrid w:val="0"/>
                <w:color w:val="auto"/>
                <w:kern w:val="21"/>
                <w:szCs w:val="21"/>
              </w:rPr>
            </w:pPr>
          </w:p>
        </w:tc>
        <w:tc>
          <w:tcPr>
            <w:tcW w:w="1499" w:type="dxa"/>
            <w:vAlign w:val="center"/>
          </w:tcPr>
          <w:p w14:paraId="06D6577B">
            <w:pPr>
              <w:pStyle w:val="64"/>
              <w:spacing w:beforeLines="0" w:afterLines="0" w:line="240" w:lineRule="auto"/>
              <w:rPr>
                <w:rFonts w:hint="eastAsia" w:ascii="Times New Roman"/>
                <w:snapToGrid w:val="0"/>
                <w:color w:val="auto"/>
                <w:kern w:val="21"/>
                <w:szCs w:val="21"/>
                <w:lang w:eastAsia="zh-CN"/>
              </w:rPr>
            </w:pPr>
            <w:r>
              <w:rPr>
                <w:rFonts w:hint="eastAsia" w:ascii="Times New Roman"/>
                <w:snapToGrid w:val="0"/>
                <w:color w:val="auto"/>
                <w:kern w:val="21"/>
                <w:szCs w:val="21"/>
                <w:lang w:val="en-US" w:eastAsia="zh-CN"/>
              </w:rPr>
              <w:t>0.0005t</w:t>
            </w:r>
            <w:r>
              <w:rPr>
                <w:rFonts w:hint="eastAsia" w:ascii="Times New Roman"/>
                <w:snapToGrid w:val="0"/>
                <w:color w:val="auto"/>
                <w:kern w:val="21"/>
                <w:szCs w:val="21"/>
                <w:lang w:eastAsia="zh-CN"/>
              </w:rPr>
              <w:t>/a</w:t>
            </w:r>
          </w:p>
        </w:tc>
        <w:tc>
          <w:tcPr>
            <w:tcW w:w="1286" w:type="dxa"/>
            <w:vAlign w:val="center"/>
          </w:tcPr>
          <w:p w14:paraId="64FA43EF">
            <w:pPr>
              <w:pStyle w:val="64"/>
              <w:spacing w:beforeLines="0" w:afterLines="0" w:line="240" w:lineRule="auto"/>
              <w:rPr>
                <w:rFonts w:ascii="Times New Roman"/>
                <w:snapToGrid w:val="0"/>
                <w:color w:val="auto"/>
                <w:kern w:val="21"/>
                <w:szCs w:val="21"/>
              </w:rPr>
            </w:pPr>
          </w:p>
        </w:tc>
      </w:tr>
      <w:tr w14:paraId="0C6F2A2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vAlign w:val="center"/>
          </w:tcPr>
          <w:p w14:paraId="4E481408">
            <w:pPr>
              <w:pStyle w:val="64"/>
              <w:spacing w:beforeLines="0" w:afterLines="0" w:line="240" w:lineRule="auto"/>
              <w:rPr>
                <w:rFonts w:ascii="Times New Roman"/>
                <w:snapToGrid w:val="0"/>
                <w:color w:val="auto"/>
                <w:kern w:val="21"/>
                <w:szCs w:val="21"/>
              </w:rPr>
            </w:pPr>
            <w:r>
              <w:rPr>
                <w:rFonts w:ascii="Times New Roman"/>
                <w:snapToGrid w:val="0"/>
                <w:color w:val="auto"/>
                <w:kern w:val="21"/>
                <w:szCs w:val="21"/>
              </w:rPr>
              <w:t>废水</w:t>
            </w:r>
          </w:p>
        </w:tc>
        <w:tc>
          <w:tcPr>
            <w:tcW w:w="1417" w:type="dxa"/>
            <w:vAlign w:val="center"/>
          </w:tcPr>
          <w:p w14:paraId="5BE24A61">
            <w:pPr>
              <w:pStyle w:val="64"/>
              <w:spacing w:beforeLines="0" w:afterLines="0" w:line="240" w:lineRule="auto"/>
              <w:rPr>
                <w:rFonts w:hint="default" w:ascii="Times New Roman" w:eastAsia="宋体"/>
                <w:snapToGrid w:val="0"/>
                <w:color w:val="auto"/>
                <w:kern w:val="21"/>
                <w:szCs w:val="21"/>
                <w:lang w:val="en-US" w:eastAsia="zh-CN"/>
              </w:rPr>
            </w:pPr>
            <w:r>
              <w:rPr>
                <w:rFonts w:hint="eastAsia" w:ascii="Times New Roman"/>
                <w:snapToGrid w:val="0"/>
                <w:color w:val="auto"/>
                <w:kern w:val="21"/>
                <w:szCs w:val="21"/>
                <w:lang w:val="en-US" w:eastAsia="zh-CN"/>
              </w:rPr>
              <w:t>CODcr</w:t>
            </w:r>
          </w:p>
        </w:tc>
        <w:tc>
          <w:tcPr>
            <w:tcW w:w="1701" w:type="dxa"/>
            <w:vAlign w:val="center"/>
          </w:tcPr>
          <w:p w14:paraId="1401433D">
            <w:pPr>
              <w:pStyle w:val="64"/>
              <w:spacing w:beforeLines="0" w:afterLines="0" w:line="240" w:lineRule="auto"/>
              <w:rPr>
                <w:rFonts w:ascii="Times New Roman"/>
                <w:snapToGrid w:val="0"/>
                <w:color w:val="auto"/>
                <w:kern w:val="21"/>
                <w:szCs w:val="21"/>
              </w:rPr>
            </w:pPr>
          </w:p>
        </w:tc>
        <w:tc>
          <w:tcPr>
            <w:tcW w:w="1276" w:type="dxa"/>
            <w:vAlign w:val="center"/>
          </w:tcPr>
          <w:p w14:paraId="5193A1D6">
            <w:pPr>
              <w:pStyle w:val="64"/>
              <w:spacing w:beforeLines="0" w:afterLines="0" w:line="240" w:lineRule="auto"/>
              <w:rPr>
                <w:rFonts w:ascii="Times New Roman"/>
                <w:snapToGrid w:val="0"/>
                <w:color w:val="auto"/>
                <w:kern w:val="21"/>
                <w:szCs w:val="21"/>
              </w:rPr>
            </w:pPr>
          </w:p>
        </w:tc>
        <w:tc>
          <w:tcPr>
            <w:tcW w:w="1701" w:type="dxa"/>
            <w:vAlign w:val="center"/>
          </w:tcPr>
          <w:p w14:paraId="57DA4865">
            <w:pPr>
              <w:pStyle w:val="64"/>
              <w:spacing w:beforeLines="0" w:afterLines="0" w:line="240" w:lineRule="auto"/>
              <w:rPr>
                <w:rFonts w:ascii="Times New Roman"/>
                <w:snapToGrid w:val="0"/>
                <w:color w:val="auto"/>
                <w:kern w:val="21"/>
                <w:szCs w:val="21"/>
              </w:rPr>
            </w:pPr>
          </w:p>
        </w:tc>
        <w:tc>
          <w:tcPr>
            <w:tcW w:w="1559" w:type="dxa"/>
            <w:vAlign w:val="center"/>
          </w:tcPr>
          <w:p w14:paraId="666344D2">
            <w:pPr>
              <w:pStyle w:val="64"/>
              <w:spacing w:beforeLines="0" w:afterLines="0" w:line="240" w:lineRule="auto"/>
              <w:rPr>
                <w:rFonts w:hint="eastAsia" w:ascii="Times New Roman"/>
                <w:snapToGrid w:val="0"/>
                <w:color w:val="auto"/>
                <w:kern w:val="21"/>
                <w:szCs w:val="21"/>
                <w:lang w:val="en-US" w:eastAsia="zh-CN"/>
              </w:rPr>
            </w:pPr>
            <w:r>
              <w:rPr>
                <w:rFonts w:hint="default" w:ascii="Times New Roman"/>
                <w:snapToGrid w:val="0"/>
                <w:color w:val="auto"/>
                <w:kern w:val="21"/>
                <w:szCs w:val="21"/>
                <w:lang w:val="en-US" w:eastAsia="zh-CN"/>
              </w:rPr>
              <w:t>2.881</w:t>
            </w:r>
            <w:r>
              <w:rPr>
                <w:rFonts w:hint="eastAsia" w:ascii="Times New Roman"/>
                <w:snapToGrid w:val="0"/>
                <w:color w:val="auto"/>
                <w:kern w:val="21"/>
                <w:szCs w:val="21"/>
                <w:lang w:val="en-US" w:eastAsia="zh-CN"/>
              </w:rPr>
              <w:t>t/a</w:t>
            </w:r>
          </w:p>
        </w:tc>
        <w:tc>
          <w:tcPr>
            <w:tcW w:w="1761" w:type="dxa"/>
            <w:vAlign w:val="center"/>
          </w:tcPr>
          <w:p w14:paraId="1D46BBDB">
            <w:pPr>
              <w:pStyle w:val="64"/>
              <w:spacing w:beforeLines="0" w:afterLines="0" w:line="240" w:lineRule="auto"/>
              <w:rPr>
                <w:rFonts w:hint="eastAsia" w:ascii="Times New Roman"/>
                <w:snapToGrid w:val="0"/>
                <w:color w:val="auto"/>
                <w:kern w:val="21"/>
                <w:szCs w:val="21"/>
                <w:lang w:val="en-US" w:eastAsia="zh-CN"/>
              </w:rPr>
            </w:pPr>
          </w:p>
        </w:tc>
        <w:tc>
          <w:tcPr>
            <w:tcW w:w="1499" w:type="dxa"/>
            <w:vAlign w:val="center"/>
          </w:tcPr>
          <w:p w14:paraId="772AEAB3">
            <w:pPr>
              <w:pStyle w:val="64"/>
              <w:spacing w:beforeLines="0" w:afterLines="0" w:line="240" w:lineRule="auto"/>
              <w:rPr>
                <w:rFonts w:hint="eastAsia" w:ascii="Times New Roman"/>
                <w:snapToGrid w:val="0"/>
                <w:color w:val="auto"/>
                <w:kern w:val="21"/>
                <w:szCs w:val="21"/>
                <w:lang w:val="en-US" w:eastAsia="zh-CN"/>
              </w:rPr>
            </w:pPr>
            <w:r>
              <w:rPr>
                <w:rFonts w:hint="default" w:ascii="Times New Roman"/>
                <w:snapToGrid w:val="0"/>
                <w:color w:val="auto"/>
                <w:kern w:val="21"/>
                <w:szCs w:val="21"/>
                <w:lang w:val="en-US" w:eastAsia="zh-CN"/>
              </w:rPr>
              <w:t>2.881</w:t>
            </w:r>
            <w:r>
              <w:rPr>
                <w:rFonts w:hint="eastAsia" w:ascii="Times New Roman"/>
                <w:snapToGrid w:val="0"/>
                <w:color w:val="auto"/>
                <w:kern w:val="21"/>
                <w:szCs w:val="21"/>
                <w:lang w:val="en-US" w:eastAsia="zh-CN"/>
              </w:rPr>
              <w:t>t/a</w:t>
            </w:r>
          </w:p>
        </w:tc>
        <w:tc>
          <w:tcPr>
            <w:tcW w:w="1286" w:type="dxa"/>
            <w:vAlign w:val="center"/>
          </w:tcPr>
          <w:p w14:paraId="357981F5">
            <w:pPr>
              <w:pStyle w:val="64"/>
              <w:spacing w:beforeLines="0" w:afterLines="0" w:line="240" w:lineRule="auto"/>
              <w:rPr>
                <w:rFonts w:ascii="Times New Roman"/>
                <w:snapToGrid w:val="0"/>
                <w:color w:val="auto"/>
                <w:kern w:val="21"/>
                <w:szCs w:val="21"/>
              </w:rPr>
            </w:pPr>
          </w:p>
        </w:tc>
      </w:tr>
      <w:tr w14:paraId="688B5A2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1FCE56D2">
            <w:pPr>
              <w:pStyle w:val="64"/>
              <w:spacing w:beforeLines="0" w:afterLines="0" w:line="240" w:lineRule="auto"/>
              <w:rPr>
                <w:rFonts w:ascii="Times New Roman"/>
                <w:snapToGrid w:val="0"/>
                <w:color w:val="auto"/>
                <w:kern w:val="21"/>
                <w:szCs w:val="21"/>
              </w:rPr>
            </w:pPr>
          </w:p>
        </w:tc>
        <w:tc>
          <w:tcPr>
            <w:tcW w:w="1417" w:type="dxa"/>
            <w:vAlign w:val="center"/>
          </w:tcPr>
          <w:p w14:paraId="1AA8F44C">
            <w:pPr>
              <w:pStyle w:val="64"/>
              <w:spacing w:beforeLines="0" w:afterLines="0" w:line="240" w:lineRule="auto"/>
              <w:rPr>
                <w:rFonts w:hint="default" w:ascii="Times New Roman" w:eastAsia="宋体"/>
                <w:snapToGrid w:val="0"/>
                <w:color w:val="auto"/>
                <w:kern w:val="21"/>
                <w:szCs w:val="21"/>
                <w:lang w:val="en-US" w:eastAsia="zh-CN"/>
              </w:rPr>
            </w:pPr>
            <w:r>
              <w:rPr>
                <w:rFonts w:hint="eastAsia" w:ascii="Times New Roman"/>
                <w:snapToGrid w:val="0"/>
                <w:color w:val="auto"/>
                <w:kern w:val="21"/>
                <w:szCs w:val="21"/>
                <w:lang w:val="en-US" w:eastAsia="zh-CN"/>
              </w:rPr>
              <w:t>BOD</w:t>
            </w:r>
            <w:r>
              <w:rPr>
                <w:rFonts w:hint="eastAsia" w:ascii="Times New Roman"/>
                <w:snapToGrid w:val="0"/>
                <w:color w:val="auto"/>
                <w:kern w:val="21"/>
                <w:szCs w:val="21"/>
                <w:vertAlign w:val="subscript"/>
                <w:lang w:val="en-US" w:eastAsia="zh-CN"/>
              </w:rPr>
              <w:t>5</w:t>
            </w:r>
          </w:p>
        </w:tc>
        <w:tc>
          <w:tcPr>
            <w:tcW w:w="1701" w:type="dxa"/>
            <w:vAlign w:val="center"/>
          </w:tcPr>
          <w:p w14:paraId="3A6793AE">
            <w:pPr>
              <w:pStyle w:val="64"/>
              <w:spacing w:beforeLines="0" w:afterLines="0" w:line="240" w:lineRule="auto"/>
              <w:rPr>
                <w:rFonts w:ascii="Times New Roman"/>
                <w:snapToGrid w:val="0"/>
                <w:color w:val="auto"/>
                <w:kern w:val="21"/>
                <w:szCs w:val="21"/>
              </w:rPr>
            </w:pPr>
          </w:p>
        </w:tc>
        <w:tc>
          <w:tcPr>
            <w:tcW w:w="1276" w:type="dxa"/>
            <w:vAlign w:val="center"/>
          </w:tcPr>
          <w:p w14:paraId="298D1B06">
            <w:pPr>
              <w:pStyle w:val="64"/>
              <w:spacing w:beforeLines="0" w:afterLines="0" w:line="240" w:lineRule="auto"/>
              <w:rPr>
                <w:rFonts w:ascii="Times New Roman"/>
                <w:snapToGrid w:val="0"/>
                <w:color w:val="auto"/>
                <w:kern w:val="21"/>
                <w:szCs w:val="21"/>
              </w:rPr>
            </w:pPr>
          </w:p>
        </w:tc>
        <w:tc>
          <w:tcPr>
            <w:tcW w:w="1701" w:type="dxa"/>
            <w:vAlign w:val="center"/>
          </w:tcPr>
          <w:p w14:paraId="469A7FE0">
            <w:pPr>
              <w:pStyle w:val="64"/>
              <w:spacing w:beforeLines="0" w:afterLines="0" w:line="240" w:lineRule="auto"/>
              <w:rPr>
                <w:rFonts w:ascii="Times New Roman"/>
                <w:snapToGrid w:val="0"/>
                <w:color w:val="auto"/>
                <w:kern w:val="21"/>
                <w:szCs w:val="21"/>
              </w:rPr>
            </w:pPr>
          </w:p>
        </w:tc>
        <w:tc>
          <w:tcPr>
            <w:tcW w:w="1559" w:type="dxa"/>
            <w:vAlign w:val="center"/>
          </w:tcPr>
          <w:p w14:paraId="72674E4F">
            <w:pPr>
              <w:pStyle w:val="64"/>
              <w:spacing w:beforeLines="0" w:afterLines="0" w:line="240" w:lineRule="auto"/>
              <w:rPr>
                <w:rFonts w:hint="eastAsia" w:ascii="Times New Roman"/>
                <w:snapToGrid w:val="0"/>
                <w:color w:val="auto"/>
                <w:kern w:val="21"/>
                <w:szCs w:val="21"/>
                <w:lang w:val="en-US" w:eastAsia="zh-CN"/>
              </w:rPr>
            </w:pPr>
            <w:r>
              <w:rPr>
                <w:rFonts w:hint="default" w:ascii="Times New Roman"/>
                <w:snapToGrid w:val="0"/>
                <w:color w:val="auto"/>
                <w:kern w:val="21"/>
                <w:szCs w:val="21"/>
                <w:lang w:val="en-US" w:eastAsia="zh-CN"/>
              </w:rPr>
              <w:t>0.960</w:t>
            </w:r>
            <w:r>
              <w:rPr>
                <w:rFonts w:hint="eastAsia" w:ascii="Times New Roman"/>
                <w:snapToGrid w:val="0"/>
                <w:color w:val="auto"/>
                <w:kern w:val="21"/>
                <w:szCs w:val="21"/>
                <w:lang w:val="en-US" w:eastAsia="zh-CN"/>
              </w:rPr>
              <w:t>t/a</w:t>
            </w:r>
          </w:p>
        </w:tc>
        <w:tc>
          <w:tcPr>
            <w:tcW w:w="1761" w:type="dxa"/>
            <w:vAlign w:val="center"/>
          </w:tcPr>
          <w:p w14:paraId="7EC010FD">
            <w:pPr>
              <w:pStyle w:val="64"/>
              <w:spacing w:beforeLines="0" w:afterLines="0" w:line="240" w:lineRule="auto"/>
              <w:rPr>
                <w:rFonts w:hint="eastAsia" w:ascii="Times New Roman"/>
                <w:snapToGrid w:val="0"/>
                <w:color w:val="auto"/>
                <w:kern w:val="21"/>
                <w:szCs w:val="21"/>
                <w:lang w:val="en-US" w:eastAsia="zh-CN"/>
              </w:rPr>
            </w:pPr>
          </w:p>
        </w:tc>
        <w:tc>
          <w:tcPr>
            <w:tcW w:w="1499" w:type="dxa"/>
            <w:vAlign w:val="center"/>
          </w:tcPr>
          <w:p w14:paraId="09C512D3">
            <w:pPr>
              <w:pStyle w:val="64"/>
              <w:spacing w:beforeLines="0" w:afterLines="0" w:line="240" w:lineRule="auto"/>
              <w:rPr>
                <w:rFonts w:hint="eastAsia" w:ascii="Times New Roman"/>
                <w:snapToGrid w:val="0"/>
                <w:color w:val="auto"/>
                <w:kern w:val="21"/>
                <w:szCs w:val="21"/>
                <w:lang w:val="en-US" w:eastAsia="zh-CN"/>
              </w:rPr>
            </w:pPr>
            <w:r>
              <w:rPr>
                <w:rFonts w:hint="default" w:ascii="Times New Roman"/>
                <w:snapToGrid w:val="0"/>
                <w:color w:val="auto"/>
                <w:kern w:val="21"/>
                <w:szCs w:val="21"/>
                <w:lang w:val="en-US" w:eastAsia="zh-CN"/>
              </w:rPr>
              <w:t>0.960</w:t>
            </w:r>
            <w:r>
              <w:rPr>
                <w:rFonts w:hint="eastAsia" w:ascii="Times New Roman"/>
                <w:snapToGrid w:val="0"/>
                <w:color w:val="auto"/>
                <w:kern w:val="21"/>
                <w:szCs w:val="21"/>
                <w:lang w:val="en-US" w:eastAsia="zh-CN"/>
              </w:rPr>
              <w:t>t/a</w:t>
            </w:r>
          </w:p>
        </w:tc>
        <w:tc>
          <w:tcPr>
            <w:tcW w:w="1286" w:type="dxa"/>
            <w:vAlign w:val="center"/>
          </w:tcPr>
          <w:p w14:paraId="5118DE7B">
            <w:pPr>
              <w:pStyle w:val="64"/>
              <w:spacing w:beforeLines="0" w:afterLines="0" w:line="240" w:lineRule="auto"/>
              <w:rPr>
                <w:rFonts w:ascii="Times New Roman"/>
                <w:snapToGrid w:val="0"/>
                <w:color w:val="auto"/>
                <w:kern w:val="21"/>
                <w:szCs w:val="21"/>
              </w:rPr>
            </w:pPr>
          </w:p>
        </w:tc>
      </w:tr>
      <w:tr w14:paraId="680250E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1ABFBE3F">
            <w:pPr>
              <w:pStyle w:val="64"/>
              <w:spacing w:beforeLines="0" w:afterLines="0" w:line="240" w:lineRule="auto"/>
              <w:rPr>
                <w:rFonts w:ascii="Times New Roman"/>
                <w:snapToGrid w:val="0"/>
                <w:color w:val="auto"/>
                <w:kern w:val="21"/>
                <w:szCs w:val="21"/>
              </w:rPr>
            </w:pPr>
          </w:p>
        </w:tc>
        <w:tc>
          <w:tcPr>
            <w:tcW w:w="1417" w:type="dxa"/>
            <w:vAlign w:val="center"/>
          </w:tcPr>
          <w:p w14:paraId="13462811">
            <w:pPr>
              <w:pStyle w:val="64"/>
              <w:spacing w:beforeLines="0" w:afterLines="0" w:line="240" w:lineRule="auto"/>
              <w:rPr>
                <w:rFonts w:hint="default" w:ascii="Times New Roman" w:eastAsia="宋体"/>
                <w:snapToGrid w:val="0"/>
                <w:color w:val="auto"/>
                <w:kern w:val="21"/>
                <w:szCs w:val="21"/>
                <w:lang w:val="en-US" w:eastAsia="zh-CN"/>
              </w:rPr>
            </w:pPr>
            <w:r>
              <w:rPr>
                <w:rFonts w:hint="eastAsia" w:ascii="Times New Roman"/>
                <w:snapToGrid w:val="0"/>
                <w:color w:val="auto"/>
                <w:kern w:val="21"/>
                <w:szCs w:val="21"/>
                <w:lang w:val="en-US" w:eastAsia="zh-CN"/>
              </w:rPr>
              <w:t>SS</w:t>
            </w:r>
          </w:p>
        </w:tc>
        <w:tc>
          <w:tcPr>
            <w:tcW w:w="1701" w:type="dxa"/>
            <w:vAlign w:val="center"/>
          </w:tcPr>
          <w:p w14:paraId="577D92AB">
            <w:pPr>
              <w:pStyle w:val="64"/>
              <w:spacing w:beforeLines="0" w:afterLines="0" w:line="240" w:lineRule="auto"/>
              <w:rPr>
                <w:rFonts w:ascii="Times New Roman"/>
                <w:snapToGrid w:val="0"/>
                <w:color w:val="auto"/>
                <w:kern w:val="21"/>
                <w:szCs w:val="21"/>
              </w:rPr>
            </w:pPr>
          </w:p>
        </w:tc>
        <w:tc>
          <w:tcPr>
            <w:tcW w:w="1276" w:type="dxa"/>
            <w:vAlign w:val="center"/>
          </w:tcPr>
          <w:p w14:paraId="1B9FAEFB">
            <w:pPr>
              <w:pStyle w:val="64"/>
              <w:spacing w:beforeLines="0" w:afterLines="0" w:line="240" w:lineRule="auto"/>
              <w:rPr>
                <w:rFonts w:ascii="Times New Roman"/>
                <w:snapToGrid w:val="0"/>
                <w:color w:val="auto"/>
                <w:kern w:val="21"/>
                <w:szCs w:val="21"/>
              </w:rPr>
            </w:pPr>
          </w:p>
        </w:tc>
        <w:tc>
          <w:tcPr>
            <w:tcW w:w="1701" w:type="dxa"/>
            <w:vAlign w:val="center"/>
          </w:tcPr>
          <w:p w14:paraId="51333484">
            <w:pPr>
              <w:pStyle w:val="64"/>
              <w:spacing w:beforeLines="0" w:afterLines="0" w:line="240" w:lineRule="auto"/>
              <w:rPr>
                <w:rFonts w:ascii="Times New Roman"/>
                <w:snapToGrid w:val="0"/>
                <w:color w:val="auto"/>
                <w:kern w:val="21"/>
                <w:szCs w:val="21"/>
              </w:rPr>
            </w:pPr>
          </w:p>
        </w:tc>
        <w:tc>
          <w:tcPr>
            <w:tcW w:w="1559" w:type="dxa"/>
            <w:vAlign w:val="center"/>
          </w:tcPr>
          <w:p w14:paraId="41745AFA">
            <w:pPr>
              <w:pStyle w:val="64"/>
              <w:spacing w:beforeLines="0" w:afterLines="0" w:line="240" w:lineRule="auto"/>
              <w:rPr>
                <w:rFonts w:hint="eastAsia" w:ascii="Times New Roman"/>
                <w:snapToGrid w:val="0"/>
                <w:color w:val="auto"/>
                <w:kern w:val="21"/>
                <w:szCs w:val="21"/>
                <w:lang w:val="en-US" w:eastAsia="zh-CN"/>
              </w:rPr>
            </w:pPr>
            <w:r>
              <w:rPr>
                <w:rFonts w:hint="default" w:ascii="Times New Roman"/>
                <w:snapToGrid w:val="0"/>
                <w:color w:val="auto"/>
                <w:kern w:val="21"/>
                <w:szCs w:val="21"/>
                <w:lang w:val="en-US" w:eastAsia="zh-CN"/>
              </w:rPr>
              <w:t>0.768</w:t>
            </w:r>
            <w:r>
              <w:rPr>
                <w:rFonts w:hint="eastAsia" w:ascii="Times New Roman"/>
                <w:snapToGrid w:val="0"/>
                <w:color w:val="auto"/>
                <w:kern w:val="21"/>
                <w:szCs w:val="21"/>
                <w:lang w:val="en-US" w:eastAsia="zh-CN"/>
              </w:rPr>
              <w:t>t/a</w:t>
            </w:r>
            <w:r>
              <w:rPr>
                <w:rFonts w:hint="default" w:ascii="Times New Roman"/>
                <w:snapToGrid w:val="0"/>
                <w:color w:val="auto"/>
                <w:kern w:val="21"/>
                <w:szCs w:val="21"/>
                <w:lang w:val="en-US" w:eastAsia="zh-CN"/>
              </w:rPr>
              <w:t xml:space="preserve"> </w:t>
            </w:r>
          </w:p>
        </w:tc>
        <w:tc>
          <w:tcPr>
            <w:tcW w:w="1761" w:type="dxa"/>
            <w:vAlign w:val="center"/>
          </w:tcPr>
          <w:p w14:paraId="171B8BF9">
            <w:pPr>
              <w:pStyle w:val="64"/>
              <w:spacing w:beforeLines="0" w:afterLines="0" w:line="240" w:lineRule="auto"/>
              <w:rPr>
                <w:rFonts w:hint="eastAsia" w:ascii="Times New Roman"/>
                <w:snapToGrid w:val="0"/>
                <w:color w:val="auto"/>
                <w:kern w:val="21"/>
                <w:szCs w:val="21"/>
                <w:lang w:val="en-US" w:eastAsia="zh-CN"/>
              </w:rPr>
            </w:pPr>
          </w:p>
        </w:tc>
        <w:tc>
          <w:tcPr>
            <w:tcW w:w="1499" w:type="dxa"/>
            <w:vAlign w:val="center"/>
          </w:tcPr>
          <w:p w14:paraId="09EA90DD">
            <w:pPr>
              <w:pStyle w:val="64"/>
              <w:spacing w:beforeLines="0" w:afterLines="0" w:line="240" w:lineRule="auto"/>
              <w:rPr>
                <w:rFonts w:hint="eastAsia" w:ascii="Times New Roman"/>
                <w:snapToGrid w:val="0"/>
                <w:color w:val="auto"/>
                <w:kern w:val="21"/>
                <w:szCs w:val="21"/>
                <w:lang w:val="en-US" w:eastAsia="zh-CN"/>
              </w:rPr>
            </w:pPr>
            <w:r>
              <w:rPr>
                <w:rFonts w:hint="default" w:ascii="Times New Roman"/>
                <w:snapToGrid w:val="0"/>
                <w:color w:val="auto"/>
                <w:kern w:val="21"/>
                <w:szCs w:val="21"/>
                <w:lang w:val="en-US" w:eastAsia="zh-CN"/>
              </w:rPr>
              <w:t>0.768</w:t>
            </w:r>
            <w:r>
              <w:rPr>
                <w:rFonts w:hint="eastAsia" w:ascii="Times New Roman"/>
                <w:snapToGrid w:val="0"/>
                <w:color w:val="auto"/>
                <w:kern w:val="21"/>
                <w:szCs w:val="21"/>
                <w:lang w:val="en-US" w:eastAsia="zh-CN"/>
              </w:rPr>
              <w:t>t/a</w:t>
            </w:r>
            <w:r>
              <w:rPr>
                <w:rFonts w:hint="default" w:ascii="Times New Roman"/>
                <w:snapToGrid w:val="0"/>
                <w:color w:val="auto"/>
                <w:kern w:val="21"/>
                <w:szCs w:val="21"/>
                <w:lang w:val="en-US" w:eastAsia="zh-CN"/>
              </w:rPr>
              <w:t xml:space="preserve"> </w:t>
            </w:r>
          </w:p>
        </w:tc>
        <w:tc>
          <w:tcPr>
            <w:tcW w:w="1286" w:type="dxa"/>
            <w:vAlign w:val="center"/>
          </w:tcPr>
          <w:p w14:paraId="0BAC69B4">
            <w:pPr>
              <w:pStyle w:val="64"/>
              <w:spacing w:beforeLines="0" w:afterLines="0" w:line="240" w:lineRule="auto"/>
              <w:rPr>
                <w:rFonts w:ascii="Times New Roman"/>
                <w:snapToGrid w:val="0"/>
                <w:color w:val="auto"/>
                <w:kern w:val="21"/>
                <w:szCs w:val="21"/>
              </w:rPr>
            </w:pPr>
          </w:p>
        </w:tc>
      </w:tr>
      <w:tr w14:paraId="33353C1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698A1191">
            <w:pPr>
              <w:pStyle w:val="64"/>
              <w:spacing w:beforeLines="0" w:afterLines="0" w:line="240" w:lineRule="auto"/>
              <w:rPr>
                <w:rFonts w:ascii="Times New Roman"/>
                <w:snapToGrid w:val="0"/>
                <w:color w:val="auto"/>
                <w:kern w:val="21"/>
                <w:szCs w:val="21"/>
              </w:rPr>
            </w:pPr>
          </w:p>
        </w:tc>
        <w:tc>
          <w:tcPr>
            <w:tcW w:w="1417" w:type="dxa"/>
            <w:vAlign w:val="center"/>
          </w:tcPr>
          <w:p w14:paraId="7BAE6505">
            <w:pPr>
              <w:pStyle w:val="64"/>
              <w:spacing w:beforeLines="0" w:afterLines="0" w:line="240" w:lineRule="auto"/>
              <w:rPr>
                <w:rFonts w:hint="eastAsia" w:ascii="Times New Roman" w:eastAsia="宋体"/>
                <w:snapToGrid w:val="0"/>
                <w:color w:val="auto"/>
                <w:kern w:val="21"/>
                <w:szCs w:val="21"/>
                <w:lang w:val="en-US" w:eastAsia="zh-CN"/>
              </w:rPr>
            </w:pPr>
            <w:r>
              <w:rPr>
                <w:rFonts w:hint="eastAsia" w:ascii="Times New Roman"/>
                <w:snapToGrid w:val="0"/>
                <w:color w:val="auto"/>
                <w:kern w:val="21"/>
                <w:szCs w:val="21"/>
                <w:lang w:val="en-US" w:eastAsia="zh-CN"/>
              </w:rPr>
              <w:t>氨氮</w:t>
            </w:r>
          </w:p>
        </w:tc>
        <w:tc>
          <w:tcPr>
            <w:tcW w:w="1701" w:type="dxa"/>
            <w:vAlign w:val="center"/>
          </w:tcPr>
          <w:p w14:paraId="4FF6DF40">
            <w:pPr>
              <w:pStyle w:val="64"/>
              <w:spacing w:beforeLines="0" w:afterLines="0" w:line="240" w:lineRule="auto"/>
              <w:rPr>
                <w:rFonts w:ascii="Times New Roman"/>
                <w:snapToGrid w:val="0"/>
                <w:color w:val="auto"/>
                <w:kern w:val="21"/>
                <w:szCs w:val="21"/>
              </w:rPr>
            </w:pPr>
          </w:p>
        </w:tc>
        <w:tc>
          <w:tcPr>
            <w:tcW w:w="1276" w:type="dxa"/>
            <w:vAlign w:val="center"/>
          </w:tcPr>
          <w:p w14:paraId="3AD702A3">
            <w:pPr>
              <w:pStyle w:val="64"/>
              <w:spacing w:beforeLines="0" w:afterLines="0" w:line="240" w:lineRule="auto"/>
              <w:rPr>
                <w:rFonts w:ascii="Times New Roman"/>
                <w:snapToGrid w:val="0"/>
                <w:color w:val="auto"/>
                <w:kern w:val="21"/>
                <w:szCs w:val="21"/>
              </w:rPr>
            </w:pPr>
          </w:p>
        </w:tc>
        <w:tc>
          <w:tcPr>
            <w:tcW w:w="1701" w:type="dxa"/>
            <w:vAlign w:val="center"/>
          </w:tcPr>
          <w:p w14:paraId="7D24FEA9">
            <w:pPr>
              <w:pStyle w:val="64"/>
              <w:spacing w:beforeLines="0" w:afterLines="0" w:line="240" w:lineRule="auto"/>
              <w:rPr>
                <w:rFonts w:ascii="Times New Roman"/>
                <w:snapToGrid w:val="0"/>
                <w:color w:val="auto"/>
                <w:kern w:val="21"/>
                <w:szCs w:val="21"/>
              </w:rPr>
            </w:pPr>
          </w:p>
        </w:tc>
        <w:tc>
          <w:tcPr>
            <w:tcW w:w="1559" w:type="dxa"/>
            <w:vAlign w:val="center"/>
          </w:tcPr>
          <w:p w14:paraId="1B9109CE">
            <w:pPr>
              <w:pStyle w:val="64"/>
              <w:spacing w:beforeLines="0" w:afterLines="0" w:line="240" w:lineRule="auto"/>
              <w:rPr>
                <w:rFonts w:hint="eastAsia" w:ascii="Times New Roman"/>
                <w:snapToGrid w:val="0"/>
                <w:color w:val="auto"/>
                <w:kern w:val="21"/>
                <w:szCs w:val="21"/>
                <w:lang w:val="en-US" w:eastAsia="zh-CN"/>
              </w:rPr>
            </w:pPr>
            <w:r>
              <w:rPr>
                <w:rFonts w:hint="default" w:ascii="Times New Roman"/>
                <w:snapToGrid w:val="0"/>
                <w:color w:val="auto"/>
                <w:kern w:val="21"/>
                <w:szCs w:val="21"/>
                <w:lang w:val="en-US" w:eastAsia="zh-CN"/>
              </w:rPr>
              <w:t>0.640</w:t>
            </w:r>
            <w:r>
              <w:rPr>
                <w:rFonts w:hint="eastAsia" w:ascii="Times New Roman"/>
                <w:snapToGrid w:val="0"/>
                <w:color w:val="auto"/>
                <w:kern w:val="21"/>
                <w:szCs w:val="21"/>
                <w:lang w:val="en-US" w:eastAsia="zh-CN"/>
              </w:rPr>
              <w:t>t/a</w:t>
            </w:r>
          </w:p>
        </w:tc>
        <w:tc>
          <w:tcPr>
            <w:tcW w:w="1761" w:type="dxa"/>
            <w:vAlign w:val="center"/>
          </w:tcPr>
          <w:p w14:paraId="1FD0723C">
            <w:pPr>
              <w:pStyle w:val="64"/>
              <w:spacing w:beforeLines="0" w:afterLines="0" w:line="240" w:lineRule="auto"/>
              <w:rPr>
                <w:rFonts w:hint="eastAsia" w:ascii="Times New Roman"/>
                <w:snapToGrid w:val="0"/>
                <w:color w:val="auto"/>
                <w:kern w:val="21"/>
                <w:szCs w:val="21"/>
                <w:lang w:val="en-US" w:eastAsia="zh-CN"/>
              </w:rPr>
            </w:pPr>
          </w:p>
        </w:tc>
        <w:tc>
          <w:tcPr>
            <w:tcW w:w="1499" w:type="dxa"/>
            <w:vAlign w:val="center"/>
          </w:tcPr>
          <w:p w14:paraId="7B2DEE5E">
            <w:pPr>
              <w:pStyle w:val="64"/>
              <w:spacing w:beforeLines="0" w:afterLines="0" w:line="240" w:lineRule="auto"/>
              <w:rPr>
                <w:rFonts w:hint="eastAsia" w:ascii="Times New Roman"/>
                <w:snapToGrid w:val="0"/>
                <w:color w:val="auto"/>
                <w:kern w:val="21"/>
                <w:szCs w:val="21"/>
                <w:lang w:val="en-US" w:eastAsia="zh-CN"/>
              </w:rPr>
            </w:pPr>
            <w:r>
              <w:rPr>
                <w:rFonts w:hint="default" w:ascii="Times New Roman"/>
                <w:snapToGrid w:val="0"/>
                <w:color w:val="auto"/>
                <w:kern w:val="21"/>
                <w:szCs w:val="21"/>
                <w:lang w:val="en-US" w:eastAsia="zh-CN"/>
              </w:rPr>
              <w:t>0.640</w:t>
            </w:r>
            <w:r>
              <w:rPr>
                <w:rFonts w:hint="eastAsia" w:ascii="Times New Roman"/>
                <w:snapToGrid w:val="0"/>
                <w:color w:val="auto"/>
                <w:kern w:val="21"/>
                <w:szCs w:val="21"/>
                <w:lang w:val="en-US" w:eastAsia="zh-CN"/>
              </w:rPr>
              <w:t>t/a</w:t>
            </w:r>
          </w:p>
        </w:tc>
        <w:tc>
          <w:tcPr>
            <w:tcW w:w="1286" w:type="dxa"/>
            <w:vAlign w:val="center"/>
          </w:tcPr>
          <w:p w14:paraId="399C314F">
            <w:pPr>
              <w:pStyle w:val="64"/>
              <w:spacing w:beforeLines="0" w:afterLines="0" w:line="240" w:lineRule="auto"/>
              <w:rPr>
                <w:rFonts w:ascii="Times New Roman"/>
                <w:snapToGrid w:val="0"/>
                <w:color w:val="auto"/>
                <w:kern w:val="21"/>
                <w:szCs w:val="21"/>
              </w:rPr>
            </w:pPr>
          </w:p>
        </w:tc>
      </w:tr>
      <w:tr w14:paraId="7890CFC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25FB68BA">
            <w:pPr>
              <w:pStyle w:val="64"/>
              <w:spacing w:beforeLines="0" w:afterLines="0" w:line="240" w:lineRule="auto"/>
              <w:rPr>
                <w:rFonts w:ascii="Times New Roman"/>
                <w:snapToGrid w:val="0"/>
                <w:color w:val="auto"/>
                <w:kern w:val="21"/>
                <w:szCs w:val="21"/>
              </w:rPr>
            </w:pPr>
          </w:p>
        </w:tc>
        <w:tc>
          <w:tcPr>
            <w:tcW w:w="1417" w:type="dxa"/>
            <w:vAlign w:val="center"/>
          </w:tcPr>
          <w:p w14:paraId="0B14AE1F">
            <w:pPr>
              <w:pStyle w:val="64"/>
              <w:spacing w:beforeLines="0" w:afterLines="0" w:line="240" w:lineRule="auto"/>
              <w:rPr>
                <w:rFonts w:hint="eastAsia" w:ascii="Times New Roman" w:eastAsia="宋体"/>
                <w:snapToGrid w:val="0"/>
                <w:color w:val="auto"/>
                <w:kern w:val="21"/>
                <w:szCs w:val="21"/>
                <w:lang w:val="en-US" w:eastAsia="zh-CN"/>
              </w:rPr>
            </w:pPr>
            <w:r>
              <w:rPr>
                <w:rFonts w:hint="eastAsia" w:ascii="Times New Roman"/>
                <w:snapToGrid w:val="0"/>
                <w:color w:val="auto"/>
                <w:kern w:val="21"/>
                <w:szCs w:val="21"/>
                <w:lang w:val="en-US" w:eastAsia="zh-CN"/>
              </w:rPr>
              <w:t>动植物油</w:t>
            </w:r>
          </w:p>
        </w:tc>
        <w:tc>
          <w:tcPr>
            <w:tcW w:w="1701" w:type="dxa"/>
            <w:vAlign w:val="center"/>
          </w:tcPr>
          <w:p w14:paraId="1F8E35CD">
            <w:pPr>
              <w:pStyle w:val="64"/>
              <w:spacing w:beforeLines="0" w:afterLines="0" w:line="240" w:lineRule="auto"/>
              <w:rPr>
                <w:rFonts w:ascii="Times New Roman"/>
                <w:snapToGrid w:val="0"/>
                <w:color w:val="auto"/>
                <w:kern w:val="21"/>
                <w:szCs w:val="21"/>
              </w:rPr>
            </w:pPr>
          </w:p>
        </w:tc>
        <w:tc>
          <w:tcPr>
            <w:tcW w:w="1276" w:type="dxa"/>
            <w:vAlign w:val="center"/>
          </w:tcPr>
          <w:p w14:paraId="689ABB0E">
            <w:pPr>
              <w:pStyle w:val="64"/>
              <w:spacing w:beforeLines="0" w:afterLines="0" w:line="240" w:lineRule="auto"/>
              <w:rPr>
                <w:rFonts w:ascii="Times New Roman"/>
                <w:snapToGrid w:val="0"/>
                <w:color w:val="auto"/>
                <w:kern w:val="21"/>
                <w:szCs w:val="21"/>
              </w:rPr>
            </w:pPr>
          </w:p>
        </w:tc>
        <w:tc>
          <w:tcPr>
            <w:tcW w:w="1701" w:type="dxa"/>
            <w:vAlign w:val="center"/>
          </w:tcPr>
          <w:p w14:paraId="7B059E89">
            <w:pPr>
              <w:pStyle w:val="64"/>
              <w:spacing w:beforeLines="0" w:afterLines="0" w:line="240" w:lineRule="auto"/>
              <w:rPr>
                <w:rFonts w:ascii="Times New Roman"/>
                <w:snapToGrid w:val="0"/>
                <w:color w:val="auto"/>
                <w:kern w:val="21"/>
                <w:szCs w:val="21"/>
              </w:rPr>
            </w:pPr>
          </w:p>
        </w:tc>
        <w:tc>
          <w:tcPr>
            <w:tcW w:w="1559" w:type="dxa"/>
            <w:vAlign w:val="center"/>
          </w:tcPr>
          <w:p w14:paraId="20A7AA12">
            <w:pPr>
              <w:pStyle w:val="64"/>
              <w:spacing w:beforeLines="0" w:afterLines="0" w:line="240" w:lineRule="auto"/>
              <w:rPr>
                <w:rFonts w:hint="eastAsia" w:ascii="Times New Roman"/>
                <w:snapToGrid w:val="0"/>
                <w:color w:val="auto"/>
                <w:kern w:val="21"/>
                <w:szCs w:val="21"/>
                <w:lang w:val="en-US" w:eastAsia="zh-CN"/>
              </w:rPr>
            </w:pPr>
            <w:r>
              <w:rPr>
                <w:rFonts w:hint="default" w:ascii="Times New Roman"/>
                <w:snapToGrid w:val="0"/>
                <w:color w:val="auto"/>
                <w:kern w:val="21"/>
                <w:szCs w:val="21"/>
                <w:lang w:val="en-US" w:eastAsia="zh-CN"/>
              </w:rPr>
              <w:t>0.256</w:t>
            </w:r>
            <w:r>
              <w:rPr>
                <w:rFonts w:hint="eastAsia" w:ascii="Times New Roman"/>
                <w:snapToGrid w:val="0"/>
                <w:color w:val="auto"/>
                <w:kern w:val="21"/>
                <w:szCs w:val="21"/>
                <w:lang w:val="en-US" w:eastAsia="zh-CN"/>
              </w:rPr>
              <w:t>t/a</w:t>
            </w:r>
          </w:p>
        </w:tc>
        <w:tc>
          <w:tcPr>
            <w:tcW w:w="1761" w:type="dxa"/>
            <w:vAlign w:val="center"/>
          </w:tcPr>
          <w:p w14:paraId="1295CA0A">
            <w:pPr>
              <w:pStyle w:val="64"/>
              <w:spacing w:beforeLines="0" w:afterLines="0" w:line="240" w:lineRule="auto"/>
              <w:rPr>
                <w:rFonts w:hint="eastAsia" w:ascii="Times New Roman"/>
                <w:snapToGrid w:val="0"/>
                <w:color w:val="auto"/>
                <w:kern w:val="21"/>
                <w:szCs w:val="21"/>
                <w:lang w:val="en-US" w:eastAsia="zh-CN"/>
              </w:rPr>
            </w:pPr>
          </w:p>
        </w:tc>
        <w:tc>
          <w:tcPr>
            <w:tcW w:w="1499" w:type="dxa"/>
            <w:vAlign w:val="center"/>
          </w:tcPr>
          <w:p w14:paraId="7F5390A0">
            <w:pPr>
              <w:pStyle w:val="64"/>
              <w:spacing w:beforeLines="0" w:afterLines="0" w:line="240" w:lineRule="auto"/>
              <w:rPr>
                <w:rFonts w:hint="eastAsia" w:ascii="Times New Roman"/>
                <w:snapToGrid w:val="0"/>
                <w:color w:val="auto"/>
                <w:kern w:val="21"/>
                <w:szCs w:val="21"/>
                <w:lang w:val="en-US" w:eastAsia="zh-CN"/>
              </w:rPr>
            </w:pPr>
            <w:r>
              <w:rPr>
                <w:rFonts w:hint="default" w:ascii="Times New Roman"/>
                <w:snapToGrid w:val="0"/>
                <w:color w:val="auto"/>
                <w:kern w:val="21"/>
                <w:szCs w:val="21"/>
                <w:lang w:val="en-US" w:eastAsia="zh-CN"/>
              </w:rPr>
              <w:t>0.256</w:t>
            </w:r>
            <w:r>
              <w:rPr>
                <w:rFonts w:hint="eastAsia" w:ascii="Times New Roman"/>
                <w:snapToGrid w:val="0"/>
                <w:color w:val="auto"/>
                <w:kern w:val="21"/>
                <w:szCs w:val="21"/>
                <w:lang w:val="en-US" w:eastAsia="zh-CN"/>
              </w:rPr>
              <w:t>t/a</w:t>
            </w:r>
          </w:p>
        </w:tc>
        <w:tc>
          <w:tcPr>
            <w:tcW w:w="1286" w:type="dxa"/>
            <w:vAlign w:val="center"/>
          </w:tcPr>
          <w:p w14:paraId="75AC37B0">
            <w:pPr>
              <w:pStyle w:val="64"/>
              <w:spacing w:beforeLines="0" w:afterLines="0" w:line="240" w:lineRule="auto"/>
              <w:rPr>
                <w:rFonts w:ascii="Times New Roman"/>
                <w:snapToGrid w:val="0"/>
                <w:color w:val="auto"/>
                <w:kern w:val="21"/>
                <w:szCs w:val="21"/>
              </w:rPr>
            </w:pPr>
          </w:p>
        </w:tc>
      </w:tr>
      <w:tr w14:paraId="63F18DD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Align w:val="center"/>
          </w:tcPr>
          <w:p w14:paraId="608F7F4E">
            <w:pPr>
              <w:pStyle w:val="64"/>
              <w:spacing w:beforeLines="0" w:afterLines="0" w:line="240" w:lineRule="auto"/>
              <w:rPr>
                <w:rFonts w:ascii="Times New Roman"/>
                <w:snapToGrid w:val="0"/>
                <w:color w:val="auto"/>
                <w:kern w:val="21"/>
                <w:szCs w:val="21"/>
              </w:rPr>
            </w:pPr>
            <w:r>
              <w:rPr>
                <w:rFonts w:ascii="Times New Roman"/>
                <w:snapToGrid w:val="0"/>
                <w:color w:val="auto"/>
                <w:kern w:val="21"/>
                <w:szCs w:val="21"/>
              </w:rPr>
              <w:t>一般工业</w:t>
            </w:r>
          </w:p>
          <w:p w14:paraId="67C74A84">
            <w:pPr>
              <w:pStyle w:val="64"/>
              <w:spacing w:beforeLines="0" w:afterLines="0" w:line="240" w:lineRule="auto"/>
              <w:rPr>
                <w:rFonts w:ascii="Times New Roman"/>
                <w:snapToGrid w:val="0"/>
                <w:color w:val="auto"/>
                <w:kern w:val="21"/>
                <w:szCs w:val="21"/>
              </w:rPr>
            </w:pPr>
            <w:r>
              <w:rPr>
                <w:rFonts w:ascii="Times New Roman"/>
                <w:snapToGrid w:val="0"/>
                <w:color w:val="auto"/>
                <w:kern w:val="21"/>
                <w:szCs w:val="21"/>
              </w:rPr>
              <w:t>固体废物</w:t>
            </w:r>
          </w:p>
        </w:tc>
        <w:tc>
          <w:tcPr>
            <w:tcW w:w="1417" w:type="dxa"/>
            <w:vAlign w:val="center"/>
          </w:tcPr>
          <w:p w14:paraId="2D1B4933">
            <w:pPr>
              <w:pStyle w:val="64"/>
              <w:spacing w:beforeLines="0" w:afterLines="0" w:line="240" w:lineRule="auto"/>
              <w:rPr>
                <w:rFonts w:hint="default" w:ascii="Times New Roman" w:eastAsia="宋体"/>
                <w:snapToGrid w:val="0"/>
                <w:color w:val="auto"/>
                <w:kern w:val="21"/>
                <w:szCs w:val="21"/>
                <w:lang w:val="en-US" w:eastAsia="zh-CN"/>
              </w:rPr>
            </w:pPr>
          </w:p>
        </w:tc>
        <w:tc>
          <w:tcPr>
            <w:tcW w:w="1701" w:type="dxa"/>
            <w:vAlign w:val="center"/>
          </w:tcPr>
          <w:p w14:paraId="6D1391A2">
            <w:pPr>
              <w:pStyle w:val="64"/>
              <w:spacing w:beforeLines="0" w:afterLines="0" w:line="240" w:lineRule="auto"/>
              <w:rPr>
                <w:rFonts w:ascii="Times New Roman"/>
                <w:snapToGrid w:val="0"/>
                <w:color w:val="auto"/>
                <w:kern w:val="21"/>
                <w:szCs w:val="21"/>
              </w:rPr>
            </w:pPr>
          </w:p>
        </w:tc>
        <w:tc>
          <w:tcPr>
            <w:tcW w:w="1276" w:type="dxa"/>
            <w:vAlign w:val="center"/>
          </w:tcPr>
          <w:p w14:paraId="2C0CD421">
            <w:pPr>
              <w:pStyle w:val="64"/>
              <w:spacing w:beforeLines="0" w:afterLines="0" w:line="240" w:lineRule="auto"/>
              <w:rPr>
                <w:rFonts w:ascii="Times New Roman"/>
                <w:snapToGrid w:val="0"/>
                <w:color w:val="auto"/>
                <w:kern w:val="21"/>
                <w:szCs w:val="21"/>
              </w:rPr>
            </w:pPr>
          </w:p>
        </w:tc>
        <w:tc>
          <w:tcPr>
            <w:tcW w:w="1701" w:type="dxa"/>
            <w:vAlign w:val="center"/>
          </w:tcPr>
          <w:p w14:paraId="600863BC">
            <w:pPr>
              <w:pStyle w:val="64"/>
              <w:spacing w:beforeLines="0" w:afterLines="0" w:line="240" w:lineRule="auto"/>
              <w:rPr>
                <w:rFonts w:ascii="Times New Roman"/>
                <w:snapToGrid w:val="0"/>
                <w:color w:val="auto"/>
                <w:kern w:val="21"/>
                <w:szCs w:val="21"/>
              </w:rPr>
            </w:pPr>
          </w:p>
        </w:tc>
        <w:tc>
          <w:tcPr>
            <w:tcW w:w="1559" w:type="dxa"/>
            <w:vAlign w:val="center"/>
          </w:tcPr>
          <w:p w14:paraId="17B6BE1D">
            <w:pPr>
              <w:pStyle w:val="64"/>
              <w:spacing w:beforeLines="0" w:afterLines="0" w:line="240" w:lineRule="auto"/>
              <w:rPr>
                <w:rFonts w:hint="eastAsia" w:ascii="Times New Roman"/>
                <w:snapToGrid w:val="0"/>
                <w:color w:val="auto"/>
                <w:kern w:val="21"/>
                <w:szCs w:val="21"/>
                <w:lang w:val="en-US" w:eastAsia="zh-CN"/>
              </w:rPr>
            </w:pPr>
          </w:p>
        </w:tc>
        <w:tc>
          <w:tcPr>
            <w:tcW w:w="1761" w:type="dxa"/>
            <w:vAlign w:val="center"/>
          </w:tcPr>
          <w:p w14:paraId="3D807CF2">
            <w:pPr>
              <w:pStyle w:val="64"/>
              <w:spacing w:beforeLines="0" w:afterLines="0" w:line="240" w:lineRule="auto"/>
              <w:rPr>
                <w:rFonts w:hint="eastAsia" w:ascii="Times New Roman"/>
                <w:snapToGrid w:val="0"/>
                <w:color w:val="auto"/>
                <w:kern w:val="21"/>
                <w:szCs w:val="21"/>
                <w:lang w:val="en-US" w:eastAsia="zh-CN"/>
              </w:rPr>
            </w:pPr>
          </w:p>
        </w:tc>
        <w:tc>
          <w:tcPr>
            <w:tcW w:w="1499" w:type="dxa"/>
            <w:vAlign w:val="center"/>
          </w:tcPr>
          <w:p w14:paraId="291C0E6E">
            <w:pPr>
              <w:pStyle w:val="64"/>
              <w:spacing w:beforeLines="0" w:afterLines="0" w:line="240" w:lineRule="auto"/>
              <w:rPr>
                <w:rFonts w:hint="eastAsia" w:ascii="Times New Roman"/>
                <w:snapToGrid w:val="0"/>
                <w:color w:val="auto"/>
                <w:kern w:val="21"/>
                <w:szCs w:val="21"/>
                <w:lang w:val="en-US" w:eastAsia="zh-CN"/>
              </w:rPr>
            </w:pPr>
          </w:p>
        </w:tc>
        <w:tc>
          <w:tcPr>
            <w:tcW w:w="1286" w:type="dxa"/>
            <w:vAlign w:val="center"/>
          </w:tcPr>
          <w:p w14:paraId="0740DD8D">
            <w:pPr>
              <w:pStyle w:val="64"/>
              <w:spacing w:beforeLines="0" w:afterLines="0" w:line="240" w:lineRule="auto"/>
              <w:rPr>
                <w:rFonts w:ascii="Times New Roman"/>
                <w:snapToGrid w:val="0"/>
                <w:color w:val="auto"/>
                <w:kern w:val="21"/>
                <w:szCs w:val="21"/>
              </w:rPr>
            </w:pPr>
          </w:p>
        </w:tc>
      </w:tr>
      <w:tr w14:paraId="0190813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vAlign w:val="center"/>
          </w:tcPr>
          <w:p w14:paraId="3A9B1BCB">
            <w:pPr>
              <w:pStyle w:val="64"/>
              <w:spacing w:beforeLines="0" w:afterLines="0" w:line="240" w:lineRule="auto"/>
              <w:rPr>
                <w:rFonts w:ascii="Times New Roman"/>
                <w:snapToGrid w:val="0"/>
                <w:color w:val="auto"/>
                <w:kern w:val="21"/>
                <w:szCs w:val="21"/>
              </w:rPr>
            </w:pPr>
            <w:r>
              <w:rPr>
                <w:rFonts w:ascii="Times New Roman"/>
                <w:snapToGrid w:val="0"/>
                <w:color w:val="auto"/>
                <w:kern w:val="21"/>
                <w:szCs w:val="21"/>
              </w:rPr>
              <w:t>危险废物</w:t>
            </w:r>
          </w:p>
        </w:tc>
        <w:tc>
          <w:tcPr>
            <w:tcW w:w="1417" w:type="dxa"/>
            <w:vAlign w:val="center"/>
          </w:tcPr>
          <w:p w14:paraId="0D5B04D9">
            <w:pPr>
              <w:keepNext w:val="0"/>
              <w:keepLines w:val="0"/>
              <w:widowControl/>
              <w:suppressLineNumbers w:val="0"/>
              <w:jc w:val="left"/>
            </w:pPr>
            <w:r>
              <w:rPr>
                <w:rFonts w:hint="eastAsia" w:ascii="宋体" w:hAnsi="宋体" w:eastAsia="宋体" w:cs="宋体"/>
                <w:color w:val="000000"/>
                <w:kern w:val="0"/>
                <w:sz w:val="20"/>
                <w:szCs w:val="20"/>
                <w:lang w:val="en-US" w:eastAsia="zh-CN" w:bidi="ar"/>
              </w:rPr>
              <w:t xml:space="preserve">污水处理产生 </w:t>
            </w:r>
          </w:p>
          <w:p w14:paraId="3B93C76F">
            <w:pPr>
              <w:keepNext w:val="0"/>
              <w:keepLines w:val="0"/>
              <w:widowControl/>
              <w:suppressLineNumbers w:val="0"/>
              <w:jc w:val="left"/>
              <w:rPr>
                <w:rFonts w:hint="default" w:ascii="Times New Roman" w:eastAsia="宋体"/>
                <w:snapToGrid w:val="0"/>
                <w:color w:val="auto"/>
                <w:kern w:val="21"/>
                <w:szCs w:val="21"/>
                <w:lang w:val="en-US" w:eastAsia="zh-CN"/>
              </w:rPr>
            </w:pPr>
            <w:r>
              <w:rPr>
                <w:rFonts w:hint="eastAsia" w:ascii="宋体" w:hAnsi="宋体" w:eastAsia="宋体" w:cs="宋体"/>
                <w:color w:val="000000"/>
                <w:kern w:val="0"/>
                <w:sz w:val="20"/>
                <w:szCs w:val="20"/>
                <w:lang w:val="en-US" w:eastAsia="zh-CN" w:bidi="ar"/>
              </w:rPr>
              <w:t>的栅渣、污泥</w:t>
            </w:r>
          </w:p>
        </w:tc>
        <w:tc>
          <w:tcPr>
            <w:tcW w:w="1701" w:type="dxa"/>
            <w:vAlign w:val="center"/>
          </w:tcPr>
          <w:p w14:paraId="4FE251F6">
            <w:pPr>
              <w:pStyle w:val="64"/>
              <w:spacing w:beforeLines="0" w:afterLines="0" w:line="240" w:lineRule="auto"/>
              <w:rPr>
                <w:rFonts w:ascii="Times New Roman"/>
                <w:snapToGrid w:val="0"/>
                <w:color w:val="auto"/>
                <w:kern w:val="21"/>
                <w:szCs w:val="21"/>
              </w:rPr>
            </w:pPr>
          </w:p>
        </w:tc>
        <w:tc>
          <w:tcPr>
            <w:tcW w:w="1276" w:type="dxa"/>
            <w:vAlign w:val="center"/>
          </w:tcPr>
          <w:p w14:paraId="5D47FF00">
            <w:pPr>
              <w:pStyle w:val="64"/>
              <w:spacing w:beforeLines="0" w:afterLines="0" w:line="240" w:lineRule="auto"/>
              <w:rPr>
                <w:rFonts w:ascii="Times New Roman"/>
                <w:snapToGrid w:val="0"/>
                <w:color w:val="auto"/>
                <w:kern w:val="21"/>
                <w:szCs w:val="21"/>
              </w:rPr>
            </w:pPr>
          </w:p>
        </w:tc>
        <w:tc>
          <w:tcPr>
            <w:tcW w:w="1701" w:type="dxa"/>
            <w:vAlign w:val="center"/>
          </w:tcPr>
          <w:p w14:paraId="06A4C6EF">
            <w:pPr>
              <w:pStyle w:val="64"/>
              <w:spacing w:beforeLines="0" w:afterLines="0" w:line="240" w:lineRule="auto"/>
              <w:rPr>
                <w:rFonts w:ascii="Times New Roman"/>
                <w:snapToGrid w:val="0"/>
                <w:color w:val="auto"/>
                <w:kern w:val="21"/>
                <w:szCs w:val="21"/>
              </w:rPr>
            </w:pPr>
          </w:p>
        </w:tc>
        <w:tc>
          <w:tcPr>
            <w:tcW w:w="1559" w:type="dxa"/>
            <w:vAlign w:val="center"/>
          </w:tcPr>
          <w:p w14:paraId="19A3B93B">
            <w:pPr>
              <w:pStyle w:val="64"/>
              <w:spacing w:beforeLines="0" w:afterLines="0" w:line="240" w:lineRule="auto"/>
              <w:rPr>
                <w:rFonts w:hint="default" w:ascii="Times New Roman" w:eastAsia="宋体"/>
                <w:snapToGrid w:val="0"/>
                <w:color w:val="auto"/>
                <w:kern w:val="21"/>
                <w:szCs w:val="21"/>
                <w:lang w:val="en-US" w:eastAsia="zh-CN"/>
              </w:rPr>
            </w:pPr>
            <w:r>
              <w:rPr>
                <w:rFonts w:hint="eastAsia" w:ascii="Times New Roman"/>
                <w:snapToGrid w:val="0"/>
                <w:color w:val="auto"/>
                <w:kern w:val="21"/>
                <w:szCs w:val="21"/>
                <w:lang w:val="en-US" w:eastAsia="zh-CN"/>
              </w:rPr>
              <w:t>10.0t/a</w:t>
            </w:r>
          </w:p>
        </w:tc>
        <w:tc>
          <w:tcPr>
            <w:tcW w:w="1761" w:type="dxa"/>
            <w:vAlign w:val="center"/>
          </w:tcPr>
          <w:p w14:paraId="65602FEC">
            <w:pPr>
              <w:pStyle w:val="64"/>
              <w:spacing w:beforeLines="0" w:afterLines="0" w:line="240" w:lineRule="auto"/>
              <w:rPr>
                <w:rFonts w:ascii="Times New Roman"/>
                <w:snapToGrid w:val="0"/>
                <w:color w:val="auto"/>
                <w:kern w:val="21"/>
                <w:szCs w:val="21"/>
              </w:rPr>
            </w:pPr>
          </w:p>
        </w:tc>
        <w:tc>
          <w:tcPr>
            <w:tcW w:w="1499" w:type="dxa"/>
            <w:vAlign w:val="center"/>
          </w:tcPr>
          <w:p w14:paraId="11D27601">
            <w:pPr>
              <w:pStyle w:val="64"/>
              <w:spacing w:beforeLines="0" w:afterLines="0" w:line="240" w:lineRule="auto"/>
              <w:rPr>
                <w:rFonts w:hint="default" w:ascii="Times New Roman"/>
                <w:snapToGrid w:val="0"/>
                <w:color w:val="auto"/>
                <w:kern w:val="21"/>
                <w:szCs w:val="21"/>
                <w:lang w:val="en-US"/>
              </w:rPr>
            </w:pPr>
            <w:r>
              <w:rPr>
                <w:rFonts w:hint="eastAsia" w:ascii="Times New Roman"/>
                <w:snapToGrid w:val="0"/>
                <w:color w:val="auto"/>
                <w:kern w:val="21"/>
                <w:szCs w:val="21"/>
                <w:lang w:val="en-US" w:eastAsia="zh-CN"/>
              </w:rPr>
              <w:t>10.0t/a</w:t>
            </w:r>
          </w:p>
        </w:tc>
        <w:tc>
          <w:tcPr>
            <w:tcW w:w="1286" w:type="dxa"/>
            <w:vAlign w:val="center"/>
          </w:tcPr>
          <w:p w14:paraId="5DE2EBD1">
            <w:pPr>
              <w:pStyle w:val="64"/>
              <w:spacing w:beforeLines="0" w:afterLines="0" w:line="240" w:lineRule="auto"/>
              <w:rPr>
                <w:rFonts w:ascii="Times New Roman"/>
                <w:snapToGrid w:val="0"/>
                <w:color w:val="auto"/>
                <w:kern w:val="21"/>
                <w:szCs w:val="21"/>
              </w:rPr>
            </w:pPr>
          </w:p>
        </w:tc>
      </w:tr>
      <w:tr w14:paraId="55684F1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3109AD0F">
            <w:pPr>
              <w:pStyle w:val="64"/>
              <w:spacing w:beforeLines="0" w:afterLines="0" w:line="240" w:lineRule="auto"/>
              <w:rPr>
                <w:rFonts w:ascii="Times New Roman"/>
                <w:snapToGrid w:val="0"/>
                <w:color w:val="auto"/>
                <w:kern w:val="21"/>
                <w:szCs w:val="21"/>
              </w:rPr>
            </w:pPr>
          </w:p>
        </w:tc>
        <w:tc>
          <w:tcPr>
            <w:tcW w:w="1417" w:type="dxa"/>
            <w:vAlign w:val="center"/>
          </w:tcPr>
          <w:p w14:paraId="7D447670">
            <w:pPr>
              <w:pStyle w:val="64"/>
              <w:spacing w:beforeLines="0" w:afterLines="0" w:line="240" w:lineRule="auto"/>
              <w:rPr>
                <w:rFonts w:hint="default" w:ascii="Times New Roman" w:hAnsi="Times New Roman" w:eastAsia="宋体" w:cs="Times New Roman"/>
                <w:snapToGrid w:val="0"/>
                <w:color w:val="auto"/>
                <w:kern w:val="21"/>
                <w:sz w:val="21"/>
                <w:szCs w:val="21"/>
                <w:lang w:val="en-US" w:eastAsia="zh-CN" w:bidi="ar-SA"/>
              </w:rPr>
            </w:pPr>
            <w:r>
              <w:rPr>
                <w:rFonts w:hint="eastAsia" w:ascii="Times New Roman"/>
                <w:snapToGrid w:val="0"/>
                <w:color w:val="auto"/>
                <w:kern w:val="21"/>
                <w:szCs w:val="21"/>
                <w:lang w:val="en-US" w:eastAsia="zh-CN"/>
              </w:rPr>
              <w:t>医疗垃圾</w:t>
            </w:r>
          </w:p>
        </w:tc>
        <w:tc>
          <w:tcPr>
            <w:tcW w:w="1701" w:type="dxa"/>
            <w:vAlign w:val="center"/>
          </w:tcPr>
          <w:p w14:paraId="70B93D9A">
            <w:pPr>
              <w:pStyle w:val="64"/>
              <w:spacing w:beforeLines="0" w:afterLines="0" w:line="240" w:lineRule="auto"/>
              <w:rPr>
                <w:rFonts w:ascii="Times New Roman" w:hAnsi="Times New Roman" w:eastAsia="宋体" w:cs="Times New Roman"/>
                <w:snapToGrid w:val="0"/>
                <w:color w:val="auto"/>
                <w:kern w:val="21"/>
                <w:sz w:val="21"/>
                <w:szCs w:val="21"/>
                <w:lang w:val="en-US" w:eastAsia="zh-CN" w:bidi="ar-SA"/>
              </w:rPr>
            </w:pPr>
          </w:p>
        </w:tc>
        <w:tc>
          <w:tcPr>
            <w:tcW w:w="1276" w:type="dxa"/>
            <w:vAlign w:val="center"/>
          </w:tcPr>
          <w:p w14:paraId="3F853EDE">
            <w:pPr>
              <w:pStyle w:val="64"/>
              <w:spacing w:beforeLines="0" w:afterLines="0" w:line="240" w:lineRule="auto"/>
              <w:rPr>
                <w:rFonts w:ascii="Times New Roman" w:hAnsi="Times New Roman" w:eastAsia="宋体" w:cs="Times New Roman"/>
                <w:snapToGrid w:val="0"/>
                <w:color w:val="auto"/>
                <w:kern w:val="21"/>
                <w:sz w:val="21"/>
                <w:szCs w:val="21"/>
                <w:lang w:val="en-US" w:eastAsia="zh-CN" w:bidi="ar-SA"/>
              </w:rPr>
            </w:pPr>
          </w:p>
        </w:tc>
        <w:tc>
          <w:tcPr>
            <w:tcW w:w="1701" w:type="dxa"/>
            <w:vAlign w:val="center"/>
          </w:tcPr>
          <w:p w14:paraId="5C8D9BE6">
            <w:pPr>
              <w:pStyle w:val="64"/>
              <w:spacing w:beforeLines="0" w:afterLines="0" w:line="240" w:lineRule="auto"/>
              <w:rPr>
                <w:rFonts w:ascii="Times New Roman" w:hAnsi="Times New Roman" w:eastAsia="宋体" w:cs="Times New Roman"/>
                <w:snapToGrid w:val="0"/>
                <w:color w:val="auto"/>
                <w:kern w:val="21"/>
                <w:sz w:val="21"/>
                <w:szCs w:val="21"/>
                <w:lang w:val="en-US" w:eastAsia="zh-CN" w:bidi="ar-SA"/>
              </w:rPr>
            </w:pPr>
          </w:p>
        </w:tc>
        <w:tc>
          <w:tcPr>
            <w:tcW w:w="1559" w:type="dxa"/>
            <w:vAlign w:val="center"/>
          </w:tcPr>
          <w:p w14:paraId="078E01B6">
            <w:pPr>
              <w:pStyle w:val="64"/>
              <w:spacing w:beforeLines="0" w:afterLines="0" w:line="240" w:lineRule="auto"/>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snapToGrid w:val="0"/>
                <w:color w:val="auto"/>
                <w:kern w:val="21"/>
                <w:szCs w:val="21"/>
                <w:lang w:val="en-US" w:eastAsia="zh-CN"/>
              </w:rPr>
              <w:t>93.44</w:t>
            </w:r>
            <w:r>
              <w:rPr>
                <w:rFonts w:ascii="Times New Roman"/>
                <w:snapToGrid w:val="0"/>
                <w:color w:val="auto"/>
                <w:kern w:val="21"/>
                <w:szCs w:val="21"/>
              </w:rPr>
              <w:t>t/a</w:t>
            </w:r>
          </w:p>
        </w:tc>
        <w:tc>
          <w:tcPr>
            <w:tcW w:w="1761" w:type="dxa"/>
            <w:vAlign w:val="center"/>
          </w:tcPr>
          <w:p w14:paraId="229D4E60">
            <w:pPr>
              <w:pStyle w:val="64"/>
              <w:spacing w:beforeLines="0" w:afterLines="0" w:line="240" w:lineRule="auto"/>
              <w:rPr>
                <w:rFonts w:ascii="Times New Roman" w:hAnsi="Times New Roman" w:eastAsia="宋体" w:cs="Times New Roman"/>
                <w:snapToGrid w:val="0"/>
                <w:color w:val="auto"/>
                <w:kern w:val="21"/>
                <w:sz w:val="21"/>
                <w:szCs w:val="21"/>
                <w:lang w:val="en-US" w:eastAsia="zh-CN" w:bidi="ar-SA"/>
              </w:rPr>
            </w:pPr>
          </w:p>
        </w:tc>
        <w:tc>
          <w:tcPr>
            <w:tcW w:w="1499" w:type="dxa"/>
            <w:vAlign w:val="center"/>
          </w:tcPr>
          <w:p w14:paraId="2D38E2F8">
            <w:pPr>
              <w:pStyle w:val="64"/>
              <w:spacing w:beforeLines="0" w:afterLines="0" w:line="240" w:lineRule="auto"/>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snapToGrid w:val="0"/>
                <w:color w:val="auto"/>
                <w:kern w:val="21"/>
                <w:szCs w:val="21"/>
                <w:lang w:val="en-US" w:eastAsia="zh-CN"/>
              </w:rPr>
              <w:t>93.44</w:t>
            </w:r>
            <w:r>
              <w:rPr>
                <w:rFonts w:ascii="Times New Roman"/>
                <w:snapToGrid w:val="0"/>
                <w:color w:val="auto"/>
                <w:kern w:val="21"/>
                <w:szCs w:val="21"/>
              </w:rPr>
              <w:t>t/a</w:t>
            </w:r>
          </w:p>
        </w:tc>
        <w:tc>
          <w:tcPr>
            <w:tcW w:w="1286" w:type="dxa"/>
            <w:vAlign w:val="center"/>
          </w:tcPr>
          <w:p w14:paraId="4A0BD54D">
            <w:pPr>
              <w:pStyle w:val="64"/>
              <w:spacing w:beforeLines="0" w:afterLines="0" w:line="240" w:lineRule="auto"/>
              <w:rPr>
                <w:rFonts w:ascii="Times New Roman"/>
                <w:snapToGrid w:val="0"/>
                <w:color w:val="auto"/>
                <w:kern w:val="21"/>
                <w:szCs w:val="21"/>
              </w:rPr>
            </w:pPr>
          </w:p>
        </w:tc>
      </w:tr>
    </w:tbl>
    <w:p w14:paraId="0B3776D8">
      <w:pPr>
        <w:pStyle w:val="64"/>
        <w:spacing w:beforeLines="80" w:after="24"/>
        <w:jc w:val="left"/>
        <w:rPr>
          <w:rFonts w:ascii="Times New Roman"/>
          <w:snapToGrid w:val="0"/>
          <w:spacing w:val="-6"/>
          <w:kern w:val="21"/>
          <w:szCs w:val="21"/>
        </w:rPr>
      </w:pPr>
      <w:r>
        <w:rPr>
          <w:rFonts w:ascii="Times New Roman"/>
          <w:snapToGrid w:val="0"/>
          <w:kern w:val="21"/>
          <w:szCs w:val="21"/>
        </w:rPr>
        <w:t>注：</w:t>
      </w:r>
      <w:r>
        <w:rPr>
          <w:rFonts w:ascii="Times New Roman"/>
          <w:snapToGrid w:val="0"/>
          <w:spacing w:val="-16"/>
          <w:kern w:val="21"/>
          <w:szCs w:val="21"/>
        </w:rPr>
        <w:fldChar w:fldCharType="begin"/>
      </w:r>
      <w:r>
        <w:rPr>
          <w:rFonts w:ascii="Times New Roman"/>
          <w:snapToGrid w:val="0"/>
          <w:spacing w:val="-16"/>
          <w:kern w:val="21"/>
          <w:szCs w:val="21"/>
        </w:rPr>
        <w:instrText xml:space="preserve"> = 6 \* GB3 \* MERGEFORMAT </w:instrText>
      </w:r>
      <w:r>
        <w:rPr>
          <w:rFonts w:ascii="Times New Roman"/>
          <w:snapToGrid w:val="0"/>
          <w:spacing w:val="-16"/>
          <w:kern w:val="21"/>
          <w:szCs w:val="21"/>
        </w:rPr>
        <w:fldChar w:fldCharType="separate"/>
      </w:r>
      <w:r>
        <w:rPr>
          <w:szCs w:val="21"/>
        </w:rPr>
        <w:t>⑥</w:t>
      </w:r>
      <w:r>
        <w:rPr>
          <w:rFonts w:ascii="Times New Roman"/>
          <w:snapToGrid w:val="0"/>
          <w:spacing w:val="-16"/>
          <w:kern w:val="21"/>
          <w:szCs w:val="21"/>
        </w:rPr>
        <w:fldChar w:fldCharType="end"/>
      </w:r>
      <w:r>
        <w:rPr>
          <w:rFonts w:ascii="Times New Roman"/>
          <w:snapToGrid w:val="0"/>
          <w:spacing w:val="-16"/>
          <w:kern w:val="21"/>
          <w:szCs w:val="21"/>
        </w:rPr>
        <w:t>=</w:t>
      </w:r>
      <w:r>
        <w:rPr>
          <w:rFonts w:ascii="Times New Roman"/>
          <w:snapToGrid w:val="0"/>
          <w:spacing w:val="-6"/>
          <w:kern w:val="21"/>
          <w:szCs w:val="21"/>
        </w:rPr>
        <w:fldChar w:fldCharType="begin"/>
      </w:r>
      <w:r>
        <w:rPr>
          <w:rFonts w:ascii="Times New Roman"/>
          <w:snapToGrid w:val="0"/>
          <w:spacing w:val="-6"/>
          <w:kern w:val="21"/>
          <w:szCs w:val="21"/>
        </w:rPr>
        <w:instrText xml:space="preserve"> = 1 \* GB3 \* MERGEFORMAT </w:instrText>
      </w:r>
      <w:r>
        <w:rPr>
          <w:rFonts w:ascii="Times New Roman"/>
          <w:snapToGrid w:val="0"/>
          <w:spacing w:val="-6"/>
          <w:kern w:val="21"/>
          <w:szCs w:val="21"/>
        </w:rPr>
        <w:fldChar w:fldCharType="separate"/>
      </w:r>
      <w:r>
        <w:rPr>
          <w:szCs w:val="21"/>
        </w:rPr>
        <w:t>①</w:t>
      </w:r>
      <w:r>
        <w:rPr>
          <w:rFonts w:ascii="Times New Roman"/>
          <w:snapToGrid w:val="0"/>
          <w:spacing w:val="-6"/>
          <w:kern w:val="21"/>
          <w:szCs w:val="21"/>
        </w:rPr>
        <w:fldChar w:fldCharType="end"/>
      </w:r>
      <w:r>
        <w:rPr>
          <w:rFonts w:ascii="Times New Roman"/>
          <w:snapToGrid w:val="0"/>
          <w:spacing w:val="-6"/>
          <w:kern w:val="21"/>
          <w:szCs w:val="21"/>
        </w:rPr>
        <w:t>+</w:t>
      </w:r>
      <w:r>
        <w:rPr>
          <w:rFonts w:ascii="Times New Roman"/>
          <w:snapToGrid w:val="0"/>
          <w:spacing w:val="-6"/>
          <w:kern w:val="21"/>
          <w:szCs w:val="21"/>
        </w:rPr>
        <w:fldChar w:fldCharType="begin"/>
      </w:r>
      <w:r>
        <w:rPr>
          <w:rFonts w:ascii="Times New Roman"/>
          <w:snapToGrid w:val="0"/>
          <w:spacing w:val="-6"/>
          <w:kern w:val="21"/>
          <w:szCs w:val="21"/>
        </w:rPr>
        <w:instrText xml:space="preserve"> = 3 \* GB3 \* MERGEFORMAT </w:instrText>
      </w:r>
      <w:r>
        <w:rPr>
          <w:rFonts w:ascii="Times New Roman"/>
          <w:snapToGrid w:val="0"/>
          <w:spacing w:val="-6"/>
          <w:kern w:val="21"/>
          <w:szCs w:val="21"/>
        </w:rPr>
        <w:fldChar w:fldCharType="separate"/>
      </w:r>
      <w:r>
        <w:rPr>
          <w:szCs w:val="21"/>
        </w:rPr>
        <w:t>③</w:t>
      </w:r>
      <w:r>
        <w:rPr>
          <w:rFonts w:ascii="Times New Roman"/>
          <w:snapToGrid w:val="0"/>
          <w:spacing w:val="-6"/>
          <w:kern w:val="21"/>
          <w:szCs w:val="21"/>
        </w:rPr>
        <w:fldChar w:fldCharType="end"/>
      </w:r>
      <w:r>
        <w:rPr>
          <w:rFonts w:ascii="Times New Roman"/>
          <w:snapToGrid w:val="0"/>
          <w:spacing w:val="-6"/>
          <w:kern w:val="21"/>
          <w:szCs w:val="21"/>
        </w:rPr>
        <w:t>+</w:t>
      </w:r>
      <w:r>
        <w:rPr>
          <w:rFonts w:ascii="Times New Roman"/>
          <w:snapToGrid w:val="0"/>
          <w:spacing w:val="-6"/>
          <w:kern w:val="21"/>
          <w:szCs w:val="21"/>
        </w:rPr>
        <w:fldChar w:fldCharType="begin"/>
      </w:r>
      <w:r>
        <w:rPr>
          <w:rFonts w:ascii="Times New Roman"/>
          <w:snapToGrid w:val="0"/>
          <w:spacing w:val="-6"/>
          <w:kern w:val="21"/>
          <w:szCs w:val="21"/>
        </w:rPr>
        <w:instrText xml:space="preserve"> = 4 \* GB3 \* MERGEFORMAT </w:instrText>
      </w:r>
      <w:r>
        <w:rPr>
          <w:rFonts w:ascii="Times New Roman"/>
          <w:snapToGrid w:val="0"/>
          <w:spacing w:val="-6"/>
          <w:kern w:val="21"/>
          <w:szCs w:val="21"/>
        </w:rPr>
        <w:fldChar w:fldCharType="separate"/>
      </w:r>
      <w:r>
        <w:rPr>
          <w:szCs w:val="21"/>
        </w:rPr>
        <w:t>④</w:t>
      </w:r>
      <w:r>
        <w:rPr>
          <w:rFonts w:ascii="Times New Roman"/>
          <w:snapToGrid w:val="0"/>
          <w:spacing w:val="-6"/>
          <w:kern w:val="21"/>
          <w:szCs w:val="21"/>
        </w:rPr>
        <w:fldChar w:fldCharType="end"/>
      </w:r>
      <w:r>
        <w:rPr>
          <w:rFonts w:ascii="Times New Roman"/>
          <w:snapToGrid w:val="0"/>
          <w:spacing w:val="-6"/>
          <w:kern w:val="21"/>
          <w:szCs w:val="21"/>
        </w:rPr>
        <w:t>-</w:t>
      </w:r>
      <w:r>
        <w:rPr>
          <w:rFonts w:ascii="Times New Roman"/>
          <w:snapToGrid w:val="0"/>
          <w:spacing w:val="-16"/>
          <w:kern w:val="21"/>
          <w:szCs w:val="21"/>
        </w:rPr>
        <w:fldChar w:fldCharType="begin"/>
      </w:r>
      <w:r>
        <w:rPr>
          <w:rFonts w:ascii="Times New Roman"/>
          <w:snapToGrid w:val="0"/>
          <w:spacing w:val="-16"/>
          <w:kern w:val="21"/>
          <w:szCs w:val="21"/>
        </w:rPr>
        <w:instrText xml:space="preserve"> = 5 \* GB3 \* MERGEFORMAT </w:instrText>
      </w:r>
      <w:r>
        <w:rPr>
          <w:rFonts w:ascii="Times New Roman"/>
          <w:snapToGrid w:val="0"/>
          <w:spacing w:val="-16"/>
          <w:kern w:val="21"/>
          <w:szCs w:val="21"/>
        </w:rPr>
        <w:fldChar w:fldCharType="separate"/>
      </w:r>
      <w:r>
        <w:rPr>
          <w:szCs w:val="21"/>
        </w:rPr>
        <w:t>⑤</w:t>
      </w:r>
      <w:r>
        <w:rPr>
          <w:rFonts w:ascii="Times New Roman"/>
          <w:snapToGrid w:val="0"/>
          <w:spacing w:val="-16"/>
          <w:kern w:val="21"/>
          <w:szCs w:val="21"/>
        </w:rPr>
        <w:fldChar w:fldCharType="end"/>
      </w:r>
      <w:r>
        <w:rPr>
          <w:rFonts w:ascii="Times New Roman"/>
          <w:snapToGrid w:val="0"/>
          <w:spacing w:val="-16"/>
          <w:kern w:val="21"/>
          <w:szCs w:val="21"/>
        </w:rPr>
        <w:t>；</w:t>
      </w:r>
      <w:r>
        <w:rPr>
          <w:rFonts w:ascii="Times New Roman"/>
          <w:snapToGrid w:val="0"/>
          <w:spacing w:val="-6"/>
          <w:kern w:val="21"/>
          <w:szCs w:val="21"/>
        </w:rPr>
        <w:fldChar w:fldCharType="begin"/>
      </w:r>
      <w:r>
        <w:rPr>
          <w:rFonts w:ascii="Times New Roman"/>
          <w:snapToGrid w:val="0"/>
          <w:spacing w:val="-6"/>
          <w:kern w:val="21"/>
          <w:szCs w:val="21"/>
        </w:rPr>
        <w:instrText xml:space="preserve"> = 7 \* GB3 \* MERGEFORMAT </w:instrText>
      </w:r>
      <w:r>
        <w:rPr>
          <w:rFonts w:ascii="Times New Roman"/>
          <w:snapToGrid w:val="0"/>
          <w:spacing w:val="-6"/>
          <w:kern w:val="21"/>
          <w:szCs w:val="21"/>
        </w:rPr>
        <w:fldChar w:fldCharType="separate"/>
      </w:r>
      <w:r>
        <w:rPr>
          <w:szCs w:val="21"/>
        </w:rPr>
        <w:t>⑦</w:t>
      </w:r>
      <w:r>
        <w:rPr>
          <w:rFonts w:ascii="Times New Roman"/>
          <w:snapToGrid w:val="0"/>
          <w:spacing w:val="-6"/>
          <w:kern w:val="21"/>
          <w:szCs w:val="21"/>
        </w:rPr>
        <w:fldChar w:fldCharType="end"/>
      </w:r>
      <w:r>
        <w:rPr>
          <w:rFonts w:ascii="Times New Roman"/>
          <w:snapToGrid w:val="0"/>
          <w:spacing w:val="-6"/>
          <w:kern w:val="21"/>
          <w:szCs w:val="21"/>
        </w:rPr>
        <w:t>=</w:t>
      </w:r>
      <w:r>
        <w:rPr>
          <w:rFonts w:ascii="Times New Roman"/>
          <w:snapToGrid w:val="0"/>
          <w:spacing w:val="-16"/>
          <w:kern w:val="21"/>
          <w:szCs w:val="21"/>
        </w:rPr>
        <w:fldChar w:fldCharType="begin"/>
      </w:r>
      <w:r>
        <w:rPr>
          <w:rFonts w:ascii="Times New Roman"/>
          <w:snapToGrid w:val="0"/>
          <w:spacing w:val="-16"/>
          <w:kern w:val="21"/>
          <w:szCs w:val="21"/>
        </w:rPr>
        <w:instrText xml:space="preserve"> = 6 \* GB3 \* MERGEFORMAT </w:instrText>
      </w:r>
      <w:r>
        <w:rPr>
          <w:rFonts w:ascii="Times New Roman"/>
          <w:snapToGrid w:val="0"/>
          <w:spacing w:val="-16"/>
          <w:kern w:val="21"/>
          <w:szCs w:val="21"/>
        </w:rPr>
        <w:fldChar w:fldCharType="separate"/>
      </w:r>
      <w:r>
        <w:rPr>
          <w:szCs w:val="21"/>
        </w:rPr>
        <w:t>⑥</w:t>
      </w:r>
      <w:r>
        <w:rPr>
          <w:rFonts w:ascii="Times New Roman"/>
          <w:snapToGrid w:val="0"/>
          <w:spacing w:val="-16"/>
          <w:kern w:val="21"/>
          <w:szCs w:val="21"/>
        </w:rPr>
        <w:fldChar w:fldCharType="end"/>
      </w:r>
      <w:r>
        <w:rPr>
          <w:rFonts w:ascii="Times New Roman"/>
          <w:snapToGrid w:val="0"/>
          <w:spacing w:val="-16"/>
          <w:kern w:val="21"/>
          <w:szCs w:val="21"/>
        </w:rPr>
        <w:t>-</w:t>
      </w:r>
      <w:r>
        <w:rPr>
          <w:rFonts w:ascii="Times New Roman"/>
          <w:snapToGrid w:val="0"/>
          <w:spacing w:val="-6"/>
          <w:kern w:val="21"/>
          <w:szCs w:val="21"/>
        </w:rPr>
        <w:fldChar w:fldCharType="begin"/>
      </w:r>
      <w:r>
        <w:rPr>
          <w:rFonts w:ascii="Times New Roman"/>
          <w:snapToGrid w:val="0"/>
          <w:spacing w:val="-6"/>
          <w:kern w:val="21"/>
          <w:szCs w:val="21"/>
        </w:rPr>
        <w:instrText xml:space="preserve"> = 1 \* GB3 \* MERGEFORMAT </w:instrText>
      </w:r>
      <w:r>
        <w:rPr>
          <w:rFonts w:ascii="Times New Roman"/>
          <w:snapToGrid w:val="0"/>
          <w:spacing w:val="-6"/>
          <w:kern w:val="21"/>
          <w:szCs w:val="21"/>
        </w:rPr>
        <w:fldChar w:fldCharType="separate"/>
      </w:r>
      <w:r>
        <w:rPr>
          <w:szCs w:val="21"/>
        </w:rPr>
        <w:t>①</w:t>
      </w:r>
      <w:r>
        <w:rPr>
          <w:rFonts w:ascii="Times New Roman"/>
          <w:snapToGrid w:val="0"/>
          <w:spacing w:val="-6"/>
          <w:kern w:val="21"/>
          <w:szCs w:val="21"/>
        </w:rPr>
        <w:fldChar w:fldCharType="end"/>
      </w:r>
    </w:p>
    <w:p w14:paraId="56318C1A"/>
    <w:p w14:paraId="08530B61">
      <w:pPr>
        <w:rPr>
          <w:rFonts w:hint="eastAsia"/>
          <w:lang w:val="en-US" w:eastAsia="zh-CN"/>
        </w:rPr>
        <w:sectPr>
          <w:footerReference r:id="rId5" w:type="default"/>
          <w:pgSz w:w="16838" w:h="11906" w:orient="landscape"/>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27CA6E0B">
      <w:pPr>
        <w:pStyle w:val="41"/>
        <w:adjustRightInd w:val="0"/>
        <w:snapToGrid w:val="0"/>
        <w:spacing w:before="0" w:beforeAutospacing="0" w:after="0" w:afterAutospacing="0" w:line="480" w:lineRule="auto"/>
        <w:outlineLvl w:val="0"/>
        <w:rPr>
          <w:rFonts w:ascii="Times New Roman" w:hAnsi="Times New Roman" w:eastAsia="黑体"/>
          <w:snapToGrid w:val="0"/>
          <w:sz w:val="32"/>
          <w:szCs w:val="32"/>
        </w:rPr>
      </w:pPr>
      <w:bookmarkStart w:id="13" w:name="_Toc4851"/>
      <w:r>
        <w:drawing>
          <wp:anchor distT="0" distB="0" distL="114300" distR="114300" simplePos="0" relativeHeight="251664384" behindDoc="0" locked="0" layoutInCell="1" allowOverlap="1">
            <wp:simplePos x="0" y="0"/>
            <wp:positionH relativeFrom="column">
              <wp:posOffset>8348980</wp:posOffset>
            </wp:positionH>
            <wp:positionV relativeFrom="paragraph">
              <wp:posOffset>-472440</wp:posOffset>
            </wp:positionV>
            <wp:extent cx="597535" cy="637540"/>
            <wp:effectExtent l="19050" t="0" r="0" b="0"/>
            <wp:wrapNone/>
            <wp:docPr id="8"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42"/>
                    <pic:cNvPicPr>
                      <a:picLocks noChangeAspect="1" noChangeArrowheads="1"/>
                    </pic:cNvPicPr>
                  </pic:nvPicPr>
                  <pic:blipFill>
                    <a:blip r:embed="rId25" cstate="print"/>
                    <a:srcRect/>
                    <a:stretch>
                      <a:fillRect/>
                    </a:stretch>
                  </pic:blipFill>
                  <pic:spPr>
                    <a:xfrm>
                      <a:off x="0" y="0"/>
                      <a:ext cx="597477" cy="637309"/>
                    </a:xfrm>
                    <a:prstGeom prst="rect">
                      <a:avLst/>
                    </a:prstGeom>
                    <a:noFill/>
                    <a:ln w="9525">
                      <a:noFill/>
                      <a:miter lim="800000"/>
                      <a:headEnd/>
                      <a:tailEnd/>
                    </a:ln>
                  </pic:spPr>
                </pic:pic>
              </a:graphicData>
            </a:graphic>
          </wp:anchor>
        </w:drawing>
      </w:r>
      <w:r>
        <w:rPr>
          <w:sz w:val="21"/>
        </w:rPr>
        <w:pict>
          <v:rect id="_x0000_s2172" o:spid="_x0000_s2172" o:spt="1" style="position:absolute;left:0pt;margin-left:200.25pt;margin-top:15.1pt;height:398.8pt;width:444.8pt;z-index:251674624;mso-width-relative:page;mso-height-relative:page;" filled="f" stroked="t" coordsize="21600,21600">
            <v:path/>
            <v:fill on="f" focussize="0,0"/>
            <v:stroke weight="2pt" color="#00B0F0" joinstyle="miter" dashstyle="1 1"/>
            <v:imagedata o:title=""/>
            <o:lock v:ext="edit" aspectratio="f"/>
          </v:rect>
        </w:pict>
      </w:r>
      <w:r>
        <w:drawing>
          <wp:anchor distT="0" distB="0" distL="114300" distR="114300" simplePos="0" relativeHeight="251696128" behindDoc="1" locked="0" layoutInCell="1" allowOverlap="1">
            <wp:simplePos x="0" y="0"/>
            <wp:positionH relativeFrom="column">
              <wp:posOffset>420370</wp:posOffset>
            </wp:positionH>
            <wp:positionV relativeFrom="paragraph">
              <wp:posOffset>-471170</wp:posOffset>
            </wp:positionV>
            <wp:extent cx="8529320" cy="6413500"/>
            <wp:effectExtent l="0" t="0" r="5080" b="6350"/>
            <wp:wrapNone/>
            <wp:docPr id="2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5"/>
                    <pic:cNvPicPr>
                      <a:picLocks noChangeAspect="1"/>
                    </pic:cNvPicPr>
                  </pic:nvPicPr>
                  <pic:blipFill>
                    <a:blip r:embed="rId26"/>
                    <a:stretch>
                      <a:fillRect/>
                    </a:stretch>
                  </pic:blipFill>
                  <pic:spPr>
                    <a:xfrm>
                      <a:off x="0" y="0"/>
                      <a:ext cx="8529320" cy="6413500"/>
                    </a:xfrm>
                    <a:prstGeom prst="rect">
                      <a:avLst/>
                    </a:prstGeom>
                    <a:noFill/>
                    <a:ln>
                      <a:noFill/>
                    </a:ln>
                  </pic:spPr>
                </pic:pic>
              </a:graphicData>
            </a:graphic>
          </wp:anchor>
        </w:drawing>
      </w:r>
      <w:r>
        <w:rPr>
          <w:rFonts w:ascii="Times New Roman" w:hAnsi="Times New Roman" w:eastAsia="黑体"/>
          <w:snapToGrid w:val="0"/>
          <w:sz w:val="32"/>
          <w:szCs w:val="32"/>
        </w:rPr>
        <w:t>附图</w:t>
      </w:r>
      <w:bookmarkEnd w:id="13"/>
    </w:p>
    <w:p w14:paraId="1383DDA2"/>
    <w:p w14:paraId="6A29D8E2"/>
    <w:p w14:paraId="29DF8839"/>
    <w:p w14:paraId="7B5DD0CE">
      <w:r>
        <w:rPr>
          <w:sz w:val="21"/>
        </w:rPr>
        <w:pict>
          <v:group id="_x0000_s2488" o:spid="_x0000_s2488" o:spt="203" style="position:absolute;left:0pt;margin-left:127.1pt;margin-top:6.2pt;height:394pt;width:439.65pt;z-index:251697152;mso-width-relative:page;mso-height-relative:page;" coordorigin="10719,465785" coordsize="8793,7880">
            <o:lock v:ext="edit" aspectratio="f"/>
            <v:shape id="_x0000_s2169" o:spid="_x0000_s2169" o:spt="62" type="#_x0000_t62" style="position:absolute;left:10907;top:466936;height:547;width:1870;" fillcolor="#FFC000" filled="t" stroked="t" coordsize="21600,21600" adj="59440,45530">
              <v:path/>
              <v:fill on="t" color2="#FFFFFF" opacity="13107f" focussize="0,0"/>
              <v:stroke color="#000000" joinstyle="miter"/>
              <v:imagedata o:title=""/>
              <o:lock v:ext="edit" aspectratio="f"/>
              <v:textbox>
                <w:txbxContent>
                  <w:p w14:paraId="647FD0DA">
                    <w:pPr>
                      <w:jc w:val="center"/>
                      <w:rPr>
                        <w:b/>
                        <w:sz w:val="24"/>
                      </w:rPr>
                    </w:pPr>
                    <w:r>
                      <w:rPr>
                        <w:rFonts w:hint="eastAsia"/>
                        <w:b/>
                        <w:sz w:val="24"/>
                      </w:rPr>
                      <w:t>项目所在地</w:t>
                    </w:r>
                  </w:p>
                </w:txbxContent>
              </v:textbox>
            </v:shape>
            <v:shape id="_x0000_s2173" o:spid="_x0000_s2173" o:spt="47" type="#_x0000_t47" style="position:absolute;left:10719;top:468222;height:907;width:1814;" filled="f" stroked="t" coordsize="21600,21600" adj="32138,15670,22889,3801">
              <v:path arrowok="t"/>
              <v:fill on="f" focussize="0,0"/>
              <v:stroke color="#00B0F0" joinstyle="miter"/>
              <v:imagedata o:title=""/>
              <o:lock v:ext="edit" aspectratio="f"/>
              <o:callout minusx="t" minusy="t"/>
              <v:textbox>
                <w:txbxContent>
                  <w:p w14:paraId="250893CD">
                    <w:pPr>
                      <w:jc w:val="center"/>
                      <w:rPr>
                        <w:rFonts w:hint="default" w:eastAsia="宋体"/>
                        <w:b/>
                        <w:color w:val="FFFF00"/>
                        <w:sz w:val="15"/>
                        <w:szCs w:val="15"/>
                        <w:lang w:val="en-US" w:eastAsia="zh-CN"/>
                      </w:rPr>
                    </w:pPr>
                    <w:r>
                      <w:rPr>
                        <w:b/>
                        <w:color w:val="FFFF00"/>
                        <w:sz w:val="15"/>
                        <w:szCs w:val="15"/>
                      </w:rPr>
                      <w:t>大气环境保护目标</w:t>
                    </w:r>
                    <w:r>
                      <w:rPr>
                        <w:rFonts w:hint="eastAsia"/>
                        <w:b/>
                        <w:color w:val="FFFF00"/>
                        <w:sz w:val="15"/>
                        <w:szCs w:val="15"/>
                      </w:rPr>
                      <w:t>：</w:t>
                    </w:r>
                    <w:r>
                      <w:rPr>
                        <w:b/>
                        <w:color w:val="FFFF00"/>
                        <w:sz w:val="15"/>
                        <w:szCs w:val="15"/>
                      </w:rPr>
                      <w:t>厂界外扩</w:t>
                    </w:r>
                    <w:r>
                      <w:rPr>
                        <w:rFonts w:hint="eastAsia"/>
                        <w:b/>
                        <w:color w:val="FFFF00"/>
                        <w:sz w:val="15"/>
                        <w:szCs w:val="15"/>
                      </w:rPr>
                      <w:t>500m</w:t>
                    </w:r>
                    <w:r>
                      <w:rPr>
                        <w:rFonts w:hint="eastAsia"/>
                        <w:b/>
                        <w:color w:val="FFFF00"/>
                        <w:sz w:val="15"/>
                        <w:szCs w:val="15"/>
                        <w:lang w:val="en-US" w:eastAsia="zh-CN"/>
                      </w:rPr>
                      <w:t>环保目标为周边住宅小区</w:t>
                    </w:r>
                  </w:p>
                </w:txbxContent>
              </v:textbox>
            </v:shape>
            <v:shape id="_x0000_s2174" o:spid="_x0000_s2174" o:spt="47" type="#_x0000_t47" style="position:absolute;left:10916;top:470256;height:850;width:1814;" filled="f" stroked="t" coordsize="21600,21600" adj="55488,-29731,22889,4050">
              <v:path arrowok="t"/>
              <v:fill on="f" focussize="0,0"/>
              <v:stroke color="#C00000" joinstyle="miter"/>
              <v:imagedata o:title=""/>
              <o:lock v:ext="edit" aspectratio="f"/>
              <o:callout minusx="t"/>
              <v:textbox>
                <w:txbxContent>
                  <w:p w14:paraId="49958A71">
                    <w:pPr>
                      <w:jc w:val="center"/>
                      <w:rPr>
                        <w:b/>
                        <w:color w:val="00B050"/>
                        <w:sz w:val="18"/>
                        <w:szCs w:val="18"/>
                      </w:rPr>
                    </w:pPr>
                    <w:r>
                      <w:rPr>
                        <w:rFonts w:hint="eastAsia"/>
                        <w:b/>
                        <w:color w:val="00B050"/>
                        <w:sz w:val="18"/>
                        <w:szCs w:val="18"/>
                      </w:rPr>
                      <w:t>声</w:t>
                    </w:r>
                    <w:r>
                      <w:rPr>
                        <w:b/>
                        <w:color w:val="00B050"/>
                        <w:sz w:val="18"/>
                        <w:szCs w:val="18"/>
                      </w:rPr>
                      <w:t>环境保护目标</w:t>
                    </w:r>
                    <w:r>
                      <w:rPr>
                        <w:rFonts w:hint="eastAsia"/>
                        <w:b/>
                        <w:color w:val="00B050"/>
                        <w:sz w:val="18"/>
                        <w:szCs w:val="18"/>
                      </w:rPr>
                      <w:t>：</w:t>
                    </w:r>
                    <w:r>
                      <w:rPr>
                        <w:b/>
                        <w:color w:val="00B050"/>
                        <w:sz w:val="18"/>
                        <w:szCs w:val="18"/>
                      </w:rPr>
                      <w:t>厂界外扩</w:t>
                    </w:r>
                    <w:r>
                      <w:rPr>
                        <w:rFonts w:hint="eastAsia"/>
                        <w:b/>
                        <w:color w:val="00B050"/>
                        <w:sz w:val="18"/>
                        <w:szCs w:val="18"/>
                      </w:rPr>
                      <w:t>50m无环保目标</w:t>
                    </w:r>
                  </w:p>
                </w:txbxContent>
              </v:textbox>
            </v:shape>
            <v:shape id="_x0000_s2177" o:spid="_x0000_s2177" o:spt="202" type="#_x0000_t202" style="position:absolute;left:10862;top:473129;height:536;width:8259;" filled="f" stroked="f" coordsize="21600,21600">
              <v:path/>
              <v:fill on="f" focussize="0,0"/>
              <v:stroke on="f"/>
              <v:imagedata o:title=""/>
              <o:lock v:ext="edit" aspectratio="f"/>
              <v:textbox>
                <w:txbxContent>
                  <w:p w14:paraId="0BF987D2">
                    <w:pPr>
                      <w:jc w:val="center"/>
                      <w:rPr>
                        <w:sz w:val="28"/>
                        <w:szCs w:val="28"/>
                      </w:rPr>
                    </w:pPr>
                    <w:r>
                      <w:rPr>
                        <w:rFonts w:hint="eastAsia" w:ascii="宋体" w:hAnsi="宋体"/>
                        <w:b/>
                        <w:sz w:val="28"/>
                        <w:szCs w:val="28"/>
                        <w:highlight w:val="cyan"/>
                      </w:rPr>
                      <w:t>附图</w:t>
                    </w:r>
                    <w:r>
                      <w:rPr>
                        <w:b/>
                        <w:sz w:val="28"/>
                        <w:szCs w:val="28"/>
                        <w:highlight w:val="cyan"/>
                      </w:rPr>
                      <w:t>1</w:t>
                    </w:r>
                    <w:r>
                      <w:rPr>
                        <w:rFonts w:hint="eastAsia" w:ascii="宋体" w:hAnsi="宋体"/>
                        <w:b/>
                        <w:sz w:val="28"/>
                        <w:szCs w:val="28"/>
                        <w:highlight w:val="cyan"/>
                      </w:rPr>
                      <w:t xml:space="preserve">   </w:t>
                    </w:r>
                    <w:r>
                      <w:rPr>
                        <w:rFonts w:hint="eastAsia"/>
                        <w:sz w:val="28"/>
                        <w:szCs w:val="28"/>
                        <w:highlight w:val="cyan"/>
                      </w:rPr>
                      <w:t xml:space="preserve"> </w:t>
                    </w:r>
                    <w:r>
                      <w:rPr>
                        <w:rFonts w:hAnsi="宋体"/>
                        <w:b/>
                        <w:sz w:val="28"/>
                        <w:szCs w:val="28"/>
                        <w:highlight w:val="cyan"/>
                      </w:rPr>
                      <w:t>项目地理位置及环保目标分布图</w:t>
                    </w:r>
                  </w:p>
                </w:txbxContent>
              </v:textbox>
            </v:shape>
            <v:rect id="_x0000_s2482" o:spid="_x0000_s2482" o:spt="1" style="position:absolute;left:15853;top:467860;height:963;width:1939;" filled="f" stroked="t" coordsize="21600,21600">
              <v:path/>
              <v:fill on="f" focussize="0,0"/>
              <v:stroke color="#FF0000"/>
              <v:imagedata o:title=""/>
              <o:lock v:ext="edit" aspectratio="f"/>
            </v:rect>
            <v:shape id="_x0000_s2484" o:spid="_x0000_s2484" o:spt="12" type="#_x0000_t12" style="position:absolute;left:19134;top:468199;height:305;width:378;" fillcolor="#FFFF00" filled="t" stroked="t" coordsize="21600,21600">
              <v:path/>
              <v:fill on="t" color2="#FFFFFF" focussize="0,0"/>
              <v:stroke color="#000000"/>
              <v:imagedata o:title=""/>
              <o:lock v:ext="edit" aspectratio="f"/>
            </v:shape>
            <v:rect id="_x0000_s2483" o:spid="_x0000_s2483" o:spt="1" style="position:absolute;left:15609;top:467530;height:1536;width:2365;" filled="f" stroked="t" coordsize="21600,21600">
              <v:path/>
              <v:fill on="f" focussize="0,0"/>
              <v:stroke weight="1.5pt" color="#FF0000" joinstyle="miter" dashstyle="dash"/>
              <v:imagedata o:title=""/>
              <o:lock v:ext="edit" aspectratio="f"/>
            </v:rect>
            <v:shape id="_x0000_s2485" o:spid="_x0000_s2485" o:spt="12" type="#_x0000_t12" style="position:absolute;left:19024;top:469626;height:305;width:378;" fillcolor="#FFFF00" filled="t" stroked="t" coordsize="21600,21600">
              <v:path/>
              <v:fill on="t" color2="#FFFFFF" focussize="0,0"/>
              <v:stroke color="#000000" joinstyle="miter"/>
              <v:imagedata o:title=""/>
              <o:lock v:ext="edit" aspectratio="f"/>
            </v:shape>
            <v:shape id="_x0000_s2486" o:spid="_x0000_s2486" o:spt="12" type="#_x0000_t12" style="position:absolute;left:16890;top:469785;height:305;width:378;" fillcolor="#FFFF00" filled="t" stroked="t" coordsize="21600,21600">
              <v:path/>
              <v:fill on="t" color2="#FFFFFF" focussize="0,0"/>
              <v:stroke color="#000000" joinstyle="miter"/>
              <v:imagedata o:title=""/>
              <o:lock v:ext="edit" aspectratio="f"/>
            </v:shape>
            <v:shape id="_x0000_s2487" o:spid="_x0000_s2487" o:spt="12" type="#_x0000_t12" style="position:absolute;left:17000;top:465785;height:305;width:378;" fillcolor="#FFFF00" filled="t" stroked="t" coordsize="21600,21600">
              <v:path/>
              <v:fill on="t" color2="#FFFFFF" focussize="0,0"/>
              <v:stroke color="#000000" joinstyle="miter"/>
              <v:imagedata o:title=""/>
              <o:lock v:ext="edit" aspectratio="f"/>
            </v:shape>
          </v:group>
        </w:pict>
      </w:r>
    </w:p>
    <w:p w14:paraId="1CA3B8EE"/>
    <w:p w14:paraId="634668A0"/>
    <w:p w14:paraId="48028ECB"/>
    <w:p w14:paraId="521B27DC"/>
    <w:p w14:paraId="20395900"/>
    <w:p w14:paraId="72C59285"/>
    <w:p w14:paraId="1BC59D58"/>
    <w:p w14:paraId="1808B8EB"/>
    <w:p w14:paraId="5A0ECDC5"/>
    <w:p w14:paraId="7A896293"/>
    <w:p w14:paraId="3E166BCD"/>
    <w:p w14:paraId="0DF84C5C"/>
    <w:p w14:paraId="0254B624"/>
    <w:p w14:paraId="3F925C75"/>
    <w:p w14:paraId="69DB1660"/>
    <w:p w14:paraId="13F71CDD"/>
    <w:p w14:paraId="4738251C"/>
    <w:p w14:paraId="1FBFDE40"/>
    <w:p w14:paraId="278F68C2"/>
    <w:p w14:paraId="52802651"/>
    <w:p w14:paraId="76D523E0"/>
    <w:p w14:paraId="712FBF08"/>
    <w:p w14:paraId="7DA0F91B"/>
    <w:p w14:paraId="04805827"/>
    <w:p w14:paraId="36E6FBBA"/>
    <w:p w14:paraId="6B2B7BAE"/>
    <w:p w14:paraId="51E5CD32"/>
    <w:p w14:paraId="7B80B5B1"/>
    <w:p w14:paraId="5AAC044E"/>
    <w:p w14:paraId="114AD449">
      <w:pPr>
        <w:sectPr>
          <w:footerReference r:id="rId6" w:type="default"/>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p>
    <w:p w14:paraId="511C0351"/>
    <w:p w14:paraId="2AB1C260">
      <w:r>
        <w:drawing>
          <wp:inline distT="0" distB="0" distL="114300" distR="114300">
            <wp:extent cx="8526145" cy="5074920"/>
            <wp:effectExtent l="0" t="0" r="8255" b="11430"/>
            <wp:docPr id="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27"/>
                    <a:stretch>
                      <a:fillRect/>
                    </a:stretch>
                  </pic:blipFill>
                  <pic:spPr>
                    <a:xfrm>
                      <a:off x="0" y="0"/>
                      <a:ext cx="8526145" cy="5074920"/>
                    </a:xfrm>
                    <a:prstGeom prst="rect">
                      <a:avLst/>
                    </a:prstGeom>
                    <a:noFill/>
                    <a:ln>
                      <a:noFill/>
                    </a:ln>
                  </pic:spPr>
                </pic:pic>
              </a:graphicData>
            </a:graphic>
          </wp:inline>
        </w:drawing>
      </w:r>
    </w:p>
    <w:p w14:paraId="49D72F6F"/>
    <w:p w14:paraId="004E54E3">
      <w:r>
        <w:rPr>
          <w:sz w:val="21"/>
        </w:rPr>
        <w:pict>
          <v:shape id="_x0000_s2293" o:spid="_x0000_s2293" o:spt="202" type="#_x0000_t202" style="position:absolute;left:0pt;margin-left:187pt;margin-top:6.55pt;height:42.25pt;width:306.3pt;z-index:251678720;mso-width-relative:page;mso-height-relative:page;" filled="f" stroked="f" coordsize="21600,21600">
            <v:path/>
            <v:fill on="f" focussize="0,0"/>
            <v:stroke on="f"/>
            <v:imagedata o:title=""/>
            <o:lock v:ext="edit" aspectratio="f"/>
            <v:textbox>
              <w:txbxContent>
                <w:p w14:paraId="4C8D4725">
                  <w:pPr>
                    <w:jc w:val="center"/>
                    <w:rPr>
                      <w:b/>
                    </w:rPr>
                  </w:pPr>
                  <w:r>
                    <w:rPr>
                      <w:rFonts w:hint="eastAsia"/>
                      <w:b/>
                    </w:rPr>
                    <w:t>附图2   项目</w:t>
                  </w:r>
                  <w:r>
                    <w:rPr>
                      <w:rFonts w:hint="eastAsia"/>
                      <w:b/>
                      <w:lang w:val="en-US" w:eastAsia="zh-CN"/>
                    </w:rPr>
                    <w:t>总</w:t>
                  </w:r>
                  <w:r>
                    <w:rPr>
                      <w:rFonts w:hint="eastAsia"/>
                      <w:b/>
                    </w:rPr>
                    <w:t>平面布置图（1:</w:t>
                  </w:r>
                  <w:r>
                    <w:rPr>
                      <w:rFonts w:hint="eastAsia"/>
                      <w:b/>
                      <w:lang w:val="en-US" w:eastAsia="zh-CN"/>
                    </w:rPr>
                    <w:t>5</w:t>
                  </w:r>
                  <w:r>
                    <w:rPr>
                      <w:rFonts w:hint="eastAsia"/>
                      <w:b/>
                    </w:rPr>
                    <w:t>00）</w:t>
                  </w:r>
                </w:p>
              </w:txbxContent>
            </v:textbox>
          </v:shape>
        </w:pict>
      </w:r>
    </w:p>
    <w:p w14:paraId="6FA0CBBA"/>
    <w:p w14:paraId="213D4E59"/>
    <w:p w14:paraId="54DFD017">
      <w:r>
        <w:drawing>
          <wp:inline distT="0" distB="0" distL="114300" distR="114300">
            <wp:extent cx="8522335" cy="5131435"/>
            <wp:effectExtent l="0" t="0" r="12065" b="12065"/>
            <wp:docPr id="1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5"/>
                    <pic:cNvPicPr>
                      <a:picLocks noChangeAspect="1"/>
                    </pic:cNvPicPr>
                  </pic:nvPicPr>
                  <pic:blipFill>
                    <a:blip r:embed="rId28"/>
                    <a:stretch>
                      <a:fillRect/>
                    </a:stretch>
                  </pic:blipFill>
                  <pic:spPr>
                    <a:xfrm>
                      <a:off x="0" y="0"/>
                      <a:ext cx="8522335" cy="5131435"/>
                    </a:xfrm>
                    <a:prstGeom prst="rect">
                      <a:avLst/>
                    </a:prstGeom>
                    <a:noFill/>
                    <a:ln>
                      <a:noFill/>
                    </a:ln>
                  </pic:spPr>
                </pic:pic>
              </a:graphicData>
            </a:graphic>
          </wp:inline>
        </w:drawing>
      </w:r>
    </w:p>
    <w:p w14:paraId="44D05CA0">
      <w:r>
        <w:drawing>
          <wp:inline distT="0" distB="0" distL="114300" distR="114300">
            <wp:extent cx="8529955" cy="5151755"/>
            <wp:effectExtent l="0" t="0" r="4445" b="10795"/>
            <wp:docPr id="1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6"/>
                    <pic:cNvPicPr>
                      <a:picLocks noChangeAspect="1"/>
                    </pic:cNvPicPr>
                  </pic:nvPicPr>
                  <pic:blipFill>
                    <a:blip r:embed="rId29"/>
                    <a:stretch>
                      <a:fillRect/>
                    </a:stretch>
                  </pic:blipFill>
                  <pic:spPr>
                    <a:xfrm>
                      <a:off x="0" y="0"/>
                      <a:ext cx="8529955" cy="5151755"/>
                    </a:xfrm>
                    <a:prstGeom prst="rect">
                      <a:avLst/>
                    </a:prstGeom>
                    <a:noFill/>
                    <a:ln>
                      <a:noFill/>
                    </a:ln>
                  </pic:spPr>
                </pic:pic>
              </a:graphicData>
            </a:graphic>
          </wp:inline>
        </w:drawing>
      </w:r>
      <w:r>
        <w:drawing>
          <wp:inline distT="0" distB="0" distL="114300" distR="114300">
            <wp:extent cx="8522335" cy="5090160"/>
            <wp:effectExtent l="0" t="0" r="12065" b="15240"/>
            <wp:docPr id="1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7"/>
                    <pic:cNvPicPr>
                      <a:picLocks noChangeAspect="1"/>
                    </pic:cNvPicPr>
                  </pic:nvPicPr>
                  <pic:blipFill>
                    <a:blip r:embed="rId30"/>
                    <a:stretch>
                      <a:fillRect/>
                    </a:stretch>
                  </pic:blipFill>
                  <pic:spPr>
                    <a:xfrm>
                      <a:off x="0" y="0"/>
                      <a:ext cx="8522335" cy="5090160"/>
                    </a:xfrm>
                    <a:prstGeom prst="rect">
                      <a:avLst/>
                    </a:prstGeom>
                    <a:noFill/>
                    <a:ln>
                      <a:noFill/>
                    </a:ln>
                  </pic:spPr>
                </pic:pic>
              </a:graphicData>
            </a:graphic>
          </wp:inline>
        </w:drawing>
      </w:r>
      <w:r>
        <w:drawing>
          <wp:inline distT="0" distB="0" distL="114300" distR="114300">
            <wp:extent cx="8526145" cy="5202555"/>
            <wp:effectExtent l="0" t="0" r="8255" b="17145"/>
            <wp:docPr id="1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8"/>
                    <pic:cNvPicPr>
                      <a:picLocks noChangeAspect="1"/>
                    </pic:cNvPicPr>
                  </pic:nvPicPr>
                  <pic:blipFill>
                    <a:blip r:embed="rId31"/>
                    <a:stretch>
                      <a:fillRect/>
                    </a:stretch>
                  </pic:blipFill>
                  <pic:spPr>
                    <a:xfrm>
                      <a:off x="0" y="0"/>
                      <a:ext cx="8526145" cy="5202555"/>
                    </a:xfrm>
                    <a:prstGeom prst="rect">
                      <a:avLst/>
                    </a:prstGeom>
                    <a:noFill/>
                    <a:ln>
                      <a:noFill/>
                    </a:ln>
                  </pic:spPr>
                </pic:pic>
              </a:graphicData>
            </a:graphic>
          </wp:inline>
        </w:drawing>
      </w:r>
      <w:r>
        <w:drawing>
          <wp:inline distT="0" distB="0" distL="114300" distR="114300">
            <wp:extent cx="8528685" cy="4409440"/>
            <wp:effectExtent l="0" t="0" r="5715" b="10160"/>
            <wp:docPr id="1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9"/>
                    <pic:cNvPicPr>
                      <a:picLocks noChangeAspect="1"/>
                    </pic:cNvPicPr>
                  </pic:nvPicPr>
                  <pic:blipFill>
                    <a:blip r:embed="rId32"/>
                    <a:stretch>
                      <a:fillRect/>
                    </a:stretch>
                  </pic:blipFill>
                  <pic:spPr>
                    <a:xfrm>
                      <a:off x="0" y="0"/>
                      <a:ext cx="8528685" cy="4409440"/>
                    </a:xfrm>
                    <a:prstGeom prst="rect">
                      <a:avLst/>
                    </a:prstGeom>
                    <a:noFill/>
                    <a:ln>
                      <a:noFill/>
                    </a:ln>
                  </pic:spPr>
                </pic:pic>
              </a:graphicData>
            </a:graphic>
          </wp:inline>
        </w:drawing>
      </w:r>
      <w:r>
        <w:drawing>
          <wp:inline distT="0" distB="0" distL="114300" distR="114300">
            <wp:extent cx="8524875" cy="4668520"/>
            <wp:effectExtent l="0" t="0" r="9525" b="17780"/>
            <wp:docPr id="2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0"/>
                    <pic:cNvPicPr>
                      <a:picLocks noChangeAspect="1"/>
                    </pic:cNvPicPr>
                  </pic:nvPicPr>
                  <pic:blipFill>
                    <a:blip r:embed="rId33"/>
                    <a:stretch>
                      <a:fillRect/>
                    </a:stretch>
                  </pic:blipFill>
                  <pic:spPr>
                    <a:xfrm>
                      <a:off x="0" y="0"/>
                      <a:ext cx="8524875" cy="4668520"/>
                    </a:xfrm>
                    <a:prstGeom prst="rect">
                      <a:avLst/>
                    </a:prstGeom>
                    <a:noFill/>
                    <a:ln>
                      <a:noFill/>
                    </a:ln>
                  </pic:spPr>
                </pic:pic>
              </a:graphicData>
            </a:graphic>
          </wp:inline>
        </w:drawing>
      </w:r>
      <w:r>
        <w:drawing>
          <wp:inline distT="0" distB="0" distL="114300" distR="114300">
            <wp:extent cx="8528685" cy="4506595"/>
            <wp:effectExtent l="0" t="0" r="5715" b="8255"/>
            <wp:docPr id="2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1"/>
                    <pic:cNvPicPr>
                      <a:picLocks noChangeAspect="1"/>
                    </pic:cNvPicPr>
                  </pic:nvPicPr>
                  <pic:blipFill>
                    <a:blip r:embed="rId34"/>
                    <a:stretch>
                      <a:fillRect/>
                    </a:stretch>
                  </pic:blipFill>
                  <pic:spPr>
                    <a:xfrm>
                      <a:off x="0" y="0"/>
                      <a:ext cx="8528685" cy="4506595"/>
                    </a:xfrm>
                    <a:prstGeom prst="rect">
                      <a:avLst/>
                    </a:prstGeom>
                    <a:noFill/>
                    <a:ln>
                      <a:noFill/>
                    </a:ln>
                  </pic:spPr>
                </pic:pic>
              </a:graphicData>
            </a:graphic>
          </wp:inline>
        </w:drawing>
      </w:r>
      <w:r>
        <w:drawing>
          <wp:inline distT="0" distB="0" distL="114300" distR="114300">
            <wp:extent cx="8524875" cy="4411345"/>
            <wp:effectExtent l="0" t="0" r="9525" b="8255"/>
            <wp:docPr id="2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2"/>
                    <pic:cNvPicPr>
                      <a:picLocks noChangeAspect="1"/>
                    </pic:cNvPicPr>
                  </pic:nvPicPr>
                  <pic:blipFill>
                    <a:blip r:embed="rId35"/>
                    <a:stretch>
                      <a:fillRect/>
                    </a:stretch>
                  </pic:blipFill>
                  <pic:spPr>
                    <a:xfrm>
                      <a:off x="0" y="0"/>
                      <a:ext cx="8524875" cy="4411345"/>
                    </a:xfrm>
                    <a:prstGeom prst="rect">
                      <a:avLst/>
                    </a:prstGeom>
                    <a:noFill/>
                    <a:ln>
                      <a:noFill/>
                    </a:ln>
                  </pic:spPr>
                </pic:pic>
              </a:graphicData>
            </a:graphic>
          </wp:inline>
        </w:drawing>
      </w:r>
      <w:r>
        <w:drawing>
          <wp:inline distT="0" distB="0" distL="114300" distR="114300">
            <wp:extent cx="8531225" cy="4478655"/>
            <wp:effectExtent l="0" t="0" r="3175" b="17145"/>
            <wp:docPr id="2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3"/>
                    <pic:cNvPicPr>
                      <a:picLocks noChangeAspect="1"/>
                    </pic:cNvPicPr>
                  </pic:nvPicPr>
                  <pic:blipFill>
                    <a:blip r:embed="rId36"/>
                    <a:stretch>
                      <a:fillRect/>
                    </a:stretch>
                  </pic:blipFill>
                  <pic:spPr>
                    <a:xfrm>
                      <a:off x="0" y="0"/>
                      <a:ext cx="8531225" cy="4478655"/>
                    </a:xfrm>
                    <a:prstGeom prst="rect">
                      <a:avLst/>
                    </a:prstGeom>
                    <a:noFill/>
                    <a:ln>
                      <a:noFill/>
                    </a:ln>
                  </pic:spPr>
                </pic:pic>
              </a:graphicData>
            </a:graphic>
          </wp:inline>
        </w:drawing>
      </w:r>
      <w:r>
        <w:drawing>
          <wp:inline distT="0" distB="0" distL="114300" distR="114300">
            <wp:extent cx="8521065" cy="4454525"/>
            <wp:effectExtent l="0" t="0" r="13335" b="3175"/>
            <wp:docPr id="2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4"/>
                    <pic:cNvPicPr>
                      <a:picLocks noChangeAspect="1"/>
                    </pic:cNvPicPr>
                  </pic:nvPicPr>
                  <pic:blipFill>
                    <a:blip r:embed="rId37"/>
                    <a:stretch>
                      <a:fillRect/>
                    </a:stretch>
                  </pic:blipFill>
                  <pic:spPr>
                    <a:xfrm>
                      <a:off x="0" y="0"/>
                      <a:ext cx="8521065" cy="4454525"/>
                    </a:xfrm>
                    <a:prstGeom prst="rect">
                      <a:avLst/>
                    </a:prstGeom>
                    <a:noFill/>
                    <a:ln>
                      <a:noFill/>
                    </a:ln>
                  </pic:spPr>
                </pic:pic>
              </a:graphicData>
            </a:graphic>
          </wp:inline>
        </w:drawing>
      </w:r>
    </w:p>
    <w:p w14:paraId="65C518D3"/>
    <w:p w14:paraId="57BA48A8"/>
    <w:p w14:paraId="020F1097"/>
    <w:p w14:paraId="37113780"/>
    <w:p w14:paraId="0AC30D26"/>
    <w:p w14:paraId="4DA0D3A1"/>
    <w:p w14:paraId="699C798A"/>
    <w:p w14:paraId="0A140154">
      <w:pPr>
        <w:jc w:val="center"/>
      </w:pPr>
      <w:r>
        <w:rPr>
          <w:sz w:val="21"/>
        </w:rPr>
        <w:pict>
          <v:group id="_x0000_s2598" o:spid="_x0000_s2598" o:spt="203" style="position:absolute;left:0pt;margin-left:143.95pt;margin-top:122.8pt;height:364.45pt;width:397.5pt;z-index:251677696;mso-width-relative:page;mso-height-relative:page;" coordorigin="11056,535047" coordsize="7950,7289">
            <o:lock v:ext="edit" aspectratio="f"/>
            <v:shape id="_x0000_s2228" o:spid="_x0000_s2228" o:spt="61" type="#_x0000_t61" style="position:absolute;left:11581;top:535047;height:491;width:1159;" fillcolor="#FFFFFF" filled="t" stroked="t" coordsize="21600,21600" adj="53692,48083">
              <v:path/>
              <v:fill on="t" color2="#FFFFFF" focussize="0,0"/>
              <v:stroke color="#000000" joinstyle="miter"/>
              <v:imagedata o:title=""/>
              <o:lock v:ext="edit" aspectratio="f"/>
              <v:textbox>
                <w:txbxContent>
                  <w:p w14:paraId="3CE8911A">
                    <w:pPr>
                      <w:rPr>
                        <w:rFonts w:hint="default" w:eastAsia="宋体"/>
                        <w:lang w:val="en-US" w:eastAsia="zh-CN"/>
                      </w:rPr>
                    </w:pPr>
                    <w:r>
                      <w:rPr>
                        <w:rFonts w:hint="eastAsia"/>
                        <w:lang w:val="en-US" w:eastAsia="zh-CN"/>
                      </w:rPr>
                      <w:t>项目位置</w:t>
                    </w:r>
                  </w:p>
                </w:txbxContent>
              </v:textbox>
            </v:shape>
            <v:rect id="_x0000_s2229" o:spid="_x0000_s2229" o:spt="1" style="position:absolute;left:14470;top:536129;height:57;width:57;" filled="f" stroked="t" coordsize="21600,21600">
              <v:path/>
              <v:fill on="f" focussize="0,0"/>
              <v:stroke color="#FF0000" joinstyle="miter"/>
              <v:imagedata o:title=""/>
              <o:lock v:ext="edit" aspectratio="f"/>
            </v:rect>
            <v:shape id="_x0000_s2230" o:spid="_x0000_s2230" o:spt="202" type="#_x0000_t202" style="position:absolute;left:11056;top:541532;height:805;width:7950;" fillcolor="#FFFFFF" filled="t" stroked="f" coordsize="21600,21600">
              <v:path/>
              <v:fill on="t" color2="#FFFFFF" focussize="0,0"/>
              <v:stroke on="f"/>
              <v:imagedata o:title=""/>
              <o:lock v:ext="edit" aspectratio="f"/>
              <v:textbox>
                <w:txbxContent>
                  <w:p w14:paraId="5850D661">
                    <w:pPr>
                      <w:jc w:val="center"/>
                      <w:rPr>
                        <w:rFonts w:hint="default" w:eastAsia="宋体"/>
                        <w:b/>
                        <w:bCs/>
                        <w:sz w:val="28"/>
                        <w:szCs w:val="28"/>
                        <w:lang w:val="en-US" w:eastAsia="zh-CN"/>
                      </w:rPr>
                    </w:pPr>
                    <w:r>
                      <w:rPr>
                        <w:rFonts w:hint="eastAsia"/>
                        <w:b/>
                        <w:bCs/>
                        <w:sz w:val="28"/>
                        <w:szCs w:val="28"/>
                        <w:lang w:val="en-US" w:eastAsia="zh-CN"/>
                      </w:rPr>
                      <w:t>附图3    大同市国土空间规划图（2021-2035年）</w:t>
                    </w:r>
                  </w:p>
                </w:txbxContent>
              </v:textbox>
            </v:shape>
          </v:group>
        </w:pict>
      </w:r>
      <w:r>
        <w:drawing>
          <wp:inline distT="0" distB="0" distL="114300" distR="114300">
            <wp:extent cx="6099175" cy="5615305"/>
            <wp:effectExtent l="0" t="0" r="15875" b="444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38"/>
                    <a:stretch>
                      <a:fillRect/>
                    </a:stretch>
                  </pic:blipFill>
                  <pic:spPr>
                    <a:xfrm>
                      <a:off x="0" y="0"/>
                      <a:ext cx="6099175" cy="5615305"/>
                    </a:xfrm>
                    <a:prstGeom prst="rect">
                      <a:avLst/>
                    </a:prstGeom>
                    <a:noFill/>
                    <a:ln>
                      <a:noFill/>
                    </a:ln>
                  </pic:spPr>
                </pic:pic>
              </a:graphicData>
            </a:graphic>
          </wp:inline>
        </w:drawing>
      </w:r>
    </w:p>
    <w:p w14:paraId="47595D2D">
      <w:pPr>
        <w:jc w:val="center"/>
      </w:pPr>
    </w:p>
    <w:p w14:paraId="246C4D8F">
      <w:r>
        <w:pict>
          <v:shape id="_x0000_s2231" o:spid="_x0000_s2231" o:spt="202" type="#_x0000_t202" style="position:absolute;left:0pt;margin-left:98.45pt;margin-top:1.8pt;height:39.5pt;width:66.25pt;z-index:251662336;mso-width-relative:page;mso-height-relative:page;" filled="f" stroked="f" coordsize="21600,21600">
            <v:path/>
            <v:fill on="f" focussize="0,0"/>
            <v:stroke on="f" joinstyle="miter"/>
            <v:imagedata o:title=""/>
            <o:lock v:ext="edit"/>
            <v:textbox>
              <w:txbxContent>
                <w:p w14:paraId="3111C610">
                  <w:pPr>
                    <w:rPr>
                      <w:b/>
                      <w:sz w:val="36"/>
                      <w:szCs w:val="36"/>
                    </w:rPr>
                  </w:pPr>
                  <w:r>
                    <w:rPr>
                      <w:b/>
                      <w:sz w:val="36"/>
                      <w:szCs w:val="36"/>
                    </w:rPr>
                    <w:t>附图</w:t>
                  </w:r>
                  <w:r>
                    <w:rPr>
                      <w:rFonts w:hint="eastAsia"/>
                      <w:b/>
                      <w:sz w:val="36"/>
                      <w:szCs w:val="36"/>
                    </w:rPr>
                    <w:t>4</w:t>
                  </w:r>
                </w:p>
              </w:txbxContent>
            </v:textbox>
          </v:shape>
        </w:pict>
      </w:r>
      <w:r>
        <w:pict>
          <v:shape id="_x0000_s2232" o:spid="_x0000_s2232" o:spt="75" type="#_x0000_t75" style="position:absolute;left:0pt;margin-left:22pt;margin-top:4.4pt;height:441.55pt;width:602.75pt;z-index:251661312;mso-width-relative:page;mso-height-relative:page;" filled="f" o:preferrelative="t" stroked="f" coordsize="21600,21600">
            <v:path/>
            <v:fill on="f" focussize="0,0"/>
            <v:stroke on="f" joinstyle="miter"/>
            <v:imagedata r:id="rId39" o:title=""/>
            <o:lock v:ext="edit" aspectratio="t"/>
          </v:shape>
        </w:pict>
      </w:r>
    </w:p>
    <w:p w14:paraId="52D92320"/>
    <w:p w14:paraId="089E34D8"/>
    <w:p w14:paraId="768117B9"/>
    <w:p w14:paraId="32DB8DF8"/>
    <w:p w14:paraId="237A0E0C"/>
    <w:p w14:paraId="4DC28EE7"/>
    <w:p w14:paraId="444B7E3C"/>
    <w:p w14:paraId="0BAA4D18">
      <w:r>
        <w:pict>
          <v:group id="_x0000_s2233" o:spid="_x0000_s2233" o:spt="203" style="position:absolute;left:0pt;margin-left:147pt;margin-top:11pt;height:97.25pt;width:94.95pt;z-index:251663360;mso-width-relative:page;mso-height-relative:page;" coordorigin="3378,3627" coordsize="1899,1945">
            <o:lock v:ext="edit"/>
            <v:rect id="_x0000_s2234" o:spid="_x0000_s2234" o:spt="1" style="position:absolute;left:5249;top:5544;height:28;width:28;" filled="f" stroked="t" coordsize="21600,21600">
              <v:path/>
              <v:fill on="f" focussize="0,0"/>
              <v:stroke color="#FF0000"/>
              <v:imagedata o:title=""/>
              <o:lock v:ext="edit"/>
            </v:rect>
            <v:shape id="_x0000_s2235" o:spid="_x0000_s2235" o:spt="61" type="#_x0000_t61" style="position:absolute;left:3378;top:3627;height:416;width:1339;" coordsize="21600,21600" adj="30472,100160">
              <v:path/>
              <v:fill focussize="0,0"/>
              <v:stroke joinstyle="miter"/>
              <v:imagedata o:title=""/>
              <o:lock v:ext="edit"/>
              <v:textbox>
                <w:txbxContent>
                  <w:p w14:paraId="269B4FEF">
                    <w:pPr>
                      <w:jc w:val="center"/>
                    </w:pPr>
                    <w:r>
                      <w:t>项目位置</w:t>
                    </w:r>
                  </w:p>
                </w:txbxContent>
              </v:textbox>
            </v:shape>
          </v:group>
        </w:pict>
      </w:r>
    </w:p>
    <w:p w14:paraId="03DE761A"/>
    <w:p w14:paraId="28565C02"/>
    <w:p w14:paraId="7618D55A"/>
    <w:p w14:paraId="62FEB5F7"/>
    <w:p w14:paraId="17E55F22"/>
    <w:p w14:paraId="53C907AE"/>
    <w:p w14:paraId="4D774173"/>
    <w:p w14:paraId="12ADD6C2"/>
    <w:p w14:paraId="60FE9D5C"/>
    <w:p w14:paraId="61D6D773"/>
    <w:p w14:paraId="57987A79"/>
    <w:p w14:paraId="4A5DD84E"/>
    <w:p w14:paraId="31CD0665"/>
    <w:p w14:paraId="6DD9B26C"/>
    <w:p w14:paraId="3EF3C934"/>
    <w:p w14:paraId="62DE27E1"/>
    <w:p w14:paraId="57E2D953"/>
    <w:p w14:paraId="65D81119"/>
    <w:p w14:paraId="0320B1AE"/>
    <w:p w14:paraId="552E4049"/>
    <w:p w14:paraId="64F9B520"/>
    <w:p w14:paraId="55344BE8"/>
    <w:p w14:paraId="64BDF9F4"/>
    <w:p w14:paraId="141BB9A5"/>
    <w:p w14:paraId="070B7DF3">
      <w:pPr>
        <w:jc w:val="center"/>
      </w:pPr>
    </w:p>
    <w:p w14:paraId="62F2AD3F">
      <w:pPr>
        <w:jc w:val="center"/>
      </w:pPr>
    </w:p>
    <w:p w14:paraId="5E9C854E">
      <w:pPr>
        <w:jc w:val="center"/>
      </w:pPr>
      <w:r>
        <w:drawing>
          <wp:anchor distT="0" distB="0" distL="114300" distR="114300" simplePos="0" relativeHeight="251698176" behindDoc="1" locked="0" layoutInCell="1" allowOverlap="1">
            <wp:simplePos x="0" y="0"/>
            <wp:positionH relativeFrom="column">
              <wp:posOffset>1294130</wp:posOffset>
            </wp:positionH>
            <wp:positionV relativeFrom="paragraph">
              <wp:posOffset>0</wp:posOffset>
            </wp:positionV>
            <wp:extent cx="5929630" cy="5609590"/>
            <wp:effectExtent l="0" t="0" r="13970" b="10160"/>
            <wp:wrapNone/>
            <wp:docPr id="2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4"/>
                    <pic:cNvPicPr>
                      <a:picLocks noChangeAspect="1"/>
                    </pic:cNvPicPr>
                  </pic:nvPicPr>
                  <pic:blipFill>
                    <a:blip r:embed="rId40"/>
                    <a:stretch>
                      <a:fillRect/>
                    </a:stretch>
                  </pic:blipFill>
                  <pic:spPr>
                    <a:xfrm>
                      <a:off x="0" y="0"/>
                      <a:ext cx="5929630" cy="5609590"/>
                    </a:xfrm>
                    <a:prstGeom prst="rect">
                      <a:avLst/>
                    </a:prstGeom>
                    <a:noFill/>
                    <a:ln>
                      <a:noFill/>
                    </a:ln>
                  </pic:spPr>
                </pic:pic>
              </a:graphicData>
            </a:graphic>
          </wp:anchor>
        </w:drawing>
      </w:r>
    </w:p>
    <w:p w14:paraId="4541A89C">
      <w:pPr>
        <w:jc w:val="center"/>
        <w:rPr>
          <w:rFonts w:hint="eastAsia"/>
          <w:lang w:val="en-US" w:eastAsia="zh-CN"/>
        </w:r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r>
        <w:rPr>
          <w:sz w:val="21"/>
        </w:rPr>
        <w:pict>
          <v:group id="_x0000_s2481" o:spid="_x0000_s2481" o:spt="203" style="position:absolute;left:0pt;margin-left:99.1pt;margin-top:3.1pt;height:456.8pt;width:594.6pt;z-index:251684864;mso-width-relative:page;mso-height-relative:page;" coordorigin="10159,635056" coordsize="11892,9136">
            <o:lock v:ext="edit" aspectratio="f"/>
            <v:shape id="_x0000_s2538" o:spid="_x0000_s2538" o:spt="47" type="#_x0000_t47" style="position:absolute;left:20635;top:635056;height:482;width:1417;" filled="f" stroked="t" coordsize="21600,21600" adj="-44053,56017,-1801,4054">
              <v:path arrowok="t"/>
              <v:fill on="f" focussize="0,0"/>
              <v:stroke color="#000000" joinstyle="miter"/>
              <v:imagedata o:title=""/>
              <o:lock v:ext="edit" aspectratio="f"/>
              <v:textbox>
                <w:txbxContent>
                  <w:p w14:paraId="6AB39DD2">
                    <w:pPr>
                      <w:jc w:val="center"/>
                    </w:pPr>
                    <w:r>
                      <w:rPr>
                        <w:rFonts w:hint="eastAsia"/>
                        <w:b/>
                        <w:bCs/>
                        <w:lang w:val="en-US" w:eastAsia="zh-CN"/>
                      </w:rPr>
                      <w:t>项目厂址</w:t>
                    </w:r>
                  </w:p>
                </w:txbxContent>
              </v:textbox>
            </v:shape>
            <v:rect id="_x0000_s2237" o:spid="_x0000_s2237" o:spt="1" style="position:absolute;left:17697;top:636281;height:57;width:57;" filled="f" stroked="t" coordsize="21600,21600">
              <v:path/>
              <v:fill on="f" focussize="0,0"/>
              <v:stroke color="#FF0000" joinstyle="miter"/>
              <v:imagedata o:title=""/>
              <o:lock v:ext="edit" aspectratio="f"/>
            </v:rect>
            <v:shape id="_x0000_s2246" o:spid="_x0000_s2246" o:spt="202" type="#_x0000_t202" style="position:absolute;left:10159;top:643728;height:464;width:10195;" filled="f" stroked="f" coordsize="21600,21600">
              <v:path/>
              <v:fill on="f" focussize="0,0"/>
              <v:stroke on="f"/>
              <v:imagedata o:title=""/>
              <o:lock v:ext="edit" aspectratio="f"/>
              <v:textbox>
                <w:txbxContent>
                  <w:p w14:paraId="1E7A0A2F">
                    <w:pPr>
                      <w:jc w:val="center"/>
                      <w:rPr>
                        <w:rFonts w:hint="default" w:eastAsia="宋体"/>
                        <w:b/>
                        <w:bCs/>
                        <w:sz w:val="24"/>
                        <w:szCs w:val="24"/>
                        <w:lang w:val="en-US" w:eastAsia="zh-CN"/>
                      </w:rPr>
                    </w:pPr>
                    <w:r>
                      <w:rPr>
                        <w:rFonts w:hint="eastAsia"/>
                        <w:b/>
                        <w:bCs/>
                        <w:sz w:val="24"/>
                        <w:szCs w:val="24"/>
                        <w:lang w:val="en-US" w:eastAsia="zh-CN"/>
                      </w:rPr>
                      <w:t xml:space="preserve">附图5   </w:t>
                    </w:r>
                    <w:r>
                      <w:rPr>
                        <w:rFonts w:hint="eastAsia" w:cs="Times New Roman"/>
                        <w:b/>
                        <w:bCs/>
                        <w:sz w:val="24"/>
                        <w:szCs w:val="24"/>
                        <w:lang w:val="en-US" w:eastAsia="zh-CN"/>
                      </w:rPr>
                      <w:t>大同市经济技术开发区（扩区）总体规划空间管制与现代服务产业园区位置关系图</w:t>
                    </w:r>
                  </w:p>
                </w:txbxContent>
              </v:textbox>
            </v:shape>
          </v:group>
        </w:pict>
      </w:r>
    </w:p>
    <w:p w14:paraId="126E6102">
      <w:pPr>
        <w:jc w:val="center"/>
        <w:rPr>
          <w:rFonts w:hint="eastAsia"/>
          <w:lang w:val="en-US" w:eastAsia="zh-CN"/>
        </w:rPr>
      </w:pPr>
      <w:r>
        <w:drawing>
          <wp:anchor distT="0" distB="0" distL="114300" distR="114300" simplePos="0" relativeHeight="251669504" behindDoc="1" locked="0" layoutInCell="1" allowOverlap="1">
            <wp:simplePos x="0" y="0"/>
            <wp:positionH relativeFrom="column">
              <wp:posOffset>846455</wp:posOffset>
            </wp:positionH>
            <wp:positionV relativeFrom="paragraph">
              <wp:posOffset>0</wp:posOffset>
            </wp:positionV>
            <wp:extent cx="6829425" cy="5362575"/>
            <wp:effectExtent l="0" t="0" r="9525" b="9525"/>
            <wp:wrapNone/>
            <wp:docPr id="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3"/>
                    <pic:cNvPicPr>
                      <a:picLocks noChangeAspect="1"/>
                    </pic:cNvPicPr>
                  </pic:nvPicPr>
                  <pic:blipFill>
                    <a:blip r:embed="rId41"/>
                    <a:stretch>
                      <a:fillRect/>
                    </a:stretch>
                  </pic:blipFill>
                  <pic:spPr>
                    <a:xfrm>
                      <a:off x="0" y="0"/>
                      <a:ext cx="6829425" cy="5362575"/>
                    </a:xfrm>
                    <a:prstGeom prst="rect">
                      <a:avLst/>
                    </a:prstGeom>
                    <a:noFill/>
                    <a:ln>
                      <a:noFill/>
                    </a:ln>
                  </pic:spPr>
                </pic:pic>
              </a:graphicData>
            </a:graphic>
          </wp:anchor>
        </w:drawing>
      </w:r>
    </w:p>
    <w:p w14:paraId="7EB9FF83">
      <w:pPr>
        <w:jc w:val="center"/>
      </w:pPr>
    </w:p>
    <w:p w14:paraId="348CEBFD">
      <w:pPr>
        <w:jc w:val="center"/>
      </w:pPr>
    </w:p>
    <w:p w14:paraId="311BBD50">
      <w:pPr>
        <w:jc w:val="center"/>
      </w:pPr>
    </w:p>
    <w:p w14:paraId="6B04ECEB">
      <w:pPr>
        <w:jc w:val="center"/>
      </w:pPr>
    </w:p>
    <w:p w14:paraId="532CEA4C">
      <w:pPr>
        <w:jc w:val="center"/>
      </w:pPr>
    </w:p>
    <w:p w14:paraId="7CCDCE58">
      <w:pPr>
        <w:jc w:val="center"/>
      </w:pPr>
    </w:p>
    <w:p w14:paraId="4DDDED6B">
      <w:pPr>
        <w:jc w:val="center"/>
      </w:pPr>
    </w:p>
    <w:p w14:paraId="55BF4300">
      <w:pPr>
        <w:jc w:val="center"/>
      </w:pPr>
    </w:p>
    <w:p w14:paraId="6D180511">
      <w:pPr>
        <w:jc w:val="center"/>
      </w:pPr>
      <w:r>
        <w:rPr>
          <w:sz w:val="21"/>
        </w:rPr>
        <w:pict>
          <v:group id="_x0000_s2596" o:spid="_x0000_s2596" o:spt="203" style="position:absolute;left:0pt;margin-left:105.05pt;margin-top:11.15pt;height:355.8pt;width:493.4pt;z-index:251676672;mso-width-relative:page;mso-height-relative:page;" coordorigin="8173,595932" coordsize="9868,7116">
            <o:lock v:ext="edit" aspectratio="f"/>
            <v:shape id="_x0000_s2058" o:spid="_x0000_s2058" o:spt="202" type="#_x0000_t202" style="position:absolute;left:8173;top:602416;height:633;width:9868;" filled="f" stroked="f" coordsize="21600,21600">
              <v:path/>
              <v:fill on="f" focussize="0,0"/>
              <v:stroke on="f"/>
              <v:imagedata o:title=""/>
              <o:lock v:ext="edit" aspectratio="f"/>
              <v:textbox>
                <w:txbxContent>
                  <w:p w14:paraId="2B817555">
                    <w:pPr>
                      <w:jc w:val="center"/>
                      <w:rPr>
                        <w:rFonts w:hint="default" w:eastAsia="宋体"/>
                        <w:b/>
                        <w:bCs/>
                        <w:sz w:val="24"/>
                        <w:szCs w:val="24"/>
                        <w:lang w:val="en-US" w:eastAsia="zh-CN"/>
                      </w:rPr>
                    </w:pPr>
                    <w:r>
                      <w:rPr>
                        <w:rFonts w:hint="eastAsia"/>
                        <w:b/>
                        <w:bCs/>
                        <w:sz w:val="24"/>
                        <w:szCs w:val="24"/>
                        <w:lang w:val="en-US" w:eastAsia="zh-CN"/>
                      </w:rPr>
                      <w:t xml:space="preserve">附图6   </w:t>
                    </w:r>
                    <w:r>
                      <w:rPr>
                        <w:rFonts w:hint="eastAsia" w:ascii="Times New Roman" w:hAnsi="Times New Roman" w:eastAsia="宋体" w:cs="Times New Roman"/>
                        <w:b/>
                        <w:bCs/>
                        <w:sz w:val="24"/>
                        <w:szCs w:val="24"/>
                        <w:lang w:val="en-US" w:eastAsia="zh-CN"/>
                      </w:rPr>
                      <w:t xml:space="preserve"> 项目与</w:t>
                    </w:r>
                    <w:r>
                      <w:rPr>
                        <w:rFonts w:hint="eastAsia" w:cs="Times New Roman"/>
                        <w:b/>
                        <w:bCs/>
                        <w:sz w:val="24"/>
                        <w:szCs w:val="24"/>
                        <w:lang w:val="en-US" w:eastAsia="zh-CN"/>
                      </w:rPr>
                      <w:t>园区规划范围、可开发区范围、不可开发区范围相对</w:t>
                    </w:r>
                    <w:r>
                      <w:rPr>
                        <w:rFonts w:hint="eastAsia" w:ascii="Times New Roman" w:hAnsi="Times New Roman" w:eastAsia="宋体" w:cs="Times New Roman"/>
                        <w:b/>
                        <w:bCs/>
                        <w:sz w:val="24"/>
                        <w:szCs w:val="24"/>
                        <w:lang w:val="en-US" w:eastAsia="zh-CN"/>
                      </w:rPr>
                      <w:t>位置关系图</w:t>
                    </w:r>
                  </w:p>
                </w:txbxContent>
              </v:textbox>
            </v:shape>
            <v:shape id="_x0000_s2054" o:spid="_x0000_s2054" o:spt="47" type="#_x0000_t47" style="position:absolute;left:15298;top:595932;height:482;width:1417;" filled="f" stroked="t" coordsize="21600,21600" adj="-57116,95094,-1801,4054">
              <v:path arrowok="t"/>
              <v:fill on="f" focussize="0,0"/>
              <v:stroke color="#000000" joinstyle="miter"/>
              <v:imagedata o:title=""/>
              <o:lock v:ext="edit" aspectratio="f"/>
              <v:textbox>
                <w:txbxContent>
                  <w:p w14:paraId="3FEA0D34">
                    <w:pPr>
                      <w:jc w:val="center"/>
                    </w:pPr>
                    <w:r>
                      <w:rPr>
                        <w:rFonts w:hint="eastAsia"/>
                        <w:b/>
                        <w:bCs/>
                        <w:lang w:val="en-US" w:eastAsia="zh-CN"/>
                      </w:rPr>
                      <w:t>项目厂址</w:t>
                    </w:r>
                  </w:p>
                </w:txbxContent>
              </v:textbox>
            </v:shape>
            <v:rect id="_x0000_s2055" o:spid="_x0000_s2055" o:spt="1" style="position:absolute;left:11311;top:598013;height:164;width:247;" filled="f" stroked="t" coordsize="21600,21600">
              <v:path/>
              <v:fill on="f" focussize="0,0"/>
              <v:stroke color="#FF0000" joinstyle="miter"/>
              <v:imagedata o:title=""/>
              <o:lock v:ext="edit" aspectratio="f"/>
            </v:rect>
          </v:group>
        </w:pict>
      </w:r>
    </w:p>
    <w:p w14:paraId="5B65ACC9">
      <w:pPr>
        <w:jc w:val="center"/>
      </w:pPr>
    </w:p>
    <w:p w14:paraId="5B8411E7">
      <w:pPr>
        <w:jc w:val="center"/>
      </w:pPr>
    </w:p>
    <w:p w14:paraId="4FD8E8E4">
      <w:pPr>
        <w:jc w:val="center"/>
      </w:pPr>
    </w:p>
    <w:p w14:paraId="1F1AB992">
      <w:pPr>
        <w:jc w:val="center"/>
      </w:pPr>
    </w:p>
    <w:p w14:paraId="13F2E383">
      <w:pPr>
        <w:jc w:val="center"/>
      </w:pPr>
    </w:p>
    <w:p w14:paraId="5C8D544A">
      <w:pPr>
        <w:jc w:val="center"/>
      </w:pPr>
    </w:p>
    <w:p w14:paraId="5C4D9025">
      <w:pPr>
        <w:jc w:val="center"/>
      </w:pPr>
    </w:p>
    <w:p w14:paraId="4632985A">
      <w:pPr>
        <w:jc w:val="center"/>
      </w:pPr>
    </w:p>
    <w:p w14:paraId="2DAF7E3A">
      <w:pPr>
        <w:jc w:val="center"/>
      </w:pPr>
    </w:p>
    <w:p w14:paraId="68C7F9C7">
      <w:pPr>
        <w:jc w:val="center"/>
      </w:pPr>
    </w:p>
    <w:p w14:paraId="78C90218">
      <w:pPr>
        <w:jc w:val="center"/>
      </w:pPr>
    </w:p>
    <w:p w14:paraId="3C1823E7">
      <w:pPr>
        <w:jc w:val="center"/>
      </w:pPr>
    </w:p>
    <w:p w14:paraId="35F670BD">
      <w:pPr>
        <w:jc w:val="center"/>
      </w:pPr>
    </w:p>
    <w:p w14:paraId="1B8D503D">
      <w:pPr>
        <w:jc w:val="center"/>
      </w:pPr>
    </w:p>
    <w:p w14:paraId="0273F9A0">
      <w:pPr>
        <w:jc w:val="center"/>
      </w:pPr>
    </w:p>
    <w:p w14:paraId="40E3DFB7">
      <w:pPr>
        <w:jc w:val="center"/>
      </w:pPr>
    </w:p>
    <w:p w14:paraId="4B755E11">
      <w:pPr>
        <w:jc w:val="center"/>
      </w:pPr>
    </w:p>
    <w:p w14:paraId="3DDA1B5B">
      <w:pPr>
        <w:jc w:val="center"/>
      </w:pPr>
    </w:p>
    <w:p w14:paraId="6AA1B0AF">
      <w:pPr>
        <w:jc w:val="center"/>
      </w:pPr>
    </w:p>
    <w:p w14:paraId="12A68CEE">
      <w:pPr>
        <w:jc w:val="center"/>
      </w:pPr>
    </w:p>
    <w:p w14:paraId="323E4A7E">
      <w:pPr>
        <w:jc w:val="center"/>
      </w:pPr>
    </w:p>
    <w:p w14:paraId="22446687">
      <w:pPr>
        <w:jc w:val="center"/>
      </w:pPr>
    </w:p>
    <w:p w14:paraId="510B08D6">
      <w:pPr>
        <w:jc w:val="center"/>
      </w:pPr>
    </w:p>
    <w:p w14:paraId="196168DC">
      <w:pPr>
        <w:jc w:val="center"/>
      </w:pPr>
    </w:p>
    <w:p w14:paraId="6233B012">
      <w:pPr>
        <w:jc w:val="center"/>
      </w:pPr>
    </w:p>
    <w:p w14:paraId="326E0710">
      <w:pPr>
        <w:jc w:val="center"/>
      </w:pPr>
    </w:p>
    <w:p w14:paraId="2BA26631">
      <w:pPr>
        <w:jc w:val="center"/>
      </w:pPr>
      <w:r>
        <w:drawing>
          <wp:anchor distT="0" distB="0" distL="114300" distR="114300" simplePos="0" relativeHeight="251668480" behindDoc="1" locked="0" layoutInCell="1" allowOverlap="1">
            <wp:simplePos x="0" y="0"/>
            <wp:positionH relativeFrom="column">
              <wp:posOffset>-27940</wp:posOffset>
            </wp:positionH>
            <wp:positionV relativeFrom="paragraph">
              <wp:posOffset>-415925</wp:posOffset>
            </wp:positionV>
            <wp:extent cx="8525510" cy="6235065"/>
            <wp:effectExtent l="0" t="0" r="8890" b="13335"/>
            <wp:wrapNone/>
            <wp:docPr id="1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4"/>
                    <pic:cNvPicPr>
                      <a:picLocks noChangeAspect="1"/>
                    </pic:cNvPicPr>
                  </pic:nvPicPr>
                  <pic:blipFill>
                    <a:blip r:embed="rId42"/>
                    <a:stretch>
                      <a:fillRect/>
                    </a:stretch>
                  </pic:blipFill>
                  <pic:spPr>
                    <a:xfrm>
                      <a:off x="0" y="0"/>
                      <a:ext cx="8525510" cy="6235065"/>
                    </a:xfrm>
                    <a:prstGeom prst="rect">
                      <a:avLst/>
                    </a:prstGeom>
                    <a:noFill/>
                    <a:ln>
                      <a:noFill/>
                    </a:ln>
                  </pic:spPr>
                </pic:pic>
              </a:graphicData>
            </a:graphic>
          </wp:anchor>
        </w:drawing>
      </w:r>
    </w:p>
    <w:p w14:paraId="7CE46BCD">
      <w:pPr>
        <w:jc w:val="center"/>
      </w:pPr>
    </w:p>
    <w:p w14:paraId="2E6BFC82">
      <w:pPr>
        <w:jc w:val="center"/>
      </w:pPr>
    </w:p>
    <w:p w14:paraId="21F09DD2">
      <w:pPr>
        <w:jc w:val="center"/>
      </w:pPr>
    </w:p>
    <w:p w14:paraId="353AF0DF">
      <w:pPr>
        <w:jc w:val="center"/>
      </w:pPr>
    </w:p>
    <w:p w14:paraId="1699F777">
      <w:pPr>
        <w:jc w:val="center"/>
      </w:pPr>
    </w:p>
    <w:p w14:paraId="177DC296">
      <w:pPr>
        <w:jc w:val="center"/>
        <w:rPr>
          <w:rFonts w:hint="eastAsia"/>
          <w:lang w:val="en-US" w:eastAsia="zh-CN"/>
        </w:r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r>
        <w:rPr>
          <w:sz w:val="21"/>
        </w:rPr>
        <w:pict>
          <v:group id="_x0000_s2597" o:spid="_x0000_s2597" o:spt="203" style="position:absolute;left:0pt;margin-left:40.55pt;margin-top:84.9pt;height:335.1pt;width:518.9pt;z-index:251679744;mso-width-relative:page;mso-height-relative:page;" coordorigin="5641,1105402" coordsize="10378,6702">
            <o:lock v:ext="edit" aspectratio="f"/>
            <v:shape id="_x0000_s2052" o:spid="_x0000_s2052" o:spt="47" type="#_x0000_t47" style="position:absolute;left:5641;top:1105402;flip:x;height:382;width:1413;" filled="f" stroked="t" coordsize="21600,21600" adj="-31810,100366,-1801,4054">
              <v:path arrowok="t"/>
              <v:fill on="f" focussize="0,0"/>
              <v:stroke color="#000000" joinstyle="miter"/>
              <v:imagedata o:title=""/>
              <o:lock v:ext="edit" aspectratio="f"/>
              <v:textbox>
                <w:txbxContent>
                  <w:p w14:paraId="565BBF19">
                    <w:pPr>
                      <w:jc w:val="center"/>
                    </w:pPr>
                    <w:r>
                      <w:rPr>
                        <w:rFonts w:hint="eastAsia"/>
                        <w:b/>
                        <w:bCs/>
                        <w:lang w:val="en-US" w:eastAsia="zh-CN"/>
                      </w:rPr>
                      <w:t>项目厂址</w:t>
                    </w:r>
                  </w:p>
                </w:txbxContent>
              </v:textbox>
            </v:shape>
            <v:shape id="_x0000_s2563" o:spid="_x0000_s2563" o:spt="202" type="#_x0000_t202" style="position:absolute;left:7521;top:1111472;height:633;width:8498;" filled="f" stroked="f" coordsize="21600,21600">
              <v:path/>
              <v:fill on="f" focussize="0,0"/>
              <v:stroke on="f"/>
              <v:imagedata o:title=""/>
              <o:lock v:ext="edit" aspectratio="f"/>
              <v:textbox>
                <w:txbxContent>
                  <w:p w14:paraId="34811E31">
                    <w:pPr>
                      <w:jc w:val="center"/>
                      <w:rPr>
                        <w:rFonts w:hint="default" w:eastAsia="宋体"/>
                        <w:b/>
                        <w:bCs/>
                        <w:sz w:val="24"/>
                        <w:szCs w:val="24"/>
                        <w:lang w:val="en-US" w:eastAsia="zh-CN"/>
                      </w:rPr>
                    </w:pPr>
                    <w:r>
                      <w:rPr>
                        <w:rFonts w:hint="eastAsia"/>
                        <w:b/>
                        <w:bCs/>
                        <w:sz w:val="24"/>
                        <w:szCs w:val="24"/>
                        <w:lang w:val="en-US" w:eastAsia="zh-CN"/>
                      </w:rPr>
                      <w:t xml:space="preserve">附图7   </w:t>
                    </w:r>
                    <w:r>
                      <w:rPr>
                        <w:rFonts w:hint="eastAsia" w:ascii="Times New Roman" w:hAnsi="Times New Roman" w:eastAsia="宋体" w:cs="Times New Roman"/>
                        <w:b/>
                        <w:bCs/>
                        <w:sz w:val="24"/>
                        <w:szCs w:val="24"/>
                        <w:lang w:val="en-US" w:eastAsia="zh-CN"/>
                      </w:rPr>
                      <w:t xml:space="preserve"> </w:t>
                    </w:r>
                    <w:r>
                      <w:rPr>
                        <w:rFonts w:hint="eastAsia" w:cs="Times New Roman"/>
                        <w:b/>
                        <w:bCs/>
                        <w:sz w:val="24"/>
                        <w:szCs w:val="24"/>
                        <w:lang w:val="en-US" w:eastAsia="zh-CN"/>
                      </w:rPr>
                      <w:t>项目与园区土地规划位置关系</w:t>
                    </w:r>
                    <w:r>
                      <w:rPr>
                        <w:rFonts w:hint="eastAsia" w:ascii="Times New Roman" w:hAnsi="Times New Roman" w:eastAsia="宋体" w:cs="Times New Roman"/>
                        <w:b/>
                        <w:bCs/>
                        <w:sz w:val="24"/>
                        <w:szCs w:val="24"/>
                        <w:lang w:val="en-US" w:eastAsia="zh-CN"/>
                      </w:rPr>
                      <w:t>图</w:t>
                    </w:r>
                  </w:p>
                </w:txbxContent>
              </v:textbox>
            </v:shape>
          </v:group>
        </w:pict>
      </w:r>
    </w:p>
    <w:p w14:paraId="103725C9">
      <w:pPr>
        <w:pStyle w:val="41"/>
        <w:adjustRightInd w:val="0"/>
        <w:snapToGrid w:val="0"/>
        <w:spacing w:before="0" w:beforeAutospacing="0" w:after="0" w:afterAutospacing="0" w:line="440" w:lineRule="exact"/>
        <w:outlineLvl w:val="0"/>
        <w:rPr>
          <w:rFonts w:eastAsia="黑体"/>
          <w:sz w:val="32"/>
          <w:szCs w:val="32"/>
        </w:rPr>
      </w:pPr>
      <w:bookmarkStart w:id="14" w:name="_Toc5952"/>
      <w:r>
        <w:rPr>
          <w:rFonts w:ascii="Times New Roman" w:hAnsi="Times New Roman" w:eastAsia="黑体"/>
          <w:sz w:val="32"/>
          <w:szCs w:val="32"/>
        </w:rPr>
        <w:t>附件</w:t>
      </w:r>
      <w:bookmarkEnd w:id="14"/>
    </w:p>
    <w:p w14:paraId="45CBCBCC">
      <w:pPr>
        <w:jc w:val="center"/>
      </w:pPr>
      <w:r>
        <w:drawing>
          <wp:inline distT="0" distB="0" distL="114300" distR="114300">
            <wp:extent cx="5728335" cy="7878445"/>
            <wp:effectExtent l="0" t="0" r="5715" b="8255"/>
            <wp:docPr id="7" name="图片 7" descr="委托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委托书"/>
                    <pic:cNvPicPr>
                      <a:picLocks noChangeAspect="1"/>
                    </pic:cNvPicPr>
                  </pic:nvPicPr>
                  <pic:blipFill>
                    <a:blip r:embed="rId43"/>
                    <a:stretch>
                      <a:fillRect/>
                    </a:stretch>
                  </pic:blipFill>
                  <pic:spPr>
                    <a:xfrm>
                      <a:off x="0" y="0"/>
                      <a:ext cx="5728335" cy="7878445"/>
                    </a:xfrm>
                    <a:prstGeom prst="rect">
                      <a:avLst/>
                    </a:prstGeom>
                  </pic:spPr>
                </pic:pic>
              </a:graphicData>
            </a:graphic>
          </wp:inline>
        </w:drawing>
      </w:r>
    </w:p>
    <w:p w14:paraId="7488B544">
      <w:pPr>
        <w:jc w:val="center"/>
      </w:pPr>
    </w:p>
    <w:p w14:paraId="7D1717B9">
      <w:pPr>
        <w:jc w:val="center"/>
      </w:pPr>
    </w:p>
    <w:p w14:paraId="7C718723">
      <w:pPr>
        <w:jc w:val="center"/>
      </w:pPr>
    </w:p>
    <w:p w14:paraId="212FF268">
      <w:pPr>
        <w:jc w:val="center"/>
        <w:rPr>
          <w:rFonts w:hint="eastAsia" w:eastAsia="宋体"/>
          <w:lang w:eastAsia="zh-CN"/>
        </w:rPr>
      </w:pPr>
      <w:r>
        <w:rPr>
          <w:rFonts w:hint="eastAsia" w:eastAsia="宋体"/>
          <w:lang w:eastAsia="zh-CN"/>
        </w:rPr>
        <w:drawing>
          <wp:inline distT="0" distB="0" distL="114300" distR="114300">
            <wp:extent cx="5269865" cy="7247255"/>
            <wp:effectExtent l="0" t="0" r="6985" b="10795"/>
            <wp:docPr id="41" name="图片 41" descr="资质签字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资质签字页"/>
                    <pic:cNvPicPr>
                      <a:picLocks noChangeAspect="1"/>
                    </pic:cNvPicPr>
                  </pic:nvPicPr>
                  <pic:blipFill>
                    <a:blip r:embed="rId44"/>
                    <a:stretch>
                      <a:fillRect/>
                    </a:stretch>
                  </pic:blipFill>
                  <pic:spPr>
                    <a:xfrm>
                      <a:off x="0" y="0"/>
                      <a:ext cx="5269865" cy="7247255"/>
                    </a:xfrm>
                    <a:prstGeom prst="rect">
                      <a:avLst/>
                    </a:prstGeom>
                  </pic:spPr>
                </pic:pic>
              </a:graphicData>
            </a:graphic>
          </wp:inline>
        </w:drawing>
      </w:r>
      <w:bookmarkStart w:id="15" w:name="_GoBack"/>
      <w:bookmarkEnd w:id="15"/>
    </w:p>
    <w:p w14:paraId="5F756E50">
      <w:pPr>
        <w:jc w:val="center"/>
      </w:pPr>
    </w:p>
    <w:p w14:paraId="6439AE3A">
      <w:pPr>
        <w:jc w:val="center"/>
      </w:pPr>
    </w:p>
    <w:p w14:paraId="6087BDA6">
      <w:pPr>
        <w:jc w:val="center"/>
      </w:pPr>
    </w:p>
    <w:p w14:paraId="20E9EA1E">
      <w:pPr>
        <w:jc w:val="center"/>
      </w:pPr>
    </w:p>
    <w:p w14:paraId="394F7904">
      <w:pPr>
        <w:jc w:val="center"/>
      </w:pPr>
    </w:p>
    <w:p w14:paraId="6099841C">
      <w:pPr>
        <w:jc w:val="center"/>
        <w:rPr>
          <w:rFonts w:eastAsiaTheme="minorEastAsia"/>
          <w:snapToGrid w:val="0"/>
          <w:w w:val="0"/>
          <w:sz w:val="0"/>
          <w:szCs w:val="0"/>
          <w:u w:color="000000"/>
          <w:shd w:val="clear" w:color="000000" w:fill="000000"/>
        </w:rPr>
      </w:pPr>
      <w:r>
        <w:drawing>
          <wp:inline distT="0" distB="0" distL="0" distR="0">
            <wp:extent cx="5400040" cy="7629525"/>
            <wp:effectExtent l="0" t="0" r="10160" b="9525"/>
            <wp:docPr id="4" name="图片 0" descr="证书.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0" descr="证书.jpg"/>
                    <pic:cNvPicPr>
                      <a:picLocks noChangeAspect="1" noChangeArrowheads="1"/>
                    </pic:cNvPicPr>
                  </pic:nvPicPr>
                  <pic:blipFill>
                    <a:blip r:embed="rId45" cstate="print"/>
                    <a:srcRect/>
                    <a:stretch>
                      <a:fillRect/>
                    </a:stretch>
                  </pic:blipFill>
                  <pic:spPr>
                    <a:xfrm>
                      <a:off x="0" y="0"/>
                      <a:ext cx="5400040" cy="7629974"/>
                    </a:xfrm>
                    <a:prstGeom prst="rect">
                      <a:avLst/>
                    </a:prstGeom>
                    <a:noFill/>
                    <a:ln w="9525">
                      <a:noFill/>
                      <a:miter lim="800000"/>
                      <a:headEnd/>
                      <a:tailEnd/>
                    </a:ln>
                  </pic:spPr>
                </pic:pic>
              </a:graphicData>
            </a:graphic>
          </wp:inline>
        </w:drawing>
      </w:r>
      <w:r>
        <w:drawing>
          <wp:inline distT="0" distB="0" distL="114300" distR="114300">
            <wp:extent cx="5497195" cy="8240395"/>
            <wp:effectExtent l="0" t="0" r="8255" b="8255"/>
            <wp:docPr id="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3"/>
                    <pic:cNvPicPr>
                      <a:picLocks noChangeAspect="1"/>
                    </pic:cNvPicPr>
                  </pic:nvPicPr>
                  <pic:blipFill>
                    <a:blip r:embed="rId46"/>
                    <a:stretch>
                      <a:fillRect/>
                    </a:stretch>
                  </pic:blipFill>
                  <pic:spPr>
                    <a:xfrm>
                      <a:off x="0" y="0"/>
                      <a:ext cx="5497195" cy="8240395"/>
                    </a:xfrm>
                    <a:prstGeom prst="rect">
                      <a:avLst/>
                    </a:prstGeom>
                    <a:noFill/>
                    <a:ln>
                      <a:noFill/>
                    </a:ln>
                  </pic:spPr>
                </pic:pic>
              </a:graphicData>
            </a:graphic>
          </wp:inline>
        </w:drawing>
      </w:r>
    </w:p>
    <w:p w14:paraId="2D349C6A">
      <w:pPr>
        <w:jc w:val="center"/>
        <w:rPr>
          <w:rFonts w:eastAsiaTheme="minorEastAsia"/>
          <w:snapToGrid w:val="0"/>
          <w:w w:val="0"/>
          <w:sz w:val="0"/>
          <w:szCs w:val="0"/>
          <w:u w:color="000000"/>
          <w:shd w:val="clear" w:color="000000" w:fill="000000"/>
        </w:rPr>
      </w:pPr>
    </w:p>
    <w:p w14:paraId="32168137">
      <w:pPr>
        <w:jc w:val="center"/>
        <w:rPr>
          <w:rFonts w:eastAsiaTheme="minorEastAsia"/>
          <w:snapToGrid w:val="0"/>
          <w:w w:val="0"/>
          <w:sz w:val="0"/>
          <w:szCs w:val="0"/>
          <w:u w:color="000000"/>
          <w:shd w:val="clear" w:color="000000" w:fill="000000"/>
        </w:rPr>
      </w:pPr>
    </w:p>
    <w:p w14:paraId="6C2591AE">
      <w:pPr>
        <w:jc w:val="center"/>
        <w:rPr>
          <w:rFonts w:eastAsiaTheme="minorEastAsia"/>
          <w:snapToGrid w:val="0"/>
          <w:w w:val="0"/>
          <w:sz w:val="0"/>
          <w:szCs w:val="0"/>
          <w:u w:color="000000"/>
          <w:shd w:val="clear" w:color="000000" w:fill="000000"/>
        </w:rPr>
      </w:pPr>
    </w:p>
    <w:p w14:paraId="4351226C">
      <w:pPr>
        <w:jc w:val="center"/>
        <w:rPr>
          <w:rFonts w:eastAsiaTheme="minorEastAsia"/>
          <w:snapToGrid w:val="0"/>
          <w:w w:val="0"/>
          <w:sz w:val="0"/>
          <w:szCs w:val="0"/>
          <w:u w:color="000000"/>
          <w:shd w:val="clear" w:color="000000" w:fill="000000"/>
        </w:rPr>
      </w:pPr>
      <w:r>
        <w:drawing>
          <wp:anchor distT="0" distB="0" distL="114300" distR="114300" simplePos="0" relativeHeight="251667456" behindDoc="1" locked="0" layoutInCell="1" allowOverlap="1">
            <wp:simplePos x="0" y="0"/>
            <wp:positionH relativeFrom="column">
              <wp:posOffset>-2158365</wp:posOffset>
            </wp:positionH>
            <wp:positionV relativeFrom="paragraph">
              <wp:posOffset>1348105</wp:posOffset>
            </wp:positionV>
            <wp:extent cx="9850120" cy="5969000"/>
            <wp:effectExtent l="0" t="0" r="12700" b="17780"/>
            <wp:wrapNone/>
            <wp:docPr id="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4"/>
                    <pic:cNvPicPr>
                      <a:picLocks noChangeAspect="1"/>
                    </pic:cNvPicPr>
                  </pic:nvPicPr>
                  <pic:blipFill>
                    <a:blip r:embed="rId47"/>
                    <a:stretch>
                      <a:fillRect/>
                    </a:stretch>
                  </pic:blipFill>
                  <pic:spPr>
                    <a:xfrm rot="16200000">
                      <a:off x="0" y="0"/>
                      <a:ext cx="9850120" cy="5969000"/>
                    </a:xfrm>
                    <a:prstGeom prst="rect">
                      <a:avLst/>
                    </a:prstGeom>
                    <a:noFill/>
                    <a:ln>
                      <a:noFill/>
                    </a:ln>
                  </pic:spPr>
                </pic:pic>
              </a:graphicData>
            </a:graphic>
          </wp:anchor>
        </w:drawing>
      </w:r>
    </w:p>
    <w:p w14:paraId="45863DA3">
      <w:pPr>
        <w:jc w:val="center"/>
        <w:rPr>
          <w:rFonts w:eastAsiaTheme="minorEastAsia"/>
          <w:snapToGrid w:val="0"/>
          <w:w w:val="0"/>
          <w:sz w:val="0"/>
          <w:szCs w:val="0"/>
          <w:u w:color="000000"/>
          <w:shd w:val="clear" w:color="000000" w:fill="000000"/>
        </w:rPr>
      </w:pPr>
    </w:p>
    <w:p w14:paraId="7C57E1A4">
      <w:pPr>
        <w:jc w:val="center"/>
        <w:rPr>
          <w:rFonts w:eastAsiaTheme="minorEastAsia"/>
          <w:snapToGrid w:val="0"/>
          <w:w w:val="0"/>
          <w:sz w:val="0"/>
          <w:szCs w:val="0"/>
          <w:u w:color="000000"/>
          <w:shd w:val="clear" w:color="000000" w:fill="000000"/>
        </w:rPr>
      </w:pPr>
    </w:p>
    <w:p w14:paraId="1FA2D7CD">
      <w:pPr>
        <w:jc w:val="center"/>
        <w:rPr>
          <w:rFonts w:eastAsiaTheme="minorEastAsia"/>
          <w:snapToGrid w:val="0"/>
          <w:w w:val="0"/>
          <w:sz w:val="0"/>
          <w:szCs w:val="0"/>
          <w:u w:color="000000"/>
          <w:shd w:val="clear" w:color="000000" w:fill="000000"/>
        </w:rPr>
      </w:pPr>
    </w:p>
    <w:p w14:paraId="29ED1D64">
      <w:pPr>
        <w:jc w:val="center"/>
        <w:rPr>
          <w:rFonts w:eastAsiaTheme="minorEastAsia"/>
          <w:snapToGrid w:val="0"/>
          <w:w w:val="0"/>
          <w:sz w:val="0"/>
          <w:szCs w:val="0"/>
          <w:u w:color="000000"/>
          <w:shd w:val="clear" w:color="000000" w:fill="000000"/>
        </w:rPr>
      </w:pPr>
    </w:p>
    <w:p w14:paraId="0D435EF9">
      <w:pPr>
        <w:jc w:val="center"/>
        <w:rPr>
          <w:rFonts w:eastAsiaTheme="minorEastAsia"/>
          <w:snapToGrid w:val="0"/>
          <w:w w:val="0"/>
          <w:sz w:val="0"/>
          <w:szCs w:val="0"/>
          <w:u w:color="000000"/>
          <w:shd w:val="clear" w:color="000000" w:fill="000000"/>
        </w:rPr>
      </w:pPr>
    </w:p>
    <w:p w14:paraId="6233E712">
      <w:pPr>
        <w:jc w:val="center"/>
        <w:rPr>
          <w:rFonts w:eastAsiaTheme="minorEastAsia"/>
          <w:snapToGrid w:val="0"/>
          <w:w w:val="0"/>
          <w:sz w:val="0"/>
          <w:szCs w:val="0"/>
          <w:u w:color="000000"/>
          <w:shd w:val="clear" w:color="000000" w:fill="000000"/>
        </w:rPr>
      </w:pPr>
    </w:p>
    <w:p w14:paraId="4280500D">
      <w:pPr>
        <w:jc w:val="center"/>
        <w:rPr>
          <w:rFonts w:eastAsiaTheme="minorEastAsia"/>
          <w:snapToGrid w:val="0"/>
          <w:w w:val="0"/>
          <w:sz w:val="0"/>
          <w:szCs w:val="0"/>
          <w:u w:color="000000"/>
          <w:shd w:val="clear" w:color="000000" w:fill="000000"/>
        </w:rPr>
      </w:pPr>
    </w:p>
    <w:p w14:paraId="497EC6A4">
      <w:pPr>
        <w:jc w:val="center"/>
        <w:rPr>
          <w:rFonts w:eastAsiaTheme="minorEastAsia"/>
          <w:snapToGrid w:val="0"/>
          <w:w w:val="0"/>
          <w:sz w:val="0"/>
          <w:szCs w:val="0"/>
          <w:u w:color="000000"/>
          <w:shd w:val="clear" w:color="000000" w:fill="000000"/>
        </w:rPr>
      </w:pPr>
    </w:p>
    <w:p w14:paraId="546CFFD0">
      <w:pPr>
        <w:jc w:val="center"/>
        <w:rPr>
          <w:rFonts w:eastAsiaTheme="minorEastAsia"/>
          <w:snapToGrid w:val="0"/>
          <w:w w:val="0"/>
          <w:sz w:val="0"/>
          <w:szCs w:val="0"/>
          <w:u w:color="000000"/>
          <w:shd w:val="clear" w:color="000000" w:fill="000000"/>
        </w:rPr>
      </w:pPr>
    </w:p>
    <w:p w14:paraId="0D1A17E4">
      <w:pPr>
        <w:jc w:val="center"/>
        <w:rPr>
          <w:rFonts w:eastAsiaTheme="minorEastAsia"/>
          <w:snapToGrid w:val="0"/>
          <w:w w:val="0"/>
          <w:sz w:val="0"/>
          <w:szCs w:val="0"/>
          <w:u w:color="000000"/>
          <w:shd w:val="clear" w:color="000000" w:fill="000000"/>
        </w:rPr>
      </w:pPr>
    </w:p>
    <w:p w14:paraId="415AC79C">
      <w:pPr>
        <w:jc w:val="center"/>
        <w:rPr>
          <w:rFonts w:hint="eastAsia" w:eastAsiaTheme="minorEastAsia"/>
          <w:snapToGrid w:val="0"/>
          <w:w w:val="0"/>
          <w:sz w:val="0"/>
          <w:szCs w:val="0"/>
          <w:u w:color="000000"/>
          <w:shd w:val="clear" w:color="000000" w:fill="000000"/>
          <w:lang w:val="en-US" w:eastAsia="zh-CN"/>
        </w:rPr>
      </w:pPr>
    </w:p>
    <w:p w14:paraId="75BFD8C4">
      <w:pPr>
        <w:jc w:val="center"/>
        <w:rPr>
          <w:rFonts w:hint="eastAsia" w:eastAsiaTheme="minorEastAsia"/>
          <w:snapToGrid w:val="0"/>
          <w:w w:val="0"/>
          <w:sz w:val="0"/>
          <w:szCs w:val="0"/>
          <w:u w:color="000000"/>
          <w:shd w:val="clear" w:color="000000" w:fill="000000"/>
          <w:lang w:val="en-US" w:eastAsia="zh-CN"/>
        </w:rPr>
      </w:pPr>
    </w:p>
    <w:p w14:paraId="14AB86A2">
      <w:pPr>
        <w:jc w:val="center"/>
        <w:rPr>
          <w:rFonts w:hint="eastAsia" w:eastAsiaTheme="minorEastAsia"/>
          <w:snapToGrid w:val="0"/>
          <w:w w:val="0"/>
          <w:sz w:val="0"/>
          <w:szCs w:val="0"/>
          <w:u w:color="000000"/>
          <w:shd w:val="clear" w:color="000000" w:fill="000000"/>
          <w:lang w:val="en-US" w:eastAsia="zh-CN"/>
        </w:rPr>
      </w:pPr>
    </w:p>
    <w:p w14:paraId="3AF3DC93">
      <w:pPr>
        <w:jc w:val="center"/>
        <w:rPr>
          <w:rFonts w:hint="eastAsia" w:eastAsiaTheme="minorEastAsia"/>
          <w:snapToGrid w:val="0"/>
          <w:w w:val="0"/>
          <w:sz w:val="0"/>
          <w:szCs w:val="0"/>
          <w:u w:color="000000"/>
          <w:shd w:val="clear" w:color="000000" w:fill="000000"/>
          <w:lang w:val="en-US" w:eastAsia="zh-CN"/>
        </w:rPr>
      </w:pPr>
    </w:p>
    <w:p w14:paraId="2ECD49B9">
      <w:pPr>
        <w:jc w:val="center"/>
        <w:rPr>
          <w:rFonts w:hint="eastAsia" w:eastAsiaTheme="minorEastAsia"/>
          <w:snapToGrid w:val="0"/>
          <w:w w:val="0"/>
          <w:sz w:val="0"/>
          <w:szCs w:val="0"/>
          <w:u w:color="000000"/>
          <w:shd w:val="clear" w:color="000000" w:fill="000000"/>
          <w:lang w:val="en-US" w:eastAsia="zh-CN"/>
        </w:rPr>
      </w:pPr>
    </w:p>
    <w:p w14:paraId="57B49F16">
      <w:pPr>
        <w:jc w:val="center"/>
        <w:rPr>
          <w:rFonts w:hint="eastAsia" w:eastAsiaTheme="minorEastAsia"/>
          <w:snapToGrid w:val="0"/>
          <w:w w:val="0"/>
          <w:sz w:val="0"/>
          <w:szCs w:val="0"/>
          <w:u w:color="000000"/>
          <w:shd w:val="clear" w:color="000000" w:fill="000000"/>
          <w:lang w:val="en-US" w:eastAsia="zh-CN"/>
        </w:rPr>
      </w:pPr>
    </w:p>
    <w:p w14:paraId="0B4A2C30">
      <w:pPr>
        <w:jc w:val="center"/>
        <w:rPr>
          <w:rFonts w:hint="eastAsia" w:eastAsiaTheme="minorEastAsia"/>
          <w:snapToGrid w:val="0"/>
          <w:w w:val="0"/>
          <w:sz w:val="0"/>
          <w:szCs w:val="0"/>
          <w:u w:color="000000"/>
          <w:shd w:val="clear" w:color="000000" w:fill="000000"/>
          <w:lang w:val="en-US" w:eastAsia="zh-CN"/>
        </w:rPr>
      </w:pPr>
    </w:p>
    <w:p w14:paraId="4622C923">
      <w:pPr>
        <w:jc w:val="center"/>
        <w:rPr>
          <w:rFonts w:hint="eastAsia" w:eastAsiaTheme="minorEastAsia"/>
          <w:snapToGrid w:val="0"/>
          <w:w w:val="0"/>
          <w:sz w:val="0"/>
          <w:szCs w:val="0"/>
          <w:u w:color="000000"/>
          <w:shd w:val="clear" w:color="000000" w:fill="000000"/>
          <w:lang w:val="en-US" w:eastAsia="zh-CN"/>
        </w:rPr>
      </w:pPr>
    </w:p>
    <w:p w14:paraId="61A0B5E4">
      <w:pPr>
        <w:jc w:val="center"/>
        <w:rPr>
          <w:rFonts w:hint="eastAsia" w:eastAsiaTheme="minorEastAsia"/>
          <w:snapToGrid w:val="0"/>
          <w:w w:val="0"/>
          <w:sz w:val="0"/>
          <w:szCs w:val="0"/>
          <w:u w:color="000000"/>
          <w:shd w:val="clear" w:color="000000" w:fill="000000"/>
          <w:lang w:val="en-US" w:eastAsia="zh-CN"/>
        </w:rPr>
      </w:pPr>
    </w:p>
    <w:p w14:paraId="7561426B">
      <w:pPr>
        <w:jc w:val="center"/>
        <w:rPr>
          <w:rFonts w:hint="eastAsia" w:eastAsiaTheme="minorEastAsia"/>
          <w:snapToGrid w:val="0"/>
          <w:w w:val="0"/>
          <w:sz w:val="0"/>
          <w:szCs w:val="0"/>
          <w:u w:color="000000"/>
          <w:shd w:val="clear" w:color="000000" w:fill="000000"/>
          <w:lang w:val="en-US" w:eastAsia="zh-CN"/>
        </w:rPr>
      </w:pPr>
    </w:p>
    <w:p w14:paraId="026EFD07">
      <w:pPr>
        <w:jc w:val="center"/>
        <w:rPr>
          <w:rFonts w:hint="eastAsia" w:eastAsiaTheme="minorEastAsia"/>
          <w:snapToGrid w:val="0"/>
          <w:w w:val="0"/>
          <w:sz w:val="0"/>
          <w:szCs w:val="0"/>
          <w:u w:color="000000"/>
          <w:shd w:val="clear" w:color="000000" w:fill="000000"/>
          <w:lang w:val="en-US" w:eastAsia="zh-CN"/>
        </w:rPr>
      </w:pPr>
    </w:p>
    <w:p w14:paraId="0A530917">
      <w:pPr>
        <w:jc w:val="center"/>
        <w:rPr>
          <w:rFonts w:hint="eastAsia" w:eastAsiaTheme="minorEastAsia"/>
          <w:snapToGrid w:val="0"/>
          <w:w w:val="0"/>
          <w:sz w:val="0"/>
          <w:szCs w:val="0"/>
          <w:u w:color="000000"/>
          <w:shd w:val="clear" w:color="000000" w:fill="000000"/>
          <w:lang w:val="en-US" w:eastAsia="zh-CN"/>
        </w:rPr>
      </w:pPr>
    </w:p>
    <w:p w14:paraId="37B13DD5">
      <w:pPr>
        <w:jc w:val="center"/>
        <w:rPr>
          <w:rFonts w:hint="eastAsia" w:eastAsiaTheme="minorEastAsia"/>
          <w:snapToGrid w:val="0"/>
          <w:w w:val="0"/>
          <w:sz w:val="0"/>
          <w:szCs w:val="0"/>
          <w:u w:color="000000"/>
          <w:shd w:val="clear" w:color="000000" w:fill="000000"/>
          <w:lang w:val="en-US" w:eastAsia="zh-CN"/>
        </w:rPr>
      </w:pPr>
    </w:p>
    <w:p w14:paraId="024CF567">
      <w:pPr>
        <w:jc w:val="center"/>
        <w:rPr>
          <w:rFonts w:hint="eastAsia" w:eastAsiaTheme="minorEastAsia"/>
          <w:snapToGrid w:val="0"/>
          <w:w w:val="0"/>
          <w:sz w:val="0"/>
          <w:szCs w:val="0"/>
          <w:u w:color="000000"/>
          <w:shd w:val="clear" w:color="000000" w:fill="000000"/>
          <w:lang w:val="en-US" w:eastAsia="zh-CN"/>
        </w:rPr>
      </w:pPr>
    </w:p>
    <w:p w14:paraId="46268990">
      <w:pPr>
        <w:jc w:val="center"/>
        <w:rPr>
          <w:rFonts w:hint="eastAsia" w:eastAsiaTheme="minorEastAsia"/>
          <w:snapToGrid w:val="0"/>
          <w:w w:val="0"/>
          <w:sz w:val="0"/>
          <w:szCs w:val="0"/>
          <w:u w:color="000000"/>
          <w:shd w:val="clear" w:color="000000" w:fill="000000"/>
          <w:lang w:val="en-US" w:eastAsia="zh-CN"/>
        </w:rPr>
      </w:pPr>
    </w:p>
    <w:p w14:paraId="4D88EC42">
      <w:pPr>
        <w:jc w:val="center"/>
        <w:rPr>
          <w:rFonts w:hint="eastAsia" w:eastAsiaTheme="minorEastAsia"/>
          <w:snapToGrid w:val="0"/>
          <w:w w:val="0"/>
          <w:sz w:val="0"/>
          <w:szCs w:val="0"/>
          <w:u w:color="000000"/>
          <w:shd w:val="clear" w:color="000000" w:fill="000000"/>
          <w:lang w:val="en-US" w:eastAsia="zh-CN"/>
        </w:rPr>
      </w:pPr>
    </w:p>
    <w:p w14:paraId="17B349E4">
      <w:pPr>
        <w:jc w:val="center"/>
        <w:rPr>
          <w:rFonts w:hint="eastAsia" w:eastAsiaTheme="minorEastAsia"/>
          <w:snapToGrid w:val="0"/>
          <w:w w:val="0"/>
          <w:sz w:val="0"/>
          <w:szCs w:val="0"/>
          <w:u w:color="000000"/>
          <w:shd w:val="clear" w:color="000000" w:fill="000000"/>
          <w:lang w:val="en-US" w:eastAsia="zh-CN"/>
        </w:rPr>
      </w:pPr>
    </w:p>
    <w:p w14:paraId="346D908E">
      <w:pPr>
        <w:jc w:val="center"/>
        <w:rPr>
          <w:rFonts w:hint="eastAsia" w:eastAsiaTheme="minorEastAsia"/>
          <w:snapToGrid w:val="0"/>
          <w:w w:val="0"/>
          <w:sz w:val="0"/>
          <w:szCs w:val="0"/>
          <w:u w:color="000000"/>
          <w:shd w:val="clear" w:color="000000" w:fill="000000"/>
          <w:lang w:val="en-US" w:eastAsia="zh-CN"/>
        </w:rPr>
      </w:pPr>
    </w:p>
    <w:p w14:paraId="32AB2419">
      <w:pPr>
        <w:jc w:val="center"/>
        <w:rPr>
          <w:rFonts w:hint="eastAsia" w:eastAsiaTheme="minorEastAsia"/>
          <w:snapToGrid w:val="0"/>
          <w:w w:val="0"/>
          <w:sz w:val="0"/>
          <w:szCs w:val="0"/>
          <w:u w:color="000000"/>
          <w:shd w:val="clear" w:color="000000" w:fill="000000"/>
          <w:lang w:val="en-US" w:eastAsia="zh-CN"/>
        </w:rPr>
      </w:pPr>
    </w:p>
    <w:p w14:paraId="7649C066">
      <w:pPr>
        <w:jc w:val="center"/>
        <w:rPr>
          <w:rFonts w:hint="eastAsia" w:eastAsiaTheme="minorEastAsia"/>
          <w:snapToGrid w:val="0"/>
          <w:w w:val="0"/>
          <w:sz w:val="0"/>
          <w:szCs w:val="0"/>
          <w:u w:color="000000"/>
          <w:shd w:val="clear" w:color="000000" w:fill="000000"/>
          <w:lang w:val="en-US" w:eastAsia="zh-CN"/>
        </w:rPr>
      </w:pPr>
    </w:p>
    <w:p w14:paraId="2250FDD3">
      <w:pPr>
        <w:jc w:val="center"/>
        <w:rPr>
          <w:rFonts w:hint="eastAsia" w:eastAsiaTheme="minorEastAsia"/>
          <w:snapToGrid w:val="0"/>
          <w:w w:val="0"/>
          <w:sz w:val="0"/>
          <w:szCs w:val="0"/>
          <w:u w:color="000000"/>
          <w:shd w:val="clear" w:color="000000" w:fill="000000"/>
          <w:lang w:val="en-US" w:eastAsia="zh-CN"/>
        </w:rPr>
      </w:pPr>
    </w:p>
    <w:p w14:paraId="66F3CBAA">
      <w:pPr>
        <w:jc w:val="center"/>
        <w:rPr>
          <w:rFonts w:hint="eastAsia" w:eastAsiaTheme="minorEastAsia"/>
          <w:snapToGrid w:val="0"/>
          <w:w w:val="0"/>
          <w:sz w:val="0"/>
          <w:szCs w:val="0"/>
          <w:u w:color="000000"/>
          <w:shd w:val="clear" w:color="000000" w:fill="000000"/>
          <w:lang w:val="en-US" w:eastAsia="zh-CN"/>
        </w:rPr>
      </w:pPr>
    </w:p>
    <w:p w14:paraId="13698E70">
      <w:pPr>
        <w:bidi w:val="0"/>
        <w:rPr>
          <w:rFonts w:hint="eastAsia" w:ascii="Times New Roman" w:hAnsi="Times New Roman" w:eastAsia="宋体" w:cs="Times New Roman"/>
          <w:kern w:val="2"/>
          <w:sz w:val="21"/>
          <w:szCs w:val="24"/>
          <w:lang w:val="en-US" w:eastAsia="zh-CN" w:bidi="ar-SA"/>
        </w:rPr>
      </w:pPr>
    </w:p>
    <w:p w14:paraId="60BFD801">
      <w:pPr>
        <w:bidi w:val="0"/>
        <w:rPr>
          <w:rFonts w:hint="eastAsia"/>
          <w:lang w:val="en-US" w:eastAsia="zh-CN"/>
        </w:rPr>
      </w:pPr>
    </w:p>
    <w:p w14:paraId="2847D4B9">
      <w:pPr>
        <w:tabs>
          <w:tab w:val="left" w:pos="6092"/>
        </w:tabs>
        <w:bidi w:val="0"/>
        <w:jc w:val="left"/>
        <w:rPr>
          <w:rFonts w:hint="eastAsia"/>
          <w:lang w:val="en-US" w:eastAsia="zh-CN"/>
        </w:rPr>
      </w:pPr>
      <w:r>
        <w:rPr>
          <w:rFonts w:hint="eastAsia"/>
          <w:lang w:val="en-US" w:eastAsia="zh-CN"/>
        </w:rPr>
        <w:tab/>
      </w:r>
    </w:p>
    <w:p w14:paraId="62909D78">
      <w:pPr>
        <w:tabs>
          <w:tab w:val="left" w:pos="6092"/>
        </w:tabs>
        <w:bidi w:val="0"/>
        <w:jc w:val="left"/>
        <w:rPr>
          <w:rFonts w:hint="eastAsia"/>
          <w:lang w:val="en-US" w:eastAsia="zh-CN"/>
        </w:rPr>
      </w:pPr>
    </w:p>
    <w:p w14:paraId="48249ACE">
      <w:pPr>
        <w:tabs>
          <w:tab w:val="left" w:pos="6092"/>
        </w:tabs>
        <w:bidi w:val="0"/>
        <w:jc w:val="left"/>
        <w:rPr>
          <w:rFonts w:hint="eastAsia"/>
          <w:lang w:val="en-US" w:eastAsia="zh-CN"/>
        </w:rPr>
      </w:pPr>
    </w:p>
    <w:p w14:paraId="79BD1B4D">
      <w:pPr>
        <w:tabs>
          <w:tab w:val="left" w:pos="6092"/>
        </w:tabs>
        <w:bidi w:val="0"/>
        <w:jc w:val="left"/>
        <w:rPr>
          <w:rFonts w:hint="eastAsia"/>
          <w:lang w:val="en-US" w:eastAsia="zh-CN"/>
        </w:rPr>
      </w:pPr>
    </w:p>
    <w:p w14:paraId="3CA1723E">
      <w:pPr>
        <w:tabs>
          <w:tab w:val="left" w:pos="6092"/>
        </w:tabs>
        <w:bidi w:val="0"/>
        <w:jc w:val="left"/>
        <w:rPr>
          <w:rFonts w:hint="eastAsia"/>
          <w:lang w:val="en-US" w:eastAsia="zh-CN"/>
        </w:rPr>
      </w:pPr>
    </w:p>
    <w:p w14:paraId="30CEAEE8">
      <w:pPr>
        <w:tabs>
          <w:tab w:val="left" w:pos="6092"/>
        </w:tabs>
        <w:bidi w:val="0"/>
        <w:jc w:val="left"/>
        <w:rPr>
          <w:rFonts w:hint="eastAsia"/>
          <w:lang w:val="en-US" w:eastAsia="zh-CN"/>
        </w:rPr>
      </w:pPr>
    </w:p>
    <w:p w14:paraId="2FBA8201">
      <w:pPr>
        <w:tabs>
          <w:tab w:val="left" w:pos="6092"/>
        </w:tabs>
        <w:bidi w:val="0"/>
        <w:jc w:val="left"/>
        <w:rPr>
          <w:rFonts w:hint="eastAsia"/>
          <w:lang w:val="en-US" w:eastAsia="zh-CN"/>
        </w:rPr>
      </w:pPr>
    </w:p>
    <w:p w14:paraId="31712DAB">
      <w:pPr>
        <w:tabs>
          <w:tab w:val="left" w:pos="6092"/>
        </w:tabs>
        <w:bidi w:val="0"/>
        <w:jc w:val="left"/>
        <w:rPr>
          <w:rFonts w:hint="eastAsia"/>
          <w:lang w:val="en-US" w:eastAsia="zh-CN"/>
        </w:rPr>
      </w:pPr>
    </w:p>
    <w:p w14:paraId="14B75B6D">
      <w:pPr>
        <w:tabs>
          <w:tab w:val="left" w:pos="6092"/>
        </w:tabs>
        <w:bidi w:val="0"/>
        <w:jc w:val="left"/>
        <w:rPr>
          <w:rFonts w:hint="eastAsia"/>
          <w:lang w:val="en-US" w:eastAsia="zh-CN"/>
        </w:rPr>
      </w:pPr>
    </w:p>
    <w:p w14:paraId="490B5E74">
      <w:pPr>
        <w:tabs>
          <w:tab w:val="left" w:pos="6092"/>
        </w:tabs>
        <w:bidi w:val="0"/>
        <w:jc w:val="left"/>
        <w:rPr>
          <w:rFonts w:hint="eastAsia"/>
          <w:lang w:val="en-US" w:eastAsia="zh-CN"/>
        </w:rPr>
      </w:pPr>
      <w:r>
        <w:drawing>
          <wp:anchor distT="0" distB="0" distL="114300" distR="114300" simplePos="0" relativeHeight="251667456" behindDoc="1" locked="0" layoutInCell="1" allowOverlap="1">
            <wp:simplePos x="0" y="0"/>
            <wp:positionH relativeFrom="column">
              <wp:posOffset>-2325370</wp:posOffset>
            </wp:positionH>
            <wp:positionV relativeFrom="paragraph">
              <wp:posOffset>1428115</wp:posOffset>
            </wp:positionV>
            <wp:extent cx="10093960" cy="5800090"/>
            <wp:effectExtent l="0" t="0" r="10160" b="2540"/>
            <wp:wrapNone/>
            <wp:docPr id="1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5"/>
                    <pic:cNvPicPr>
                      <a:picLocks noChangeAspect="1"/>
                    </pic:cNvPicPr>
                  </pic:nvPicPr>
                  <pic:blipFill>
                    <a:blip r:embed="rId48"/>
                    <a:stretch>
                      <a:fillRect/>
                    </a:stretch>
                  </pic:blipFill>
                  <pic:spPr>
                    <a:xfrm rot="16200000">
                      <a:off x="0" y="0"/>
                      <a:ext cx="10093960" cy="5800090"/>
                    </a:xfrm>
                    <a:prstGeom prst="rect">
                      <a:avLst/>
                    </a:prstGeom>
                    <a:noFill/>
                    <a:ln>
                      <a:noFill/>
                    </a:ln>
                  </pic:spPr>
                </pic:pic>
              </a:graphicData>
            </a:graphic>
          </wp:anchor>
        </w:drawing>
      </w:r>
    </w:p>
    <w:p w14:paraId="0FDFE9E0">
      <w:pPr>
        <w:tabs>
          <w:tab w:val="left" w:pos="6092"/>
        </w:tabs>
        <w:bidi w:val="0"/>
        <w:jc w:val="left"/>
        <w:rPr>
          <w:rFonts w:hint="eastAsia"/>
          <w:lang w:val="en-US" w:eastAsia="zh-CN"/>
        </w:rPr>
      </w:pPr>
    </w:p>
    <w:p w14:paraId="715C2F44">
      <w:pPr>
        <w:tabs>
          <w:tab w:val="left" w:pos="6092"/>
        </w:tabs>
        <w:bidi w:val="0"/>
        <w:jc w:val="left"/>
        <w:rPr>
          <w:rFonts w:hint="eastAsia"/>
          <w:lang w:val="en-US" w:eastAsia="zh-CN"/>
        </w:rPr>
      </w:pPr>
    </w:p>
    <w:p w14:paraId="2F59D747">
      <w:pPr>
        <w:tabs>
          <w:tab w:val="left" w:pos="6092"/>
        </w:tabs>
        <w:bidi w:val="0"/>
        <w:jc w:val="left"/>
        <w:rPr>
          <w:rFonts w:hint="eastAsia"/>
          <w:lang w:val="en-US" w:eastAsia="zh-CN"/>
        </w:rPr>
      </w:pPr>
    </w:p>
    <w:p w14:paraId="7D138D01">
      <w:pPr>
        <w:tabs>
          <w:tab w:val="left" w:pos="6092"/>
        </w:tabs>
        <w:bidi w:val="0"/>
        <w:jc w:val="left"/>
        <w:rPr>
          <w:rFonts w:hint="eastAsia"/>
          <w:lang w:val="en-US" w:eastAsia="zh-CN"/>
        </w:rPr>
      </w:pPr>
    </w:p>
    <w:p w14:paraId="681F27F3">
      <w:pPr>
        <w:tabs>
          <w:tab w:val="left" w:pos="6092"/>
        </w:tabs>
        <w:bidi w:val="0"/>
        <w:jc w:val="left"/>
        <w:rPr>
          <w:rFonts w:hint="eastAsia"/>
          <w:lang w:val="en-US" w:eastAsia="zh-CN"/>
        </w:rPr>
      </w:pPr>
    </w:p>
    <w:p w14:paraId="60A99789">
      <w:pPr>
        <w:tabs>
          <w:tab w:val="left" w:pos="6092"/>
        </w:tabs>
        <w:bidi w:val="0"/>
        <w:jc w:val="left"/>
        <w:rPr>
          <w:rFonts w:hint="eastAsia"/>
          <w:lang w:val="en-US" w:eastAsia="zh-CN"/>
        </w:rPr>
      </w:pPr>
    </w:p>
    <w:p w14:paraId="39E04F8F">
      <w:pPr>
        <w:tabs>
          <w:tab w:val="left" w:pos="6092"/>
        </w:tabs>
        <w:bidi w:val="0"/>
        <w:jc w:val="left"/>
        <w:rPr>
          <w:rFonts w:hint="eastAsia"/>
          <w:lang w:val="en-US" w:eastAsia="zh-CN"/>
        </w:rPr>
      </w:pPr>
    </w:p>
    <w:p w14:paraId="5F575B5D">
      <w:pPr>
        <w:tabs>
          <w:tab w:val="left" w:pos="6092"/>
        </w:tabs>
        <w:bidi w:val="0"/>
        <w:jc w:val="left"/>
        <w:rPr>
          <w:rFonts w:hint="eastAsia"/>
          <w:lang w:val="en-US" w:eastAsia="zh-CN"/>
        </w:rPr>
      </w:pPr>
    </w:p>
    <w:p w14:paraId="1D0D2A1E">
      <w:pPr>
        <w:tabs>
          <w:tab w:val="left" w:pos="6092"/>
        </w:tabs>
        <w:bidi w:val="0"/>
        <w:jc w:val="left"/>
        <w:rPr>
          <w:rFonts w:hint="eastAsia"/>
          <w:lang w:val="en-US" w:eastAsia="zh-CN"/>
        </w:rPr>
      </w:pPr>
    </w:p>
    <w:p w14:paraId="6147CC75">
      <w:pPr>
        <w:tabs>
          <w:tab w:val="left" w:pos="6092"/>
        </w:tabs>
        <w:bidi w:val="0"/>
        <w:jc w:val="left"/>
        <w:rPr>
          <w:rFonts w:hint="eastAsia"/>
          <w:lang w:val="en-US" w:eastAsia="zh-CN"/>
        </w:rPr>
      </w:pPr>
    </w:p>
    <w:p w14:paraId="62A2A2D9">
      <w:pPr>
        <w:tabs>
          <w:tab w:val="left" w:pos="6092"/>
        </w:tabs>
        <w:bidi w:val="0"/>
        <w:jc w:val="left"/>
        <w:rPr>
          <w:rFonts w:hint="eastAsia"/>
          <w:lang w:val="en-US" w:eastAsia="zh-CN"/>
        </w:rPr>
      </w:pPr>
    </w:p>
    <w:p w14:paraId="5015C7DE">
      <w:pPr>
        <w:tabs>
          <w:tab w:val="left" w:pos="6092"/>
        </w:tabs>
        <w:bidi w:val="0"/>
        <w:jc w:val="left"/>
        <w:rPr>
          <w:rFonts w:hint="eastAsia"/>
          <w:lang w:val="en-US" w:eastAsia="zh-CN"/>
        </w:rPr>
      </w:pPr>
    </w:p>
    <w:p w14:paraId="24F74B17">
      <w:pPr>
        <w:tabs>
          <w:tab w:val="left" w:pos="6092"/>
        </w:tabs>
        <w:bidi w:val="0"/>
        <w:jc w:val="left"/>
        <w:rPr>
          <w:rFonts w:hint="eastAsia"/>
          <w:lang w:val="en-US" w:eastAsia="zh-CN"/>
        </w:rPr>
      </w:pPr>
    </w:p>
    <w:p w14:paraId="4D578578">
      <w:pPr>
        <w:tabs>
          <w:tab w:val="left" w:pos="6092"/>
        </w:tabs>
        <w:bidi w:val="0"/>
        <w:jc w:val="left"/>
        <w:rPr>
          <w:rFonts w:hint="eastAsia"/>
          <w:lang w:val="en-US" w:eastAsia="zh-CN"/>
        </w:rPr>
      </w:pPr>
    </w:p>
    <w:p w14:paraId="4C4E99DA">
      <w:pPr>
        <w:tabs>
          <w:tab w:val="left" w:pos="6092"/>
        </w:tabs>
        <w:bidi w:val="0"/>
        <w:jc w:val="left"/>
        <w:rPr>
          <w:rFonts w:hint="eastAsia"/>
          <w:lang w:val="en-US" w:eastAsia="zh-CN"/>
        </w:rPr>
      </w:pPr>
    </w:p>
    <w:p w14:paraId="690FB1AF">
      <w:pPr>
        <w:tabs>
          <w:tab w:val="left" w:pos="6092"/>
        </w:tabs>
        <w:bidi w:val="0"/>
        <w:jc w:val="left"/>
        <w:rPr>
          <w:rFonts w:hint="eastAsia"/>
          <w:lang w:val="en-US" w:eastAsia="zh-CN"/>
        </w:rPr>
      </w:pPr>
    </w:p>
    <w:p w14:paraId="0E4BAF7C">
      <w:pPr>
        <w:tabs>
          <w:tab w:val="left" w:pos="6092"/>
        </w:tabs>
        <w:bidi w:val="0"/>
        <w:jc w:val="left"/>
        <w:rPr>
          <w:rFonts w:hint="eastAsia"/>
          <w:lang w:val="en-US" w:eastAsia="zh-CN"/>
        </w:rPr>
      </w:pPr>
    </w:p>
    <w:p w14:paraId="5140E8BF">
      <w:pPr>
        <w:tabs>
          <w:tab w:val="left" w:pos="6092"/>
        </w:tabs>
        <w:bidi w:val="0"/>
        <w:jc w:val="left"/>
        <w:rPr>
          <w:rFonts w:hint="eastAsia"/>
          <w:lang w:val="en-US" w:eastAsia="zh-CN"/>
        </w:rPr>
      </w:pPr>
    </w:p>
    <w:p w14:paraId="7977ED45">
      <w:pPr>
        <w:tabs>
          <w:tab w:val="left" w:pos="6092"/>
        </w:tabs>
        <w:bidi w:val="0"/>
        <w:jc w:val="left"/>
        <w:rPr>
          <w:rFonts w:hint="eastAsia"/>
          <w:lang w:val="en-US" w:eastAsia="zh-CN"/>
        </w:rPr>
      </w:pPr>
    </w:p>
    <w:p w14:paraId="2B4EE7A8">
      <w:pPr>
        <w:tabs>
          <w:tab w:val="left" w:pos="6092"/>
        </w:tabs>
        <w:bidi w:val="0"/>
        <w:jc w:val="left"/>
        <w:rPr>
          <w:rFonts w:hint="eastAsia"/>
          <w:lang w:val="en-US" w:eastAsia="zh-CN"/>
        </w:rPr>
      </w:pPr>
    </w:p>
    <w:p w14:paraId="177F0194">
      <w:pPr>
        <w:tabs>
          <w:tab w:val="left" w:pos="6092"/>
        </w:tabs>
        <w:bidi w:val="0"/>
        <w:jc w:val="left"/>
        <w:rPr>
          <w:rFonts w:hint="eastAsia"/>
          <w:lang w:val="en-US" w:eastAsia="zh-CN"/>
        </w:rPr>
      </w:pPr>
    </w:p>
    <w:p w14:paraId="6A505252">
      <w:pPr>
        <w:tabs>
          <w:tab w:val="left" w:pos="6092"/>
        </w:tabs>
        <w:bidi w:val="0"/>
        <w:jc w:val="left"/>
        <w:rPr>
          <w:rFonts w:hint="eastAsia"/>
          <w:lang w:val="en-US" w:eastAsia="zh-CN"/>
        </w:rPr>
      </w:pPr>
    </w:p>
    <w:p w14:paraId="42295C9E">
      <w:pPr>
        <w:tabs>
          <w:tab w:val="left" w:pos="6092"/>
        </w:tabs>
        <w:bidi w:val="0"/>
        <w:jc w:val="left"/>
        <w:rPr>
          <w:rFonts w:hint="eastAsia"/>
          <w:lang w:val="en-US" w:eastAsia="zh-CN"/>
        </w:rPr>
      </w:pPr>
    </w:p>
    <w:p w14:paraId="640D47DC">
      <w:pPr>
        <w:tabs>
          <w:tab w:val="left" w:pos="6092"/>
        </w:tabs>
        <w:bidi w:val="0"/>
        <w:jc w:val="left"/>
        <w:rPr>
          <w:rFonts w:hint="eastAsia"/>
          <w:lang w:val="en-US" w:eastAsia="zh-CN"/>
        </w:rPr>
      </w:pPr>
    </w:p>
    <w:p w14:paraId="2C126FDB">
      <w:pPr>
        <w:tabs>
          <w:tab w:val="left" w:pos="6092"/>
        </w:tabs>
        <w:bidi w:val="0"/>
        <w:jc w:val="left"/>
        <w:rPr>
          <w:rFonts w:hint="eastAsia"/>
          <w:lang w:val="en-US" w:eastAsia="zh-CN"/>
        </w:rPr>
      </w:pPr>
    </w:p>
    <w:p w14:paraId="3319D3EE">
      <w:pPr>
        <w:tabs>
          <w:tab w:val="left" w:pos="6092"/>
        </w:tabs>
        <w:bidi w:val="0"/>
        <w:jc w:val="left"/>
        <w:rPr>
          <w:rFonts w:hint="eastAsia"/>
          <w:lang w:val="en-US" w:eastAsia="zh-CN"/>
        </w:rPr>
      </w:pPr>
    </w:p>
    <w:p w14:paraId="02F28FA4">
      <w:pPr>
        <w:tabs>
          <w:tab w:val="left" w:pos="6092"/>
        </w:tabs>
        <w:bidi w:val="0"/>
        <w:jc w:val="left"/>
        <w:rPr>
          <w:rFonts w:hint="eastAsia"/>
          <w:lang w:val="en-US" w:eastAsia="zh-CN"/>
        </w:rPr>
      </w:pPr>
    </w:p>
    <w:p w14:paraId="5601E4B6">
      <w:pPr>
        <w:tabs>
          <w:tab w:val="left" w:pos="6092"/>
        </w:tabs>
        <w:bidi w:val="0"/>
        <w:jc w:val="left"/>
        <w:rPr>
          <w:rFonts w:hint="eastAsia"/>
          <w:lang w:val="en-US" w:eastAsia="zh-CN"/>
        </w:rPr>
      </w:pPr>
    </w:p>
    <w:p w14:paraId="4E0E7B1C">
      <w:pPr>
        <w:tabs>
          <w:tab w:val="left" w:pos="6092"/>
        </w:tabs>
        <w:bidi w:val="0"/>
        <w:jc w:val="left"/>
        <w:rPr>
          <w:rFonts w:hint="eastAsia"/>
          <w:lang w:val="en-US" w:eastAsia="zh-CN"/>
        </w:rPr>
      </w:pPr>
    </w:p>
    <w:p w14:paraId="6F8E025B">
      <w:pPr>
        <w:tabs>
          <w:tab w:val="left" w:pos="6092"/>
        </w:tabs>
        <w:bidi w:val="0"/>
        <w:jc w:val="left"/>
        <w:rPr>
          <w:rFonts w:hint="eastAsia"/>
          <w:lang w:val="en-US" w:eastAsia="zh-CN"/>
        </w:rPr>
      </w:pPr>
    </w:p>
    <w:p w14:paraId="22DC6D50">
      <w:pPr>
        <w:tabs>
          <w:tab w:val="left" w:pos="6092"/>
        </w:tabs>
        <w:bidi w:val="0"/>
        <w:jc w:val="left"/>
        <w:rPr>
          <w:rFonts w:hint="eastAsia"/>
          <w:lang w:val="en-US" w:eastAsia="zh-CN"/>
        </w:rPr>
      </w:pPr>
    </w:p>
    <w:p w14:paraId="7B2C7D3A">
      <w:pPr>
        <w:tabs>
          <w:tab w:val="left" w:pos="6092"/>
        </w:tabs>
        <w:bidi w:val="0"/>
        <w:jc w:val="left"/>
        <w:rPr>
          <w:rFonts w:hint="eastAsia"/>
          <w:lang w:val="en-US" w:eastAsia="zh-CN"/>
        </w:rPr>
      </w:pPr>
    </w:p>
    <w:p w14:paraId="3211602A">
      <w:pPr>
        <w:tabs>
          <w:tab w:val="left" w:pos="6092"/>
        </w:tabs>
        <w:bidi w:val="0"/>
        <w:jc w:val="left"/>
        <w:rPr>
          <w:rFonts w:hint="eastAsia"/>
          <w:lang w:val="en-US" w:eastAsia="zh-CN"/>
        </w:rPr>
      </w:pPr>
    </w:p>
    <w:p w14:paraId="285B0FA6">
      <w:pPr>
        <w:tabs>
          <w:tab w:val="left" w:pos="6092"/>
        </w:tabs>
        <w:bidi w:val="0"/>
        <w:jc w:val="left"/>
        <w:rPr>
          <w:rFonts w:hint="eastAsia"/>
          <w:lang w:val="en-US" w:eastAsia="zh-CN"/>
        </w:rPr>
      </w:pPr>
    </w:p>
    <w:p w14:paraId="218A94C4">
      <w:pPr>
        <w:tabs>
          <w:tab w:val="left" w:pos="6092"/>
        </w:tabs>
        <w:bidi w:val="0"/>
        <w:jc w:val="left"/>
        <w:rPr>
          <w:rFonts w:hint="eastAsia"/>
          <w:lang w:val="en-US" w:eastAsia="zh-CN"/>
        </w:rPr>
      </w:pPr>
    </w:p>
    <w:p w14:paraId="34C8145D">
      <w:pPr>
        <w:tabs>
          <w:tab w:val="left" w:pos="6092"/>
        </w:tabs>
        <w:bidi w:val="0"/>
        <w:jc w:val="left"/>
        <w:rPr>
          <w:rFonts w:hint="eastAsia"/>
          <w:lang w:val="en-US" w:eastAsia="zh-CN"/>
        </w:rPr>
      </w:pPr>
    </w:p>
    <w:p w14:paraId="735F5AA2">
      <w:pPr>
        <w:tabs>
          <w:tab w:val="left" w:pos="6092"/>
        </w:tabs>
        <w:bidi w:val="0"/>
        <w:jc w:val="left"/>
        <w:rPr>
          <w:rFonts w:hint="eastAsia"/>
          <w:lang w:val="en-US" w:eastAsia="zh-CN"/>
        </w:rPr>
      </w:pPr>
    </w:p>
    <w:p w14:paraId="1D5D5BBB">
      <w:pPr>
        <w:tabs>
          <w:tab w:val="left" w:pos="6092"/>
        </w:tabs>
        <w:bidi w:val="0"/>
        <w:jc w:val="left"/>
        <w:rPr>
          <w:rFonts w:hint="eastAsia"/>
          <w:lang w:val="en-US" w:eastAsia="zh-CN"/>
        </w:rPr>
      </w:pPr>
    </w:p>
    <w:p w14:paraId="3D5EC525">
      <w:pPr>
        <w:tabs>
          <w:tab w:val="left" w:pos="6092"/>
        </w:tabs>
        <w:bidi w:val="0"/>
        <w:jc w:val="left"/>
        <w:rPr>
          <w:rFonts w:hint="eastAsia"/>
          <w:lang w:val="en-US" w:eastAsia="zh-CN"/>
        </w:rPr>
      </w:pPr>
    </w:p>
    <w:p w14:paraId="477D0531">
      <w:pPr>
        <w:tabs>
          <w:tab w:val="left" w:pos="6092"/>
        </w:tabs>
        <w:bidi w:val="0"/>
        <w:jc w:val="left"/>
        <w:rPr>
          <w:rFonts w:hint="eastAsia"/>
          <w:lang w:val="en-US" w:eastAsia="zh-CN"/>
        </w:rPr>
      </w:pPr>
    </w:p>
    <w:p w14:paraId="357D4693">
      <w:pPr>
        <w:tabs>
          <w:tab w:val="left" w:pos="6092"/>
        </w:tabs>
        <w:bidi w:val="0"/>
        <w:jc w:val="left"/>
        <w:rPr>
          <w:rFonts w:hint="eastAsia"/>
          <w:lang w:val="en-US" w:eastAsia="zh-CN"/>
        </w:rPr>
      </w:pPr>
    </w:p>
    <w:p w14:paraId="4EF83164">
      <w:pPr>
        <w:tabs>
          <w:tab w:val="left" w:pos="6092"/>
        </w:tabs>
        <w:bidi w:val="0"/>
        <w:jc w:val="left"/>
        <w:rPr>
          <w:rFonts w:hint="eastAsia"/>
          <w:lang w:val="en-US" w:eastAsia="zh-CN"/>
        </w:rPr>
      </w:pPr>
    </w:p>
    <w:p w14:paraId="137272A2">
      <w:pPr>
        <w:tabs>
          <w:tab w:val="left" w:pos="6092"/>
        </w:tabs>
        <w:bidi w:val="0"/>
        <w:jc w:val="left"/>
        <w:rPr>
          <w:rFonts w:hint="eastAsia"/>
          <w:lang w:val="en-US" w:eastAsia="zh-CN"/>
        </w:rPr>
      </w:pPr>
    </w:p>
    <w:p w14:paraId="3EBE1230">
      <w:pPr>
        <w:tabs>
          <w:tab w:val="left" w:pos="6092"/>
        </w:tabs>
        <w:bidi w:val="0"/>
        <w:jc w:val="left"/>
        <w:rPr>
          <w:rFonts w:hint="eastAsia"/>
          <w:lang w:val="en-US" w:eastAsia="zh-CN"/>
        </w:rPr>
      </w:pPr>
    </w:p>
    <w:p w14:paraId="24813119">
      <w:pPr>
        <w:tabs>
          <w:tab w:val="left" w:pos="6092"/>
        </w:tabs>
        <w:bidi w:val="0"/>
        <w:jc w:val="left"/>
        <w:rPr>
          <w:rFonts w:hint="eastAsia"/>
          <w:lang w:val="en-US" w:eastAsia="zh-CN"/>
        </w:rPr>
      </w:pPr>
      <w:r>
        <w:rPr>
          <w:rFonts w:hint="eastAsia"/>
          <w:lang w:val="en-US" w:eastAsia="zh-CN"/>
        </w:rPr>
        <w:drawing>
          <wp:inline distT="0" distB="0" distL="114300" distR="114300">
            <wp:extent cx="5269865" cy="7247255"/>
            <wp:effectExtent l="0" t="0" r="6985" b="10795"/>
            <wp:docPr id="30" name="图片 30" descr="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001"/>
                    <pic:cNvPicPr>
                      <a:picLocks noChangeAspect="1"/>
                    </pic:cNvPicPr>
                  </pic:nvPicPr>
                  <pic:blipFill>
                    <a:blip r:embed="rId49"/>
                    <a:stretch>
                      <a:fillRect/>
                    </a:stretch>
                  </pic:blipFill>
                  <pic:spPr>
                    <a:xfrm>
                      <a:off x="0" y="0"/>
                      <a:ext cx="5269865" cy="7247255"/>
                    </a:xfrm>
                    <a:prstGeom prst="rect">
                      <a:avLst/>
                    </a:prstGeom>
                  </pic:spPr>
                </pic:pic>
              </a:graphicData>
            </a:graphic>
          </wp:inline>
        </w:drawing>
      </w:r>
      <w:r>
        <w:rPr>
          <w:rFonts w:hint="eastAsia"/>
          <w:lang w:val="en-US" w:eastAsia="zh-CN"/>
        </w:rPr>
        <w:drawing>
          <wp:inline distT="0" distB="0" distL="114300" distR="114300">
            <wp:extent cx="5269865" cy="7247255"/>
            <wp:effectExtent l="0" t="0" r="6985" b="10795"/>
            <wp:docPr id="29" name="图片 29" descr="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002"/>
                    <pic:cNvPicPr>
                      <a:picLocks noChangeAspect="1"/>
                    </pic:cNvPicPr>
                  </pic:nvPicPr>
                  <pic:blipFill>
                    <a:blip r:embed="rId50"/>
                    <a:stretch>
                      <a:fillRect/>
                    </a:stretch>
                  </pic:blipFill>
                  <pic:spPr>
                    <a:xfrm>
                      <a:off x="0" y="0"/>
                      <a:ext cx="5269865" cy="7247255"/>
                    </a:xfrm>
                    <a:prstGeom prst="rect">
                      <a:avLst/>
                    </a:prstGeom>
                  </pic:spPr>
                </pic:pic>
              </a:graphicData>
            </a:graphic>
          </wp:inline>
        </w:drawing>
      </w:r>
      <w:r>
        <w:rPr>
          <w:rFonts w:hint="eastAsia"/>
          <w:lang w:val="en-US" w:eastAsia="zh-CN"/>
        </w:rPr>
        <w:drawing>
          <wp:inline distT="0" distB="0" distL="114300" distR="114300">
            <wp:extent cx="5269865" cy="7247255"/>
            <wp:effectExtent l="0" t="0" r="6985" b="10795"/>
            <wp:docPr id="28" name="图片 28" descr="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003"/>
                    <pic:cNvPicPr>
                      <a:picLocks noChangeAspect="1"/>
                    </pic:cNvPicPr>
                  </pic:nvPicPr>
                  <pic:blipFill>
                    <a:blip r:embed="rId51"/>
                    <a:stretch>
                      <a:fillRect/>
                    </a:stretch>
                  </pic:blipFill>
                  <pic:spPr>
                    <a:xfrm>
                      <a:off x="0" y="0"/>
                      <a:ext cx="5269865" cy="7247255"/>
                    </a:xfrm>
                    <a:prstGeom prst="rect">
                      <a:avLst/>
                    </a:prstGeom>
                  </pic:spPr>
                </pic:pic>
              </a:graphicData>
            </a:graphic>
          </wp:inline>
        </w:drawing>
      </w:r>
      <w:r>
        <w:rPr>
          <w:rFonts w:hint="eastAsia"/>
          <w:lang w:val="en-US" w:eastAsia="zh-CN"/>
        </w:rPr>
        <w:drawing>
          <wp:inline distT="0" distB="0" distL="114300" distR="114300">
            <wp:extent cx="5269865" cy="7247255"/>
            <wp:effectExtent l="0" t="0" r="6985" b="10795"/>
            <wp:docPr id="16" name="图片 16"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004"/>
                    <pic:cNvPicPr>
                      <a:picLocks noChangeAspect="1"/>
                    </pic:cNvPicPr>
                  </pic:nvPicPr>
                  <pic:blipFill>
                    <a:blip r:embed="rId52"/>
                    <a:stretch>
                      <a:fillRect/>
                    </a:stretch>
                  </pic:blipFill>
                  <pic:spPr>
                    <a:xfrm>
                      <a:off x="0" y="0"/>
                      <a:ext cx="5269865" cy="7247255"/>
                    </a:xfrm>
                    <a:prstGeom prst="rect">
                      <a:avLst/>
                    </a:prstGeom>
                  </pic:spPr>
                </pic:pic>
              </a:graphicData>
            </a:graphic>
          </wp:inline>
        </w:drawing>
      </w:r>
    </w:p>
    <w:p w14:paraId="16E22BD8">
      <w:pPr>
        <w:tabs>
          <w:tab w:val="left" w:pos="6092"/>
        </w:tabs>
        <w:bidi w:val="0"/>
        <w:jc w:val="left"/>
        <w:rPr>
          <w:rFonts w:hint="eastAsia"/>
          <w:lang w:val="en-US" w:eastAsia="zh-CN"/>
        </w:rPr>
      </w:pPr>
    </w:p>
    <w:p w14:paraId="7BC2F99E">
      <w:pPr>
        <w:tabs>
          <w:tab w:val="left" w:pos="6092"/>
        </w:tabs>
        <w:bidi w:val="0"/>
        <w:jc w:val="left"/>
        <w:rPr>
          <w:rFonts w:hint="eastAsia"/>
          <w:lang w:val="en-US" w:eastAsia="zh-CN"/>
        </w:rPr>
      </w:pPr>
    </w:p>
    <w:p w14:paraId="48A3A064">
      <w:pPr>
        <w:tabs>
          <w:tab w:val="left" w:pos="6092"/>
        </w:tabs>
        <w:bidi w:val="0"/>
        <w:jc w:val="left"/>
        <w:rPr>
          <w:rFonts w:hint="eastAsia"/>
          <w:lang w:val="en-US" w:eastAsia="zh-CN"/>
        </w:rPr>
      </w:pPr>
    </w:p>
    <w:p w14:paraId="16A6CFB8">
      <w:pPr>
        <w:tabs>
          <w:tab w:val="left" w:pos="6092"/>
        </w:tabs>
        <w:bidi w:val="0"/>
        <w:jc w:val="left"/>
        <w:rPr>
          <w:rFonts w:hint="eastAsia"/>
          <w:lang w:val="en-US" w:eastAsia="zh-CN"/>
        </w:rPr>
      </w:pPr>
    </w:p>
    <w:p w14:paraId="3755A6DD">
      <w:pPr>
        <w:tabs>
          <w:tab w:val="left" w:pos="6092"/>
        </w:tabs>
        <w:bidi w:val="0"/>
        <w:jc w:val="left"/>
        <w:rPr>
          <w:rFonts w:hint="eastAsia"/>
          <w:lang w:val="en-US" w:eastAsia="zh-CN"/>
        </w:rPr>
      </w:pPr>
    </w:p>
    <w:p w14:paraId="637456AC">
      <w:pPr>
        <w:tabs>
          <w:tab w:val="left" w:pos="6092"/>
        </w:tabs>
        <w:bidi w:val="0"/>
        <w:jc w:val="left"/>
        <w:rPr>
          <w:rFonts w:hint="eastAsia"/>
          <w:lang w:val="en-US" w:eastAsia="zh-CN"/>
        </w:rPr>
      </w:pPr>
    </w:p>
    <w:p w14:paraId="5504C05E">
      <w:pPr>
        <w:tabs>
          <w:tab w:val="left" w:pos="6092"/>
        </w:tabs>
        <w:bidi w:val="0"/>
        <w:jc w:val="left"/>
        <w:rPr>
          <w:rFonts w:hint="eastAsia"/>
          <w:lang w:val="en-US" w:eastAsia="zh-CN"/>
        </w:rPr>
      </w:pPr>
    </w:p>
    <w:p w14:paraId="6C574ED6">
      <w:pPr>
        <w:tabs>
          <w:tab w:val="left" w:pos="6092"/>
        </w:tabs>
        <w:bidi w:val="0"/>
        <w:jc w:val="left"/>
        <w:rPr>
          <w:rFonts w:hint="eastAsia"/>
          <w:lang w:val="en-US" w:eastAsia="zh-CN"/>
        </w:rPr>
      </w:pPr>
      <w:r>
        <w:drawing>
          <wp:inline distT="0" distB="0" distL="114300" distR="114300">
            <wp:extent cx="5923280" cy="8474075"/>
            <wp:effectExtent l="0" t="0" r="1270" b="3175"/>
            <wp:docPr id="3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
                    <pic:cNvPicPr>
                      <a:picLocks noChangeAspect="1"/>
                    </pic:cNvPicPr>
                  </pic:nvPicPr>
                  <pic:blipFill>
                    <a:blip r:embed="rId53"/>
                    <a:stretch>
                      <a:fillRect/>
                    </a:stretch>
                  </pic:blipFill>
                  <pic:spPr>
                    <a:xfrm>
                      <a:off x="0" y="0"/>
                      <a:ext cx="5923280" cy="8474075"/>
                    </a:xfrm>
                    <a:prstGeom prst="rect">
                      <a:avLst/>
                    </a:prstGeom>
                    <a:noFill/>
                    <a:ln>
                      <a:noFill/>
                    </a:ln>
                  </pic:spPr>
                </pic:pic>
              </a:graphicData>
            </a:graphic>
          </wp:inline>
        </w:drawing>
      </w:r>
      <w:r>
        <w:drawing>
          <wp:inline distT="0" distB="0" distL="114300" distR="114300">
            <wp:extent cx="5937885" cy="8288020"/>
            <wp:effectExtent l="0" t="0" r="5715" b="17780"/>
            <wp:docPr id="3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4"/>
                    <pic:cNvPicPr>
                      <a:picLocks noChangeAspect="1"/>
                    </pic:cNvPicPr>
                  </pic:nvPicPr>
                  <pic:blipFill>
                    <a:blip r:embed="rId54"/>
                    <a:stretch>
                      <a:fillRect/>
                    </a:stretch>
                  </pic:blipFill>
                  <pic:spPr>
                    <a:xfrm>
                      <a:off x="0" y="0"/>
                      <a:ext cx="5937885" cy="8288020"/>
                    </a:xfrm>
                    <a:prstGeom prst="rect">
                      <a:avLst/>
                    </a:prstGeom>
                    <a:noFill/>
                    <a:ln>
                      <a:noFill/>
                    </a:ln>
                  </pic:spPr>
                </pic:pic>
              </a:graphicData>
            </a:graphic>
          </wp:inline>
        </w:drawing>
      </w:r>
      <w:r>
        <w:drawing>
          <wp:inline distT="0" distB="0" distL="114300" distR="114300">
            <wp:extent cx="6151245" cy="8763635"/>
            <wp:effectExtent l="0" t="0" r="1905" b="18415"/>
            <wp:docPr id="3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5"/>
                    <pic:cNvPicPr>
                      <a:picLocks noChangeAspect="1"/>
                    </pic:cNvPicPr>
                  </pic:nvPicPr>
                  <pic:blipFill>
                    <a:blip r:embed="rId55"/>
                    <a:stretch>
                      <a:fillRect/>
                    </a:stretch>
                  </pic:blipFill>
                  <pic:spPr>
                    <a:xfrm>
                      <a:off x="0" y="0"/>
                      <a:ext cx="6151245" cy="8763635"/>
                    </a:xfrm>
                    <a:prstGeom prst="rect">
                      <a:avLst/>
                    </a:prstGeom>
                    <a:noFill/>
                    <a:ln>
                      <a:noFill/>
                    </a:ln>
                  </pic:spPr>
                </pic:pic>
              </a:graphicData>
            </a:graphic>
          </wp:inline>
        </w:drawing>
      </w:r>
      <w:r>
        <w:drawing>
          <wp:inline distT="0" distB="0" distL="114300" distR="114300">
            <wp:extent cx="5798185" cy="8326755"/>
            <wp:effectExtent l="0" t="0" r="12065" b="17145"/>
            <wp:docPr id="3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6"/>
                    <pic:cNvPicPr>
                      <a:picLocks noChangeAspect="1"/>
                    </pic:cNvPicPr>
                  </pic:nvPicPr>
                  <pic:blipFill>
                    <a:blip r:embed="rId56"/>
                    <a:stretch>
                      <a:fillRect/>
                    </a:stretch>
                  </pic:blipFill>
                  <pic:spPr>
                    <a:xfrm>
                      <a:off x="0" y="0"/>
                      <a:ext cx="5798185" cy="8326755"/>
                    </a:xfrm>
                    <a:prstGeom prst="rect">
                      <a:avLst/>
                    </a:prstGeom>
                    <a:noFill/>
                    <a:ln>
                      <a:noFill/>
                    </a:ln>
                  </pic:spPr>
                </pic:pic>
              </a:graphicData>
            </a:graphic>
          </wp:inline>
        </w:drawing>
      </w:r>
    </w:p>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0"/>
    <w:family w:val="roman"/>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2A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楷体_GB2312">
    <w:altName w:val="楷体"/>
    <w:panose1 w:val="00000000000000000000"/>
    <w:charset w:val="86"/>
    <w:family w:val="modern"/>
    <w:pitch w:val="default"/>
    <w:sig w:usb0="00000000" w:usb1="00000000" w:usb2="00000010" w:usb3="00000000" w:csb0="00040000" w:csb1="00000000"/>
  </w:font>
  <w:font w:name="仿宋_GB2312">
    <w:altName w:val="仿宋"/>
    <w:panose1 w:val="02010609030101010101"/>
    <w:charset w:val="86"/>
    <w:family w:val="modern"/>
    <w:pitch w:val="default"/>
    <w:sig w:usb0="00000000" w:usb1="00000000" w:usb2="00000000" w:usb3="00000000" w:csb0="00040000" w:csb1="00000000"/>
  </w:font>
  <w:font w:name="Arial Unicode MS">
    <w:panose1 w:val="020B0604020202020204"/>
    <w:charset w:val="86"/>
    <w:family w:val="swiss"/>
    <w:pitch w:val="default"/>
    <w:sig w:usb0="FFFFFFFF" w:usb1="E9FFFFFF" w:usb2="0000003F" w:usb3="00000000" w:csb0="603F01FF" w:csb1="FFFF0000"/>
  </w:font>
  <w:font w:name="Tahoma">
    <w:panose1 w:val="020B0604030504040204"/>
    <w:charset w:val="00"/>
    <w:family w:val="swiss"/>
    <w:pitch w:val="default"/>
    <w:sig w:usb0="E1002EFF" w:usb1="C000605B" w:usb2="00000029" w:usb3="00000000" w:csb0="200101FF" w:csb1="20280000"/>
  </w:font>
  <w:font w:name="仿宋_GB2312)">
    <w:altName w:val="宋体"/>
    <w:panose1 w:val="00000000000000000000"/>
    <w:charset w:val="86"/>
    <w:family w:val="roman"/>
    <w:pitch w:val="default"/>
    <w:sig w:usb0="00000000" w:usb1="00000000" w:usb2="00000000" w:usb3="00000000" w:csb0="00000000" w:csb1="00000000"/>
  </w:font>
  <w:font w:name="Arial Narrow">
    <w:panose1 w:val="020B0606020202030204"/>
    <w:charset w:val="00"/>
    <w:family w:val="swiss"/>
    <w:pitch w:val="default"/>
    <w:sig w:usb0="00000287" w:usb1="00000800" w:usb2="00000000" w:usb3="00000000" w:csb0="2000009F" w:csb1="DFD70000"/>
  </w:font>
  <w:font w:name="华文中宋">
    <w:panose1 w:val="02010600040101010101"/>
    <w:charset w:val="86"/>
    <w:family w:val="auto"/>
    <w:pitch w:val="default"/>
    <w:sig w:usb0="00000287" w:usb1="080F0000" w:usb2="00000000" w:usb3="00000000" w:csb0="0004009F" w:csb1="DFD70000"/>
  </w:font>
  <w:font w:name="隶书">
    <w:panose1 w:val="02010509060101010101"/>
    <w:charset w:val="86"/>
    <w:family w:val="modern"/>
    <w:pitch w:val="default"/>
    <w:sig w:usb0="00000001" w:usb1="080E0000" w:usb2="00000000" w:usb3="00000000" w:csb0="00040000" w:csb1="00000000"/>
  </w:font>
  <w:font w:name="Tms Rmn">
    <w:altName w:val="Segoe Print"/>
    <w:panose1 w:val="02020603040505020304"/>
    <w:charset w:val="00"/>
    <w:family w:val="roman"/>
    <w:pitch w:val="default"/>
    <w:sig w:usb0="00000000" w:usb1="00000000" w:usb2="00000000" w:usb3="00000000" w:csb0="00000001" w:csb1="00000000"/>
  </w:font>
  <w:font w:name="Verdana">
    <w:panose1 w:val="020B0604030504040204"/>
    <w:charset w:val="00"/>
    <w:family w:val="swiss"/>
    <w:pitch w:val="default"/>
    <w:sig w:usb0="A00006FF" w:usb1="4000205B" w:usb2="00000010" w:usb3="00000000" w:csb0="2000019F" w:csb1="00000000"/>
  </w:font>
  <w:font w:name="方正小标宋_GBK">
    <w:altName w:val="微软雅黑"/>
    <w:panose1 w:val="00000000000000000000"/>
    <w:charset w:val="86"/>
    <w:family w:val="script"/>
    <w:pitch w:val="default"/>
    <w:sig w:usb0="00000000" w:usb1="00000000" w:usb2="00082016" w:usb3="00000000" w:csb0="00040001" w:csb1="00000000"/>
  </w:font>
  <w:font w:name="仿宋">
    <w:panose1 w:val="02010609060101010101"/>
    <w:charset w:val="86"/>
    <w:family w:val="modern"/>
    <w:pitch w:val="default"/>
    <w:sig w:usb0="800002BF" w:usb1="38CF7CFA" w:usb2="00000016" w:usb3="00000000" w:csb0="00040001" w:csb1="00000000"/>
  </w:font>
  <w:font w:name="Wingdings 2">
    <w:panose1 w:val="05020102010507070707"/>
    <w:charset w:val="02"/>
    <w:family w:val="roman"/>
    <w:pitch w:val="default"/>
    <w:sig w:usb0="00000000" w:usb1="00000000" w:usb2="00000000" w:usb3="00000000" w:csb0="80000000" w:csb1="00000000"/>
  </w:font>
  <w:font w:name="微软雅黑">
    <w:panose1 w:val="020B0503020204020204"/>
    <w:charset w:val="86"/>
    <w:family w:val="auto"/>
    <w:pitch w:val="default"/>
    <w:sig w:usb0="80000287" w:usb1="2ACF3C50" w:usb2="00000016" w:usb3="00000000" w:csb0="0004001F"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D0A282">
    <w:pPr>
      <w:pStyle w:val="30"/>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04970B6">
    <w:pPr>
      <w:pStyle w:val="30"/>
      <w:ind w:right="360" w:firstLine="360"/>
      <w:jc w:val="center"/>
    </w:pPr>
    <w:r>
      <w:rPr>
        <w:sz w:val="18"/>
      </w:rPr>
      <w:pict>
        <v:shape id="_x0000_s3073" o:spid="_x0000_s3073" o:spt="202" type="#_x0000_t202" style="position:absolute;left:0pt;margin-top:0pt;height:144pt;width:144pt;mso-position-horizontal:outside;mso-position-horizontal-relative:margin;mso-wrap-style:none;z-index:251659264;mso-width-relative:page;mso-height-relative:page;" filled="f" stroked="f" coordsize="21600,21600">
          <v:path/>
          <v:fill on="f" focussize="0,0"/>
          <v:stroke on="f"/>
          <v:imagedata o:title=""/>
          <o:lock v:ext="edit" aspectratio="f"/>
          <v:textbox inset="0mm,0mm,0mm,0mm" style="mso-fit-shape-to-text:t;">
            <w:txbxContent>
              <w:p w14:paraId="359ED0C1">
                <w:pPr>
                  <w:pStyle w:val="30"/>
                  <w:rPr>
                    <w:rStyle w:val="51"/>
                    <w:rFonts w:ascii="宋体" w:hAnsi="宋体"/>
                    <w:sz w:val="28"/>
                    <w:szCs w:val="28"/>
                  </w:rPr>
                </w:pPr>
                <w:r>
                  <w:rPr>
                    <w:rStyle w:val="51"/>
                    <w:rFonts w:hint="eastAsia" w:ascii="宋体" w:hAnsi="宋体"/>
                    <w:sz w:val="28"/>
                    <w:szCs w:val="28"/>
                  </w:rPr>
                  <w:t>—</w:t>
                </w:r>
                <w:r>
                  <w:rPr>
                    <w:rStyle w:val="51"/>
                    <w:rFonts w:hint="eastAsia" w:ascii="宋体" w:hAnsi="宋体"/>
                    <w:sz w:val="20"/>
                  </w:rPr>
                  <w:t xml:space="preserve">  </w:t>
                </w:r>
                <w:r>
                  <w:rPr>
                    <w:rStyle w:val="51"/>
                    <w:rFonts w:ascii="宋体" w:hAnsi="宋体"/>
                    <w:sz w:val="26"/>
                    <w:szCs w:val="26"/>
                  </w:rPr>
                  <w:fldChar w:fldCharType="begin"/>
                </w:r>
                <w:r>
                  <w:rPr>
                    <w:rStyle w:val="51"/>
                    <w:rFonts w:ascii="宋体" w:hAnsi="宋体"/>
                    <w:sz w:val="26"/>
                    <w:szCs w:val="26"/>
                  </w:rPr>
                  <w:instrText xml:space="preserve">PAGE  </w:instrText>
                </w:r>
                <w:r>
                  <w:rPr>
                    <w:rStyle w:val="51"/>
                    <w:rFonts w:ascii="宋体" w:hAnsi="宋体"/>
                    <w:sz w:val="26"/>
                    <w:szCs w:val="26"/>
                  </w:rPr>
                  <w:fldChar w:fldCharType="separate"/>
                </w:r>
                <w:r>
                  <w:rPr>
                    <w:rStyle w:val="51"/>
                    <w:rFonts w:ascii="宋体" w:hAnsi="宋体"/>
                    <w:sz w:val="26"/>
                    <w:szCs w:val="26"/>
                  </w:rPr>
                  <w:t>14</w:t>
                </w:r>
                <w:r>
                  <w:rPr>
                    <w:rStyle w:val="51"/>
                    <w:rFonts w:ascii="宋体" w:hAnsi="宋体"/>
                    <w:sz w:val="26"/>
                    <w:szCs w:val="26"/>
                  </w:rPr>
                  <w:fldChar w:fldCharType="end"/>
                </w:r>
                <w:r>
                  <w:rPr>
                    <w:rStyle w:val="51"/>
                    <w:rFonts w:hint="eastAsia" w:ascii="宋体" w:hAnsi="宋体"/>
                    <w:sz w:val="20"/>
                  </w:rPr>
                  <w:t xml:space="preserve">  </w:t>
                </w:r>
                <w:r>
                  <w:rPr>
                    <w:rStyle w:val="51"/>
                    <w:rFonts w:hint="eastAsia" w:ascii="宋体" w:hAnsi="宋体"/>
                    <w:sz w:val="28"/>
                    <w:szCs w:val="28"/>
                  </w:rPr>
                  <w:t>—</w:t>
                </w:r>
              </w:p>
            </w:txbxContent>
          </v:textbox>
        </v:shape>
      </w:pic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E52B23">
    <w:pPr>
      <w:pStyle w:val="30"/>
      <w:ind w:right="360" w:firstLine="360"/>
      <w:jc w:val="center"/>
    </w:pPr>
    <w:r>
      <w:rPr>
        <w:sz w:val="18"/>
      </w:rPr>
      <w:pict>
        <v:shape id="_x0000_s3078" o:spid="_x0000_s3078" o:spt="202" type="#_x0000_t202" style="position:absolute;left:0pt;margin-top:0pt;height:144pt;width:144pt;mso-position-horizontal:outside;mso-position-horizontal-relative:margin;mso-wrap-style:none;z-index:251660288;mso-width-relative:page;mso-height-relative:page;" filled="f" stroked="f" coordsize="21600,21600">
          <v:path/>
          <v:fill on="f" focussize="0,0"/>
          <v:stroke on="f"/>
          <v:imagedata o:title=""/>
          <o:lock v:ext="edit" aspectratio="f"/>
          <v:textbox inset="0mm,0mm,0mm,0mm" style="mso-fit-shape-to-text:t;">
            <w:txbxContent>
              <w:p w14:paraId="586C7183">
                <w:pPr>
                  <w:pStyle w:val="30"/>
                  <w:rPr>
                    <w:rStyle w:val="51"/>
                    <w:rFonts w:ascii="宋体" w:hAnsi="宋体"/>
                    <w:sz w:val="28"/>
                    <w:szCs w:val="28"/>
                  </w:rPr>
                </w:pPr>
                <w:r>
                  <w:rPr>
                    <w:rStyle w:val="51"/>
                    <w:rFonts w:hint="eastAsia" w:ascii="宋体" w:hAnsi="宋体"/>
                    <w:sz w:val="28"/>
                    <w:szCs w:val="28"/>
                  </w:rPr>
                  <w:t>—</w:t>
                </w:r>
                <w:r>
                  <w:rPr>
                    <w:rStyle w:val="51"/>
                    <w:rFonts w:hint="eastAsia" w:ascii="宋体" w:hAnsi="宋体"/>
                    <w:sz w:val="20"/>
                  </w:rPr>
                  <w:t xml:space="preserve">  </w:t>
                </w:r>
                <w:r>
                  <w:rPr>
                    <w:rStyle w:val="51"/>
                    <w:rFonts w:ascii="宋体" w:hAnsi="宋体"/>
                    <w:sz w:val="26"/>
                    <w:szCs w:val="26"/>
                  </w:rPr>
                  <w:fldChar w:fldCharType="begin"/>
                </w:r>
                <w:r>
                  <w:rPr>
                    <w:rStyle w:val="51"/>
                    <w:rFonts w:ascii="宋体" w:hAnsi="宋体"/>
                    <w:sz w:val="26"/>
                    <w:szCs w:val="26"/>
                  </w:rPr>
                  <w:instrText xml:space="preserve">PAGE  </w:instrText>
                </w:r>
                <w:r>
                  <w:rPr>
                    <w:rStyle w:val="51"/>
                    <w:rFonts w:ascii="宋体" w:hAnsi="宋体"/>
                    <w:sz w:val="26"/>
                    <w:szCs w:val="26"/>
                  </w:rPr>
                  <w:fldChar w:fldCharType="separate"/>
                </w:r>
                <w:r>
                  <w:rPr>
                    <w:rStyle w:val="51"/>
                    <w:rFonts w:ascii="宋体" w:hAnsi="宋体"/>
                    <w:sz w:val="26"/>
                    <w:szCs w:val="26"/>
                  </w:rPr>
                  <w:t>49</w:t>
                </w:r>
                <w:r>
                  <w:rPr>
                    <w:rStyle w:val="51"/>
                    <w:rFonts w:ascii="宋体" w:hAnsi="宋体"/>
                    <w:sz w:val="26"/>
                    <w:szCs w:val="26"/>
                  </w:rPr>
                  <w:fldChar w:fldCharType="end"/>
                </w:r>
                <w:r>
                  <w:rPr>
                    <w:rStyle w:val="51"/>
                    <w:rFonts w:hint="eastAsia" w:ascii="宋体" w:hAnsi="宋体"/>
                    <w:sz w:val="20"/>
                  </w:rPr>
                  <w:t xml:space="preserve">  </w:t>
                </w:r>
                <w:r>
                  <w:rPr>
                    <w:rStyle w:val="51"/>
                    <w:rFonts w:hint="eastAsia" w:ascii="宋体" w:hAnsi="宋体"/>
                    <w:sz w:val="28"/>
                    <w:szCs w:val="28"/>
                  </w:rPr>
                  <w:t>—</w:t>
                </w:r>
              </w:p>
            </w:txbxContent>
          </v:textbox>
        </v:shape>
      </w:pic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E2F1E6">
    <w:pPr>
      <w:pStyle w:val="30"/>
      <w:ind w:right="360" w:firstLine="360"/>
      <w:jc w:val="center"/>
    </w:pPr>
    <w:r>
      <w:rPr>
        <w:sz w:val="18"/>
      </w:rPr>
      <w:pict>
        <v:shape id="_x0000_s3079" o:spid="_x0000_s3079" o:spt="202" type="#_x0000_t202" style="position:absolute;left:0pt;margin-top:0pt;height:144pt;width:144pt;mso-position-horizontal:outside;mso-position-horizontal-relative:margin;mso-wrap-style:none;z-index:251661312;mso-width-relative:page;mso-height-relative:page;" filled="f" stroked="f" coordsize="21600,21600">
          <v:path/>
          <v:fill on="f" focussize="0,0"/>
          <v:stroke on="f"/>
          <v:imagedata o:title=""/>
          <o:lock v:ext="edit" aspectratio="f"/>
          <v:textbox inset="0mm,0mm,0mm,0mm" style="mso-fit-shape-to-text:t;">
            <w:txbxContent>
              <w:p w14:paraId="76964C29">
                <w:pPr>
                  <w:pStyle w:val="30"/>
                </w:pPr>
                <w:r>
                  <w:fldChar w:fldCharType="begin"/>
                </w:r>
                <w:r>
                  <w:instrText xml:space="preserve"> PAGE  \* MERGEFORMAT </w:instrText>
                </w:r>
                <w:r>
                  <w:fldChar w:fldCharType="separate"/>
                </w:r>
                <w:r>
                  <w:t>57</w:t>
                </w:r>
                <w:r>
                  <w:fldChar w:fldCharType="end"/>
                </w:r>
              </w:p>
            </w:txbxContent>
          </v:textbox>
        </v:shape>
      </w:pict>
    </w: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3"/>
  <w:bordersDoNotSurroundHeader w:val="0"/>
  <w:bordersDoNotSurroundFooter w:val="0"/>
  <w:hideSpellingErrors/>
  <w:attachedTemplate r:id="rId1"/>
  <w:documentProtection w:edit="trackedChanges" w:enforcement="0"/>
  <w:defaultTabStop w:val="420"/>
  <w:doNotHyphenateCaps/>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hdrShapeDefaults>
    <o:shapelayout v:ext="edit">
      <o:idmap v:ext="edit" data="3"/>
    </o:shapelayout>
  </w:hdrShapeDefaults>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2"/>
  </w:compat>
  <w:docVars>
    <w:docVar w:name="commondata" w:val="eyJoZGlkIjoiMzVmNjdlMDI2NTI3NDRiZGNjNTE3NjIyYjgxNDJjMzYifQ=="/>
  </w:docVars>
  <w:rsids>
    <w:rsidRoot w:val="00A14947"/>
    <w:rsid w:val="0000255C"/>
    <w:rsid w:val="0000365D"/>
    <w:rsid w:val="00004CE1"/>
    <w:rsid w:val="00005A7D"/>
    <w:rsid w:val="000060B3"/>
    <w:rsid w:val="00007AB8"/>
    <w:rsid w:val="000121C4"/>
    <w:rsid w:val="000170FC"/>
    <w:rsid w:val="00017946"/>
    <w:rsid w:val="0002387D"/>
    <w:rsid w:val="00026E6A"/>
    <w:rsid w:val="00033F55"/>
    <w:rsid w:val="0003465A"/>
    <w:rsid w:val="00035626"/>
    <w:rsid w:val="00036FFC"/>
    <w:rsid w:val="000371D7"/>
    <w:rsid w:val="0004364B"/>
    <w:rsid w:val="00061B1F"/>
    <w:rsid w:val="00065EEC"/>
    <w:rsid w:val="000733C4"/>
    <w:rsid w:val="00074783"/>
    <w:rsid w:val="00076828"/>
    <w:rsid w:val="00077CE5"/>
    <w:rsid w:val="00080326"/>
    <w:rsid w:val="0008070B"/>
    <w:rsid w:val="000808FE"/>
    <w:rsid w:val="000810AC"/>
    <w:rsid w:val="00081332"/>
    <w:rsid w:val="00081684"/>
    <w:rsid w:val="00081A02"/>
    <w:rsid w:val="00082231"/>
    <w:rsid w:val="00083D53"/>
    <w:rsid w:val="00092D38"/>
    <w:rsid w:val="0009377B"/>
    <w:rsid w:val="000A20C9"/>
    <w:rsid w:val="000A31EB"/>
    <w:rsid w:val="000A6098"/>
    <w:rsid w:val="000B058F"/>
    <w:rsid w:val="000B0B74"/>
    <w:rsid w:val="000B2A66"/>
    <w:rsid w:val="000B3CCA"/>
    <w:rsid w:val="000B4467"/>
    <w:rsid w:val="000B4DB9"/>
    <w:rsid w:val="000C09AC"/>
    <w:rsid w:val="000C1D7A"/>
    <w:rsid w:val="000C2F6D"/>
    <w:rsid w:val="000C3C5A"/>
    <w:rsid w:val="000C623F"/>
    <w:rsid w:val="000C6D38"/>
    <w:rsid w:val="000C767F"/>
    <w:rsid w:val="000D245E"/>
    <w:rsid w:val="000D3C7A"/>
    <w:rsid w:val="000D4DAA"/>
    <w:rsid w:val="000D50C8"/>
    <w:rsid w:val="000D5964"/>
    <w:rsid w:val="000D5A44"/>
    <w:rsid w:val="000D7EE8"/>
    <w:rsid w:val="000E0594"/>
    <w:rsid w:val="000E32B5"/>
    <w:rsid w:val="000E3420"/>
    <w:rsid w:val="000E3ED2"/>
    <w:rsid w:val="000E52C9"/>
    <w:rsid w:val="000E5F33"/>
    <w:rsid w:val="000E653C"/>
    <w:rsid w:val="000E7067"/>
    <w:rsid w:val="000F063C"/>
    <w:rsid w:val="000F18CC"/>
    <w:rsid w:val="000F665B"/>
    <w:rsid w:val="00101A9A"/>
    <w:rsid w:val="00103265"/>
    <w:rsid w:val="00104585"/>
    <w:rsid w:val="00105019"/>
    <w:rsid w:val="00105035"/>
    <w:rsid w:val="001107B7"/>
    <w:rsid w:val="00112204"/>
    <w:rsid w:val="00115675"/>
    <w:rsid w:val="00122572"/>
    <w:rsid w:val="001245FF"/>
    <w:rsid w:val="00130DFF"/>
    <w:rsid w:val="00131F42"/>
    <w:rsid w:val="001357F1"/>
    <w:rsid w:val="00137240"/>
    <w:rsid w:val="00137782"/>
    <w:rsid w:val="0014079A"/>
    <w:rsid w:val="00140B3E"/>
    <w:rsid w:val="00140FA8"/>
    <w:rsid w:val="001412AD"/>
    <w:rsid w:val="00141B89"/>
    <w:rsid w:val="00142FEB"/>
    <w:rsid w:val="0014343E"/>
    <w:rsid w:val="00143A2D"/>
    <w:rsid w:val="00145A41"/>
    <w:rsid w:val="00147C99"/>
    <w:rsid w:val="00150E51"/>
    <w:rsid w:val="00151675"/>
    <w:rsid w:val="00154642"/>
    <w:rsid w:val="00157435"/>
    <w:rsid w:val="001613F8"/>
    <w:rsid w:val="001620A6"/>
    <w:rsid w:val="00163715"/>
    <w:rsid w:val="00165FA7"/>
    <w:rsid w:val="00166494"/>
    <w:rsid w:val="0016739B"/>
    <w:rsid w:val="0017504D"/>
    <w:rsid w:val="0017671A"/>
    <w:rsid w:val="00177422"/>
    <w:rsid w:val="00177EB6"/>
    <w:rsid w:val="00181BF2"/>
    <w:rsid w:val="00181D11"/>
    <w:rsid w:val="00183240"/>
    <w:rsid w:val="00183376"/>
    <w:rsid w:val="00184590"/>
    <w:rsid w:val="001870D1"/>
    <w:rsid w:val="0018781E"/>
    <w:rsid w:val="00190E15"/>
    <w:rsid w:val="0019262D"/>
    <w:rsid w:val="001A16A0"/>
    <w:rsid w:val="001A1B35"/>
    <w:rsid w:val="001A48A2"/>
    <w:rsid w:val="001A6F61"/>
    <w:rsid w:val="001B39F0"/>
    <w:rsid w:val="001B72B8"/>
    <w:rsid w:val="001C01CA"/>
    <w:rsid w:val="001C0970"/>
    <w:rsid w:val="001C1F2B"/>
    <w:rsid w:val="001C2617"/>
    <w:rsid w:val="001C3578"/>
    <w:rsid w:val="001C3A4E"/>
    <w:rsid w:val="001C69B3"/>
    <w:rsid w:val="001D394D"/>
    <w:rsid w:val="001D5595"/>
    <w:rsid w:val="001D698C"/>
    <w:rsid w:val="001D7874"/>
    <w:rsid w:val="001D7F22"/>
    <w:rsid w:val="001E1343"/>
    <w:rsid w:val="001E14C0"/>
    <w:rsid w:val="001E47D0"/>
    <w:rsid w:val="001E6A4A"/>
    <w:rsid w:val="001E727B"/>
    <w:rsid w:val="001E728E"/>
    <w:rsid w:val="001E72E5"/>
    <w:rsid w:val="001E7FB2"/>
    <w:rsid w:val="001F0403"/>
    <w:rsid w:val="001F0F17"/>
    <w:rsid w:val="001F3347"/>
    <w:rsid w:val="001F3F06"/>
    <w:rsid w:val="001F40D3"/>
    <w:rsid w:val="001F5031"/>
    <w:rsid w:val="001F69A0"/>
    <w:rsid w:val="001F69E4"/>
    <w:rsid w:val="00200A4F"/>
    <w:rsid w:val="00202742"/>
    <w:rsid w:val="002052DD"/>
    <w:rsid w:val="00206FDA"/>
    <w:rsid w:val="002101D2"/>
    <w:rsid w:val="00210B53"/>
    <w:rsid w:val="00210B8B"/>
    <w:rsid w:val="00211811"/>
    <w:rsid w:val="002125B4"/>
    <w:rsid w:val="00212CBE"/>
    <w:rsid w:val="0021541E"/>
    <w:rsid w:val="00215494"/>
    <w:rsid w:val="002155B8"/>
    <w:rsid w:val="00216BFF"/>
    <w:rsid w:val="00220C10"/>
    <w:rsid w:val="002218B4"/>
    <w:rsid w:val="00223098"/>
    <w:rsid w:val="00224561"/>
    <w:rsid w:val="00224839"/>
    <w:rsid w:val="002249B2"/>
    <w:rsid w:val="00226574"/>
    <w:rsid w:val="00227143"/>
    <w:rsid w:val="002278EC"/>
    <w:rsid w:val="0023280E"/>
    <w:rsid w:val="002334A7"/>
    <w:rsid w:val="002361A0"/>
    <w:rsid w:val="002365F1"/>
    <w:rsid w:val="002377D1"/>
    <w:rsid w:val="002400FF"/>
    <w:rsid w:val="00244CAB"/>
    <w:rsid w:val="00245719"/>
    <w:rsid w:val="00246747"/>
    <w:rsid w:val="00246D06"/>
    <w:rsid w:val="00247348"/>
    <w:rsid w:val="002477D7"/>
    <w:rsid w:val="0025026E"/>
    <w:rsid w:val="002506BC"/>
    <w:rsid w:val="0025129F"/>
    <w:rsid w:val="00251820"/>
    <w:rsid w:val="0025207E"/>
    <w:rsid w:val="00254345"/>
    <w:rsid w:val="0026236D"/>
    <w:rsid w:val="00262D2F"/>
    <w:rsid w:val="00264557"/>
    <w:rsid w:val="0026771A"/>
    <w:rsid w:val="002713EF"/>
    <w:rsid w:val="00272808"/>
    <w:rsid w:val="00275A6D"/>
    <w:rsid w:val="002760E4"/>
    <w:rsid w:val="00276A6E"/>
    <w:rsid w:val="002805AB"/>
    <w:rsid w:val="00283E12"/>
    <w:rsid w:val="00284204"/>
    <w:rsid w:val="00291773"/>
    <w:rsid w:val="0029408F"/>
    <w:rsid w:val="00294CDD"/>
    <w:rsid w:val="00294FFA"/>
    <w:rsid w:val="00297CC7"/>
    <w:rsid w:val="002A168C"/>
    <w:rsid w:val="002A26BC"/>
    <w:rsid w:val="002A3DC7"/>
    <w:rsid w:val="002A7D5A"/>
    <w:rsid w:val="002B376E"/>
    <w:rsid w:val="002B49E2"/>
    <w:rsid w:val="002B7B00"/>
    <w:rsid w:val="002B7C44"/>
    <w:rsid w:val="002C2B17"/>
    <w:rsid w:val="002C54BE"/>
    <w:rsid w:val="002C595B"/>
    <w:rsid w:val="002C5FC1"/>
    <w:rsid w:val="002C7929"/>
    <w:rsid w:val="002D3DD0"/>
    <w:rsid w:val="002D6288"/>
    <w:rsid w:val="002E1F3A"/>
    <w:rsid w:val="002E20E9"/>
    <w:rsid w:val="002E298A"/>
    <w:rsid w:val="002E6194"/>
    <w:rsid w:val="002E64FB"/>
    <w:rsid w:val="002E7C78"/>
    <w:rsid w:val="002E7F04"/>
    <w:rsid w:val="002E7FCE"/>
    <w:rsid w:val="002F01F7"/>
    <w:rsid w:val="002F180D"/>
    <w:rsid w:val="002F3B8E"/>
    <w:rsid w:val="002F4946"/>
    <w:rsid w:val="002F5EF2"/>
    <w:rsid w:val="00300A7C"/>
    <w:rsid w:val="00301978"/>
    <w:rsid w:val="00301F28"/>
    <w:rsid w:val="0030332C"/>
    <w:rsid w:val="00304351"/>
    <w:rsid w:val="00304A2F"/>
    <w:rsid w:val="00304B7A"/>
    <w:rsid w:val="003051C2"/>
    <w:rsid w:val="00310235"/>
    <w:rsid w:val="00310E86"/>
    <w:rsid w:val="00311014"/>
    <w:rsid w:val="00311F4C"/>
    <w:rsid w:val="00312296"/>
    <w:rsid w:val="00314F0E"/>
    <w:rsid w:val="00316FA7"/>
    <w:rsid w:val="00317968"/>
    <w:rsid w:val="00321D8E"/>
    <w:rsid w:val="00322B00"/>
    <w:rsid w:val="003247FA"/>
    <w:rsid w:val="00325928"/>
    <w:rsid w:val="00330682"/>
    <w:rsid w:val="00331BDD"/>
    <w:rsid w:val="00332863"/>
    <w:rsid w:val="00334565"/>
    <w:rsid w:val="00335237"/>
    <w:rsid w:val="0033684D"/>
    <w:rsid w:val="00336D19"/>
    <w:rsid w:val="00337B42"/>
    <w:rsid w:val="00337D90"/>
    <w:rsid w:val="00341B42"/>
    <w:rsid w:val="0034348F"/>
    <w:rsid w:val="00343F6E"/>
    <w:rsid w:val="0034524C"/>
    <w:rsid w:val="00353F41"/>
    <w:rsid w:val="00354FA3"/>
    <w:rsid w:val="003554CE"/>
    <w:rsid w:val="00356653"/>
    <w:rsid w:val="0035743F"/>
    <w:rsid w:val="00357BE2"/>
    <w:rsid w:val="0036170C"/>
    <w:rsid w:val="00362168"/>
    <w:rsid w:val="00366E0F"/>
    <w:rsid w:val="003672D7"/>
    <w:rsid w:val="0036781F"/>
    <w:rsid w:val="003704F4"/>
    <w:rsid w:val="00373EA8"/>
    <w:rsid w:val="00375EDA"/>
    <w:rsid w:val="0038003B"/>
    <w:rsid w:val="00381A72"/>
    <w:rsid w:val="00382CAB"/>
    <w:rsid w:val="00384588"/>
    <w:rsid w:val="00384676"/>
    <w:rsid w:val="00390857"/>
    <w:rsid w:val="003A0262"/>
    <w:rsid w:val="003A049A"/>
    <w:rsid w:val="003A068F"/>
    <w:rsid w:val="003A0EA8"/>
    <w:rsid w:val="003A209D"/>
    <w:rsid w:val="003A28FF"/>
    <w:rsid w:val="003A4BF3"/>
    <w:rsid w:val="003A4E37"/>
    <w:rsid w:val="003A501E"/>
    <w:rsid w:val="003A59DC"/>
    <w:rsid w:val="003B052F"/>
    <w:rsid w:val="003B1760"/>
    <w:rsid w:val="003B2F71"/>
    <w:rsid w:val="003B420D"/>
    <w:rsid w:val="003C4C1D"/>
    <w:rsid w:val="003C62C1"/>
    <w:rsid w:val="003C6C16"/>
    <w:rsid w:val="003C6ED6"/>
    <w:rsid w:val="003D0FAD"/>
    <w:rsid w:val="003D25E6"/>
    <w:rsid w:val="003D794D"/>
    <w:rsid w:val="003D7AC8"/>
    <w:rsid w:val="003E09B3"/>
    <w:rsid w:val="003E2AA8"/>
    <w:rsid w:val="003E3058"/>
    <w:rsid w:val="003E721C"/>
    <w:rsid w:val="003E76A9"/>
    <w:rsid w:val="003F0809"/>
    <w:rsid w:val="003F1309"/>
    <w:rsid w:val="003F27B5"/>
    <w:rsid w:val="003F4284"/>
    <w:rsid w:val="003F6A8C"/>
    <w:rsid w:val="003F6ED1"/>
    <w:rsid w:val="003F755C"/>
    <w:rsid w:val="00404A7B"/>
    <w:rsid w:val="00406F01"/>
    <w:rsid w:val="004070B9"/>
    <w:rsid w:val="00413406"/>
    <w:rsid w:val="00413A11"/>
    <w:rsid w:val="0041463E"/>
    <w:rsid w:val="004152A2"/>
    <w:rsid w:val="00416D50"/>
    <w:rsid w:val="00416FD5"/>
    <w:rsid w:val="00417772"/>
    <w:rsid w:val="00420E6A"/>
    <w:rsid w:val="00423285"/>
    <w:rsid w:val="0042339A"/>
    <w:rsid w:val="00423AE9"/>
    <w:rsid w:val="00423B9A"/>
    <w:rsid w:val="00424511"/>
    <w:rsid w:val="00425A9E"/>
    <w:rsid w:val="00426D6B"/>
    <w:rsid w:val="00427AB1"/>
    <w:rsid w:val="00431E6C"/>
    <w:rsid w:val="00433CE7"/>
    <w:rsid w:val="0043409B"/>
    <w:rsid w:val="00440973"/>
    <w:rsid w:val="004411EA"/>
    <w:rsid w:val="00443A23"/>
    <w:rsid w:val="00450DA0"/>
    <w:rsid w:val="00451173"/>
    <w:rsid w:val="00452738"/>
    <w:rsid w:val="00456091"/>
    <w:rsid w:val="00456894"/>
    <w:rsid w:val="00457500"/>
    <w:rsid w:val="00460C85"/>
    <w:rsid w:val="004618A6"/>
    <w:rsid w:val="00466321"/>
    <w:rsid w:val="004719F1"/>
    <w:rsid w:val="00471F4A"/>
    <w:rsid w:val="00472D38"/>
    <w:rsid w:val="00474387"/>
    <w:rsid w:val="00474508"/>
    <w:rsid w:val="00475FB7"/>
    <w:rsid w:val="00482CDA"/>
    <w:rsid w:val="00484B9B"/>
    <w:rsid w:val="004855F6"/>
    <w:rsid w:val="0048661E"/>
    <w:rsid w:val="00486B85"/>
    <w:rsid w:val="00486D62"/>
    <w:rsid w:val="00490AE9"/>
    <w:rsid w:val="00491E54"/>
    <w:rsid w:val="00492A12"/>
    <w:rsid w:val="0049362F"/>
    <w:rsid w:val="00494670"/>
    <w:rsid w:val="00494E6A"/>
    <w:rsid w:val="004A1907"/>
    <w:rsid w:val="004A3823"/>
    <w:rsid w:val="004A39E5"/>
    <w:rsid w:val="004A4217"/>
    <w:rsid w:val="004A5382"/>
    <w:rsid w:val="004A6072"/>
    <w:rsid w:val="004B1DD2"/>
    <w:rsid w:val="004B5D91"/>
    <w:rsid w:val="004B68E7"/>
    <w:rsid w:val="004B6D8F"/>
    <w:rsid w:val="004C04FD"/>
    <w:rsid w:val="004C0F41"/>
    <w:rsid w:val="004C3B71"/>
    <w:rsid w:val="004C5849"/>
    <w:rsid w:val="004C6D78"/>
    <w:rsid w:val="004C6FA0"/>
    <w:rsid w:val="004C76C7"/>
    <w:rsid w:val="004D194C"/>
    <w:rsid w:val="004D4392"/>
    <w:rsid w:val="004E0649"/>
    <w:rsid w:val="004E0A38"/>
    <w:rsid w:val="004E1133"/>
    <w:rsid w:val="004E5979"/>
    <w:rsid w:val="004E6022"/>
    <w:rsid w:val="004E6594"/>
    <w:rsid w:val="004E6946"/>
    <w:rsid w:val="004F0066"/>
    <w:rsid w:val="004F1AD8"/>
    <w:rsid w:val="004F5E8C"/>
    <w:rsid w:val="004F624C"/>
    <w:rsid w:val="004F66DF"/>
    <w:rsid w:val="004F6ABD"/>
    <w:rsid w:val="0050319B"/>
    <w:rsid w:val="005039CB"/>
    <w:rsid w:val="0050558F"/>
    <w:rsid w:val="00506286"/>
    <w:rsid w:val="00510813"/>
    <w:rsid w:val="00511990"/>
    <w:rsid w:val="00511CE7"/>
    <w:rsid w:val="00511DE0"/>
    <w:rsid w:val="0051207C"/>
    <w:rsid w:val="00512B0C"/>
    <w:rsid w:val="00512D93"/>
    <w:rsid w:val="00514870"/>
    <w:rsid w:val="00514B9B"/>
    <w:rsid w:val="0051523E"/>
    <w:rsid w:val="00515E22"/>
    <w:rsid w:val="00516C31"/>
    <w:rsid w:val="00517186"/>
    <w:rsid w:val="00517417"/>
    <w:rsid w:val="00517EE6"/>
    <w:rsid w:val="00517F02"/>
    <w:rsid w:val="00524303"/>
    <w:rsid w:val="005258A2"/>
    <w:rsid w:val="005266E2"/>
    <w:rsid w:val="00532220"/>
    <w:rsid w:val="00533ADC"/>
    <w:rsid w:val="00533F36"/>
    <w:rsid w:val="0053781E"/>
    <w:rsid w:val="005401AE"/>
    <w:rsid w:val="00540F1B"/>
    <w:rsid w:val="00542E07"/>
    <w:rsid w:val="00545424"/>
    <w:rsid w:val="00545E1C"/>
    <w:rsid w:val="00552FB5"/>
    <w:rsid w:val="0055406B"/>
    <w:rsid w:val="0055448D"/>
    <w:rsid w:val="00554A7B"/>
    <w:rsid w:val="0055572C"/>
    <w:rsid w:val="00556272"/>
    <w:rsid w:val="0056106A"/>
    <w:rsid w:val="0056197F"/>
    <w:rsid w:val="00563FC3"/>
    <w:rsid w:val="00570168"/>
    <w:rsid w:val="005720AE"/>
    <w:rsid w:val="005737C4"/>
    <w:rsid w:val="00575D16"/>
    <w:rsid w:val="00576AD8"/>
    <w:rsid w:val="00577821"/>
    <w:rsid w:val="005811A4"/>
    <w:rsid w:val="00582A47"/>
    <w:rsid w:val="00586629"/>
    <w:rsid w:val="005871E5"/>
    <w:rsid w:val="00590B8F"/>
    <w:rsid w:val="00592998"/>
    <w:rsid w:val="00592FDB"/>
    <w:rsid w:val="00594448"/>
    <w:rsid w:val="00594D0F"/>
    <w:rsid w:val="00594D77"/>
    <w:rsid w:val="005958B3"/>
    <w:rsid w:val="005969E4"/>
    <w:rsid w:val="00597F0D"/>
    <w:rsid w:val="005A06B7"/>
    <w:rsid w:val="005A12CA"/>
    <w:rsid w:val="005A1759"/>
    <w:rsid w:val="005A68A7"/>
    <w:rsid w:val="005B15BB"/>
    <w:rsid w:val="005B1FF8"/>
    <w:rsid w:val="005B401B"/>
    <w:rsid w:val="005B4DF9"/>
    <w:rsid w:val="005B5D64"/>
    <w:rsid w:val="005C0B71"/>
    <w:rsid w:val="005C4EBD"/>
    <w:rsid w:val="005D0ED5"/>
    <w:rsid w:val="005D294C"/>
    <w:rsid w:val="005D36AB"/>
    <w:rsid w:val="005D5AB6"/>
    <w:rsid w:val="005E14AB"/>
    <w:rsid w:val="005E215B"/>
    <w:rsid w:val="005E2882"/>
    <w:rsid w:val="005E4570"/>
    <w:rsid w:val="005E5F15"/>
    <w:rsid w:val="005E7766"/>
    <w:rsid w:val="005E7E1F"/>
    <w:rsid w:val="005F2874"/>
    <w:rsid w:val="005F2CA2"/>
    <w:rsid w:val="00602C57"/>
    <w:rsid w:val="00611C23"/>
    <w:rsid w:val="00614EF6"/>
    <w:rsid w:val="00615153"/>
    <w:rsid w:val="00616B0C"/>
    <w:rsid w:val="00617CC3"/>
    <w:rsid w:val="00620D27"/>
    <w:rsid w:val="0062326E"/>
    <w:rsid w:val="00624A5C"/>
    <w:rsid w:val="00626F38"/>
    <w:rsid w:val="0063227E"/>
    <w:rsid w:val="00632740"/>
    <w:rsid w:val="0063293B"/>
    <w:rsid w:val="00632BBA"/>
    <w:rsid w:val="006345BB"/>
    <w:rsid w:val="006350EF"/>
    <w:rsid w:val="006377A6"/>
    <w:rsid w:val="00637A3D"/>
    <w:rsid w:val="006411EF"/>
    <w:rsid w:val="00643AC7"/>
    <w:rsid w:val="0064406F"/>
    <w:rsid w:val="006502D0"/>
    <w:rsid w:val="00650950"/>
    <w:rsid w:val="006533F7"/>
    <w:rsid w:val="0065393C"/>
    <w:rsid w:val="00661D4E"/>
    <w:rsid w:val="006625E6"/>
    <w:rsid w:val="0066323B"/>
    <w:rsid w:val="006638BF"/>
    <w:rsid w:val="0066414D"/>
    <w:rsid w:val="006642AC"/>
    <w:rsid w:val="006666E0"/>
    <w:rsid w:val="00666B92"/>
    <w:rsid w:val="0066712E"/>
    <w:rsid w:val="006720F2"/>
    <w:rsid w:val="00672BE3"/>
    <w:rsid w:val="00674459"/>
    <w:rsid w:val="006748B8"/>
    <w:rsid w:val="00675E9C"/>
    <w:rsid w:val="006766D0"/>
    <w:rsid w:val="006775C3"/>
    <w:rsid w:val="006812D2"/>
    <w:rsid w:val="006844D8"/>
    <w:rsid w:val="006877B1"/>
    <w:rsid w:val="0069290A"/>
    <w:rsid w:val="00694923"/>
    <w:rsid w:val="00695E04"/>
    <w:rsid w:val="00696F19"/>
    <w:rsid w:val="0069775A"/>
    <w:rsid w:val="00697813"/>
    <w:rsid w:val="006A030C"/>
    <w:rsid w:val="006A085F"/>
    <w:rsid w:val="006A3EE8"/>
    <w:rsid w:val="006A72BF"/>
    <w:rsid w:val="006A7538"/>
    <w:rsid w:val="006B03F2"/>
    <w:rsid w:val="006B07D2"/>
    <w:rsid w:val="006B37DC"/>
    <w:rsid w:val="006B4286"/>
    <w:rsid w:val="006B4F68"/>
    <w:rsid w:val="006B5978"/>
    <w:rsid w:val="006B5F01"/>
    <w:rsid w:val="006C0592"/>
    <w:rsid w:val="006C0CAA"/>
    <w:rsid w:val="006C272E"/>
    <w:rsid w:val="006C4E64"/>
    <w:rsid w:val="006C5479"/>
    <w:rsid w:val="006C5F93"/>
    <w:rsid w:val="006C6414"/>
    <w:rsid w:val="006C7743"/>
    <w:rsid w:val="006D13B5"/>
    <w:rsid w:val="006D1B7D"/>
    <w:rsid w:val="006D1E70"/>
    <w:rsid w:val="006D3AA9"/>
    <w:rsid w:val="006D3C62"/>
    <w:rsid w:val="006D46EA"/>
    <w:rsid w:val="006D72EC"/>
    <w:rsid w:val="006E12FF"/>
    <w:rsid w:val="006E22E6"/>
    <w:rsid w:val="006E3311"/>
    <w:rsid w:val="006E3567"/>
    <w:rsid w:val="006E4762"/>
    <w:rsid w:val="006E4DBB"/>
    <w:rsid w:val="006E607E"/>
    <w:rsid w:val="006E740B"/>
    <w:rsid w:val="006F1EB4"/>
    <w:rsid w:val="006F3A1B"/>
    <w:rsid w:val="006F4782"/>
    <w:rsid w:val="006F4E88"/>
    <w:rsid w:val="006F6343"/>
    <w:rsid w:val="00703760"/>
    <w:rsid w:val="00706C5D"/>
    <w:rsid w:val="00710568"/>
    <w:rsid w:val="00712C44"/>
    <w:rsid w:val="00716DED"/>
    <w:rsid w:val="0072353E"/>
    <w:rsid w:val="00723554"/>
    <w:rsid w:val="0072428D"/>
    <w:rsid w:val="00724A3B"/>
    <w:rsid w:val="00724ED1"/>
    <w:rsid w:val="00726354"/>
    <w:rsid w:val="00732922"/>
    <w:rsid w:val="00734A75"/>
    <w:rsid w:val="007373CA"/>
    <w:rsid w:val="00745434"/>
    <w:rsid w:val="00745E21"/>
    <w:rsid w:val="00746908"/>
    <w:rsid w:val="00746986"/>
    <w:rsid w:val="0075162E"/>
    <w:rsid w:val="0075265C"/>
    <w:rsid w:val="0075370E"/>
    <w:rsid w:val="00754034"/>
    <w:rsid w:val="0075532A"/>
    <w:rsid w:val="00756556"/>
    <w:rsid w:val="00756F85"/>
    <w:rsid w:val="007618C4"/>
    <w:rsid w:val="00767980"/>
    <w:rsid w:val="00770B19"/>
    <w:rsid w:val="00773C7E"/>
    <w:rsid w:val="0077463F"/>
    <w:rsid w:val="00775C7A"/>
    <w:rsid w:val="00775DF0"/>
    <w:rsid w:val="007768C8"/>
    <w:rsid w:val="00776B6E"/>
    <w:rsid w:val="007813E3"/>
    <w:rsid w:val="007815FB"/>
    <w:rsid w:val="007836EA"/>
    <w:rsid w:val="00784CDA"/>
    <w:rsid w:val="007906C4"/>
    <w:rsid w:val="00794056"/>
    <w:rsid w:val="007940EA"/>
    <w:rsid w:val="007967E8"/>
    <w:rsid w:val="0079701D"/>
    <w:rsid w:val="007A16D8"/>
    <w:rsid w:val="007A2170"/>
    <w:rsid w:val="007A22BF"/>
    <w:rsid w:val="007A3323"/>
    <w:rsid w:val="007A44A6"/>
    <w:rsid w:val="007A4A1F"/>
    <w:rsid w:val="007A7C5C"/>
    <w:rsid w:val="007B2531"/>
    <w:rsid w:val="007B3893"/>
    <w:rsid w:val="007B6D90"/>
    <w:rsid w:val="007B72B8"/>
    <w:rsid w:val="007B7A58"/>
    <w:rsid w:val="007C1F15"/>
    <w:rsid w:val="007C21B5"/>
    <w:rsid w:val="007C2703"/>
    <w:rsid w:val="007C33FA"/>
    <w:rsid w:val="007C6CB9"/>
    <w:rsid w:val="007D107A"/>
    <w:rsid w:val="007D168A"/>
    <w:rsid w:val="007D2168"/>
    <w:rsid w:val="007D5301"/>
    <w:rsid w:val="007E37CF"/>
    <w:rsid w:val="007E4BD2"/>
    <w:rsid w:val="007E5F67"/>
    <w:rsid w:val="007E638F"/>
    <w:rsid w:val="007F11BE"/>
    <w:rsid w:val="007F1832"/>
    <w:rsid w:val="007F261B"/>
    <w:rsid w:val="007F2659"/>
    <w:rsid w:val="007F35E6"/>
    <w:rsid w:val="007F4B34"/>
    <w:rsid w:val="007F5B20"/>
    <w:rsid w:val="007F6075"/>
    <w:rsid w:val="007F60CD"/>
    <w:rsid w:val="00800B95"/>
    <w:rsid w:val="0080101F"/>
    <w:rsid w:val="00801393"/>
    <w:rsid w:val="00801E25"/>
    <w:rsid w:val="00801E78"/>
    <w:rsid w:val="00802841"/>
    <w:rsid w:val="008029C7"/>
    <w:rsid w:val="00802F88"/>
    <w:rsid w:val="00804548"/>
    <w:rsid w:val="0081293E"/>
    <w:rsid w:val="00815465"/>
    <w:rsid w:val="00817E9A"/>
    <w:rsid w:val="00821D42"/>
    <w:rsid w:val="00826C9A"/>
    <w:rsid w:val="00826FA9"/>
    <w:rsid w:val="00830299"/>
    <w:rsid w:val="008306BD"/>
    <w:rsid w:val="00830DED"/>
    <w:rsid w:val="008319AD"/>
    <w:rsid w:val="00831A80"/>
    <w:rsid w:val="00833743"/>
    <w:rsid w:val="00833A25"/>
    <w:rsid w:val="008340A4"/>
    <w:rsid w:val="0083719B"/>
    <w:rsid w:val="00840B1D"/>
    <w:rsid w:val="008426DF"/>
    <w:rsid w:val="00845F14"/>
    <w:rsid w:val="00852284"/>
    <w:rsid w:val="00853936"/>
    <w:rsid w:val="00855610"/>
    <w:rsid w:val="00855A2E"/>
    <w:rsid w:val="0085630B"/>
    <w:rsid w:val="008603CE"/>
    <w:rsid w:val="008621F1"/>
    <w:rsid w:val="00863099"/>
    <w:rsid w:val="0087135F"/>
    <w:rsid w:val="00872355"/>
    <w:rsid w:val="00872D94"/>
    <w:rsid w:val="00875F09"/>
    <w:rsid w:val="00876CBB"/>
    <w:rsid w:val="00877286"/>
    <w:rsid w:val="00880364"/>
    <w:rsid w:val="00883F68"/>
    <w:rsid w:val="0088720C"/>
    <w:rsid w:val="00890197"/>
    <w:rsid w:val="00891356"/>
    <w:rsid w:val="00891592"/>
    <w:rsid w:val="00891E9E"/>
    <w:rsid w:val="0089216F"/>
    <w:rsid w:val="0089280F"/>
    <w:rsid w:val="00893724"/>
    <w:rsid w:val="00895722"/>
    <w:rsid w:val="00896DD6"/>
    <w:rsid w:val="008A201D"/>
    <w:rsid w:val="008A2F68"/>
    <w:rsid w:val="008A3287"/>
    <w:rsid w:val="008A36EE"/>
    <w:rsid w:val="008A6708"/>
    <w:rsid w:val="008B4FA6"/>
    <w:rsid w:val="008B5282"/>
    <w:rsid w:val="008B6B93"/>
    <w:rsid w:val="008B7C17"/>
    <w:rsid w:val="008C1859"/>
    <w:rsid w:val="008C2D01"/>
    <w:rsid w:val="008C2D63"/>
    <w:rsid w:val="008C40E6"/>
    <w:rsid w:val="008C619D"/>
    <w:rsid w:val="008C65CD"/>
    <w:rsid w:val="008D098E"/>
    <w:rsid w:val="008D09F8"/>
    <w:rsid w:val="008D0F7A"/>
    <w:rsid w:val="008D217D"/>
    <w:rsid w:val="008D3811"/>
    <w:rsid w:val="008D46E0"/>
    <w:rsid w:val="008D5771"/>
    <w:rsid w:val="008D68E4"/>
    <w:rsid w:val="008D75C8"/>
    <w:rsid w:val="008E04BF"/>
    <w:rsid w:val="008E0506"/>
    <w:rsid w:val="008E0539"/>
    <w:rsid w:val="008E0CFF"/>
    <w:rsid w:val="008E1381"/>
    <w:rsid w:val="008E282F"/>
    <w:rsid w:val="008E312A"/>
    <w:rsid w:val="008E3E65"/>
    <w:rsid w:val="008E4A5E"/>
    <w:rsid w:val="008E5978"/>
    <w:rsid w:val="008E5D6B"/>
    <w:rsid w:val="008E5EFE"/>
    <w:rsid w:val="008E76F0"/>
    <w:rsid w:val="008F15FE"/>
    <w:rsid w:val="008F2D29"/>
    <w:rsid w:val="008F4353"/>
    <w:rsid w:val="008F5187"/>
    <w:rsid w:val="008F60D8"/>
    <w:rsid w:val="008F6BA5"/>
    <w:rsid w:val="008F72C9"/>
    <w:rsid w:val="0090101A"/>
    <w:rsid w:val="009015DA"/>
    <w:rsid w:val="00902727"/>
    <w:rsid w:val="0090312B"/>
    <w:rsid w:val="00906693"/>
    <w:rsid w:val="0090740F"/>
    <w:rsid w:val="00907C8D"/>
    <w:rsid w:val="00910696"/>
    <w:rsid w:val="00911709"/>
    <w:rsid w:val="0091736D"/>
    <w:rsid w:val="0091778A"/>
    <w:rsid w:val="0091782B"/>
    <w:rsid w:val="009216D2"/>
    <w:rsid w:val="00921AB2"/>
    <w:rsid w:val="00921DE9"/>
    <w:rsid w:val="00922279"/>
    <w:rsid w:val="0092265C"/>
    <w:rsid w:val="00926FE8"/>
    <w:rsid w:val="0093037A"/>
    <w:rsid w:val="00930BDB"/>
    <w:rsid w:val="009316BF"/>
    <w:rsid w:val="009325DB"/>
    <w:rsid w:val="00933913"/>
    <w:rsid w:val="00934632"/>
    <w:rsid w:val="00934DBC"/>
    <w:rsid w:val="00937DB5"/>
    <w:rsid w:val="0094154D"/>
    <w:rsid w:val="00943D41"/>
    <w:rsid w:val="00943E48"/>
    <w:rsid w:val="00943F85"/>
    <w:rsid w:val="00947C24"/>
    <w:rsid w:val="0095053A"/>
    <w:rsid w:val="00950913"/>
    <w:rsid w:val="0095155F"/>
    <w:rsid w:val="00952F5F"/>
    <w:rsid w:val="00952F76"/>
    <w:rsid w:val="0095358F"/>
    <w:rsid w:val="00954429"/>
    <w:rsid w:val="00954720"/>
    <w:rsid w:val="009563CE"/>
    <w:rsid w:val="00962850"/>
    <w:rsid w:val="009655C1"/>
    <w:rsid w:val="00965CAA"/>
    <w:rsid w:val="009661D7"/>
    <w:rsid w:val="009708F5"/>
    <w:rsid w:val="0097194D"/>
    <w:rsid w:val="009721FA"/>
    <w:rsid w:val="00972912"/>
    <w:rsid w:val="00976328"/>
    <w:rsid w:val="0097680D"/>
    <w:rsid w:val="00980886"/>
    <w:rsid w:val="00982438"/>
    <w:rsid w:val="009830A0"/>
    <w:rsid w:val="009830EF"/>
    <w:rsid w:val="0098404C"/>
    <w:rsid w:val="009846AB"/>
    <w:rsid w:val="00985283"/>
    <w:rsid w:val="00985921"/>
    <w:rsid w:val="009903E2"/>
    <w:rsid w:val="00991BE5"/>
    <w:rsid w:val="00994489"/>
    <w:rsid w:val="00995498"/>
    <w:rsid w:val="00995992"/>
    <w:rsid w:val="009A01AF"/>
    <w:rsid w:val="009A03E5"/>
    <w:rsid w:val="009A0F3B"/>
    <w:rsid w:val="009A1BB4"/>
    <w:rsid w:val="009A2628"/>
    <w:rsid w:val="009A3200"/>
    <w:rsid w:val="009A505A"/>
    <w:rsid w:val="009B0897"/>
    <w:rsid w:val="009B097F"/>
    <w:rsid w:val="009B2D5C"/>
    <w:rsid w:val="009B510F"/>
    <w:rsid w:val="009B7BD9"/>
    <w:rsid w:val="009C3F20"/>
    <w:rsid w:val="009C54B0"/>
    <w:rsid w:val="009C7DD5"/>
    <w:rsid w:val="009D3400"/>
    <w:rsid w:val="009D408D"/>
    <w:rsid w:val="009D51B5"/>
    <w:rsid w:val="009D6D73"/>
    <w:rsid w:val="009D7328"/>
    <w:rsid w:val="009D7B44"/>
    <w:rsid w:val="009E0A07"/>
    <w:rsid w:val="009E227D"/>
    <w:rsid w:val="009E2770"/>
    <w:rsid w:val="009E3DD1"/>
    <w:rsid w:val="009E5019"/>
    <w:rsid w:val="009E6EAC"/>
    <w:rsid w:val="009E6F1D"/>
    <w:rsid w:val="009E7CE9"/>
    <w:rsid w:val="009F02B2"/>
    <w:rsid w:val="009F3B58"/>
    <w:rsid w:val="009F4244"/>
    <w:rsid w:val="009F4ECD"/>
    <w:rsid w:val="009F58D2"/>
    <w:rsid w:val="009F65FA"/>
    <w:rsid w:val="00A04F1B"/>
    <w:rsid w:val="00A0501B"/>
    <w:rsid w:val="00A05524"/>
    <w:rsid w:val="00A0576F"/>
    <w:rsid w:val="00A0664E"/>
    <w:rsid w:val="00A1019C"/>
    <w:rsid w:val="00A10988"/>
    <w:rsid w:val="00A110EE"/>
    <w:rsid w:val="00A116C9"/>
    <w:rsid w:val="00A14490"/>
    <w:rsid w:val="00A14947"/>
    <w:rsid w:val="00A22E23"/>
    <w:rsid w:val="00A241A4"/>
    <w:rsid w:val="00A27BCE"/>
    <w:rsid w:val="00A3125F"/>
    <w:rsid w:val="00A319E8"/>
    <w:rsid w:val="00A32A83"/>
    <w:rsid w:val="00A33FAD"/>
    <w:rsid w:val="00A3519D"/>
    <w:rsid w:val="00A367A2"/>
    <w:rsid w:val="00A368DB"/>
    <w:rsid w:val="00A406DE"/>
    <w:rsid w:val="00A4200F"/>
    <w:rsid w:val="00A423AA"/>
    <w:rsid w:val="00A44600"/>
    <w:rsid w:val="00A45880"/>
    <w:rsid w:val="00A46788"/>
    <w:rsid w:val="00A46D01"/>
    <w:rsid w:val="00A51EF9"/>
    <w:rsid w:val="00A52D53"/>
    <w:rsid w:val="00A52F71"/>
    <w:rsid w:val="00A53EC6"/>
    <w:rsid w:val="00A54FE6"/>
    <w:rsid w:val="00A55C0F"/>
    <w:rsid w:val="00A60DEE"/>
    <w:rsid w:val="00A62114"/>
    <w:rsid w:val="00A64780"/>
    <w:rsid w:val="00A704A6"/>
    <w:rsid w:val="00A72B49"/>
    <w:rsid w:val="00A77074"/>
    <w:rsid w:val="00A8041F"/>
    <w:rsid w:val="00A806A7"/>
    <w:rsid w:val="00A80F98"/>
    <w:rsid w:val="00A819B6"/>
    <w:rsid w:val="00A81C42"/>
    <w:rsid w:val="00A82661"/>
    <w:rsid w:val="00A8335B"/>
    <w:rsid w:val="00A834B3"/>
    <w:rsid w:val="00A8520D"/>
    <w:rsid w:val="00A8713F"/>
    <w:rsid w:val="00A87371"/>
    <w:rsid w:val="00A90BA1"/>
    <w:rsid w:val="00A92DDE"/>
    <w:rsid w:val="00A93055"/>
    <w:rsid w:val="00A953A9"/>
    <w:rsid w:val="00A971AA"/>
    <w:rsid w:val="00A97637"/>
    <w:rsid w:val="00A97A9A"/>
    <w:rsid w:val="00AA0671"/>
    <w:rsid w:val="00AA1AAE"/>
    <w:rsid w:val="00AA2421"/>
    <w:rsid w:val="00AA2531"/>
    <w:rsid w:val="00AA2FBC"/>
    <w:rsid w:val="00AA3FF3"/>
    <w:rsid w:val="00AA7C04"/>
    <w:rsid w:val="00AB1E09"/>
    <w:rsid w:val="00AB5330"/>
    <w:rsid w:val="00AB7747"/>
    <w:rsid w:val="00AC14CE"/>
    <w:rsid w:val="00AC1B19"/>
    <w:rsid w:val="00AC256C"/>
    <w:rsid w:val="00AC2743"/>
    <w:rsid w:val="00AC2A56"/>
    <w:rsid w:val="00AC6A61"/>
    <w:rsid w:val="00AC77F0"/>
    <w:rsid w:val="00AC7B57"/>
    <w:rsid w:val="00AC7E39"/>
    <w:rsid w:val="00AD055E"/>
    <w:rsid w:val="00AD316E"/>
    <w:rsid w:val="00AD4740"/>
    <w:rsid w:val="00AD47A7"/>
    <w:rsid w:val="00AD56D2"/>
    <w:rsid w:val="00AD5F7F"/>
    <w:rsid w:val="00AE0232"/>
    <w:rsid w:val="00AE22DF"/>
    <w:rsid w:val="00AE2CB1"/>
    <w:rsid w:val="00AE42F1"/>
    <w:rsid w:val="00AF0CBF"/>
    <w:rsid w:val="00AF23E3"/>
    <w:rsid w:val="00AF257F"/>
    <w:rsid w:val="00AF33CF"/>
    <w:rsid w:val="00AF357B"/>
    <w:rsid w:val="00AF4D50"/>
    <w:rsid w:val="00AF5B5C"/>
    <w:rsid w:val="00AF5C4A"/>
    <w:rsid w:val="00AF6179"/>
    <w:rsid w:val="00B00CBA"/>
    <w:rsid w:val="00B02AA7"/>
    <w:rsid w:val="00B03952"/>
    <w:rsid w:val="00B03E4B"/>
    <w:rsid w:val="00B116CE"/>
    <w:rsid w:val="00B1295A"/>
    <w:rsid w:val="00B14C0E"/>
    <w:rsid w:val="00B20A45"/>
    <w:rsid w:val="00B20E30"/>
    <w:rsid w:val="00B21405"/>
    <w:rsid w:val="00B229EA"/>
    <w:rsid w:val="00B22C5C"/>
    <w:rsid w:val="00B248CC"/>
    <w:rsid w:val="00B24F30"/>
    <w:rsid w:val="00B265C3"/>
    <w:rsid w:val="00B3056A"/>
    <w:rsid w:val="00B31ABF"/>
    <w:rsid w:val="00B33BE3"/>
    <w:rsid w:val="00B33F99"/>
    <w:rsid w:val="00B35A6F"/>
    <w:rsid w:val="00B35BC6"/>
    <w:rsid w:val="00B41E0E"/>
    <w:rsid w:val="00B42B88"/>
    <w:rsid w:val="00B42FC3"/>
    <w:rsid w:val="00B43BF6"/>
    <w:rsid w:val="00B441A3"/>
    <w:rsid w:val="00B44363"/>
    <w:rsid w:val="00B44665"/>
    <w:rsid w:val="00B45E71"/>
    <w:rsid w:val="00B474A0"/>
    <w:rsid w:val="00B47E1D"/>
    <w:rsid w:val="00B526C1"/>
    <w:rsid w:val="00B53B5D"/>
    <w:rsid w:val="00B53BD2"/>
    <w:rsid w:val="00B53E6D"/>
    <w:rsid w:val="00B54754"/>
    <w:rsid w:val="00B6055E"/>
    <w:rsid w:val="00B61D09"/>
    <w:rsid w:val="00B6317D"/>
    <w:rsid w:val="00B736E5"/>
    <w:rsid w:val="00B73836"/>
    <w:rsid w:val="00B7426D"/>
    <w:rsid w:val="00B75CBD"/>
    <w:rsid w:val="00B7723F"/>
    <w:rsid w:val="00B80534"/>
    <w:rsid w:val="00B80870"/>
    <w:rsid w:val="00B8433C"/>
    <w:rsid w:val="00B84F7A"/>
    <w:rsid w:val="00B87491"/>
    <w:rsid w:val="00B87C68"/>
    <w:rsid w:val="00B90B59"/>
    <w:rsid w:val="00B916E1"/>
    <w:rsid w:val="00B92E63"/>
    <w:rsid w:val="00B93CB1"/>
    <w:rsid w:val="00B95821"/>
    <w:rsid w:val="00B968D4"/>
    <w:rsid w:val="00BA297B"/>
    <w:rsid w:val="00BA29E9"/>
    <w:rsid w:val="00BA3AFD"/>
    <w:rsid w:val="00BA7142"/>
    <w:rsid w:val="00BA73FC"/>
    <w:rsid w:val="00BA780D"/>
    <w:rsid w:val="00BB1184"/>
    <w:rsid w:val="00BB2242"/>
    <w:rsid w:val="00BB237C"/>
    <w:rsid w:val="00BB41A3"/>
    <w:rsid w:val="00BB4602"/>
    <w:rsid w:val="00BB4F13"/>
    <w:rsid w:val="00BB7DAE"/>
    <w:rsid w:val="00BC32DC"/>
    <w:rsid w:val="00BC35B6"/>
    <w:rsid w:val="00BC3EFD"/>
    <w:rsid w:val="00BC605F"/>
    <w:rsid w:val="00BD014A"/>
    <w:rsid w:val="00BD0261"/>
    <w:rsid w:val="00BD1031"/>
    <w:rsid w:val="00BD1B51"/>
    <w:rsid w:val="00BD4596"/>
    <w:rsid w:val="00BD6917"/>
    <w:rsid w:val="00BD71A6"/>
    <w:rsid w:val="00BE1405"/>
    <w:rsid w:val="00BE2145"/>
    <w:rsid w:val="00BE312D"/>
    <w:rsid w:val="00BE3E86"/>
    <w:rsid w:val="00BE498D"/>
    <w:rsid w:val="00BE4EA6"/>
    <w:rsid w:val="00BE7132"/>
    <w:rsid w:val="00BF1C20"/>
    <w:rsid w:val="00BF4727"/>
    <w:rsid w:val="00BF4A46"/>
    <w:rsid w:val="00BF55D4"/>
    <w:rsid w:val="00C003CD"/>
    <w:rsid w:val="00C0096F"/>
    <w:rsid w:val="00C031DE"/>
    <w:rsid w:val="00C0462E"/>
    <w:rsid w:val="00C05355"/>
    <w:rsid w:val="00C1000F"/>
    <w:rsid w:val="00C10578"/>
    <w:rsid w:val="00C12415"/>
    <w:rsid w:val="00C135BC"/>
    <w:rsid w:val="00C13D52"/>
    <w:rsid w:val="00C13F85"/>
    <w:rsid w:val="00C14CB8"/>
    <w:rsid w:val="00C1522B"/>
    <w:rsid w:val="00C15C95"/>
    <w:rsid w:val="00C2297F"/>
    <w:rsid w:val="00C24632"/>
    <w:rsid w:val="00C2596A"/>
    <w:rsid w:val="00C268AB"/>
    <w:rsid w:val="00C27537"/>
    <w:rsid w:val="00C319F9"/>
    <w:rsid w:val="00C328FE"/>
    <w:rsid w:val="00C32AEF"/>
    <w:rsid w:val="00C33507"/>
    <w:rsid w:val="00C33946"/>
    <w:rsid w:val="00C346EC"/>
    <w:rsid w:val="00C40CE8"/>
    <w:rsid w:val="00C41D02"/>
    <w:rsid w:val="00C4409D"/>
    <w:rsid w:val="00C44655"/>
    <w:rsid w:val="00C44E72"/>
    <w:rsid w:val="00C454B8"/>
    <w:rsid w:val="00C457DB"/>
    <w:rsid w:val="00C45A06"/>
    <w:rsid w:val="00C47524"/>
    <w:rsid w:val="00C47E5B"/>
    <w:rsid w:val="00C51EFC"/>
    <w:rsid w:val="00C55D6A"/>
    <w:rsid w:val="00C5700B"/>
    <w:rsid w:val="00C57939"/>
    <w:rsid w:val="00C60171"/>
    <w:rsid w:val="00C61E4B"/>
    <w:rsid w:val="00C63415"/>
    <w:rsid w:val="00C64BFF"/>
    <w:rsid w:val="00C704E9"/>
    <w:rsid w:val="00C763C9"/>
    <w:rsid w:val="00C7788B"/>
    <w:rsid w:val="00C7792B"/>
    <w:rsid w:val="00C80057"/>
    <w:rsid w:val="00C80A58"/>
    <w:rsid w:val="00C8207F"/>
    <w:rsid w:val="00C82232"/>
    <w:rsid w:val="00C82409"/>
    <w:rsid w:val="00C82913"/>
    <w:rsid w:val="00C8357F"/>
    <w:rsid w:val="00C854CA"/>
    <w:rsid w:val="00C90570"/>
    <w:rsid w:val="00C90D53"/>
    <w:rsid w:val="00C9141A"/>
    <w:rsid w:val="00C95DA3"/>
    <w:rsid w:val="00C972B1"/>
    <w:rsid w:val="00CA2182"/>
    <w:rsid w:val="00CA2B9B"/>
    <w:rsid w:val="00CA2CCE"/>
    <w:rsid w:val="00CA37A1"/>
    <w:rsid w:val="00CA4331"/>
    <w:rsid w:val="00CA43FD"/>
    <w:rsid w:val="00CA69A1"/>
    <w:rsid w:val="00CA737D"/>
    <w:rsid w:val="00CA77B9"/>
    <w:rsid w:val="00CA7EF8"/>
    <w:rsid w:val="00CB0B29"/>
    <w:rsid w:val="00CB0E5E"/>
    <w:rsid w:val="00CB14C5"/>
    <w:rsid w:val="00CB2622"/>
    <w:rsid w:val="00CB71EF"/>
    <w:rsid w:val="00CB77F9"/>
    <w:rsid w:val="00CC489B"/>
    <w:rsid w:val="00CC5B18"/>
    <w:rsid w:val="00CC792E"/>
    <w:rsid w:val="00CD0E2A"/>
    <w:rsid w:val="00CD2BCD"/>
    <w:rsid w:val="00CD3733"/>
    <w:rsid w:val="00CD3A4C"/>
    <w:rsid w:val="00CD4E04"/>
    <w:rsid w:val="00CD5067"/>
    <w:rsid w:val="00CD7CFA"/>
    <w:rsid w:val="00CE035B"/>
    <w:rsid w:val="00CE10E9"/>
    <w:rsid w:val="00CE2910"/>
    <w:rsid w:val="00CE35FA"/>
    <w:rsid w:val="00CE5393"/>
    <w:rsid w:val="00CE5FE8"/>
    <w:rsid w:val="00CF36BE"/>
    <w:rsid w:val="00CF39A9"/>
    <w:rsid w:val="00CF6000"/>
    <w:rsid w:val="00CF7DBE"/>
    <w:rsid w:val="00D003F3"/>
    <w:rsid w:val="00D0150C"/>
    <w:rsid w:val="00D02CCB"/>
    <w:rsid w:val="00D0364F"/>
    <w:rsid w:val="00D06834"/>
    <w:rsid w:val="00D069A3"/>
    <w:rsid w:val="00D0723B"/>
    <w:rsid w:val="00D0743B"/>
    <w:rsid w:val="00D13BF8"/>
    <w:rsid w:val="00D16C23"/>
    <w:rsid w:val="00D22F3A"/>
    <w:rsid w:val="00D231A2"/>
    <w:rsid w:val="00D248C3"/>
    <w:rsid w:val="00D308ED"/>
    <w:rsid w:val="00D36D86"/>
    <w:rsid w:val="00D428AA"/>
    <w:rsid w:val="00D43AED"/>
    <w:rsid w:val="00D46D7B"/>
    <w:rsid w:val="00D505D4"/>
    <w:rsid w:val="00D50A34"/>
    <w:rsid w:val="00D50A74"/>
    <w:rsid w:val="00D52111"/>
    <w:rsid w:val="00D52A67"/>
    <w:rsid w:val="00D53EFA"/>
    <w:rsid w:val="00D54D4A"/>
    <w:rsid w:val="00D54EFE"/>
    <w:rsid w:val="00D55DDE"/>
    <w:rsid w:val="00D6044B"/>
    <w:rsid w:val="00D62A2A"/>
    <w:rsid w:val="00D642E4"/>
    <w:rsid w:val="00D65637"/>
    <w:rsid w:val="00D66420"/>
    <w:rsid w:val="00D70B66"/>
    <w:rsid w:val="00D70BBF"/>
    <w:rsid w:val="00D73FA9"/>
    <w:rsid w:val="00D74F84"/>
    <w:rsid w:val="00D77D82"/>
    <w:rsid w:val="00D84D21"/>
    <w:rsid w:val="00D8608A"/>
    <w:rsid w:val="00D87062"/>
    <w:rsid w:val="00D942A9"/>
    <w:rsid w:val="00D94A7C"/>
    <w:rsid w:val="00D95896"/>
    <w:rsid w:val="00D95FA0"/>
    <w:rsid w:val="00D9608F"/>
    <w:rsid w:val="00D96442"/>
    <w:rsid w:val="00D96FC6"/>
    <w:rsid w:val="00DA09AD"/>
    <w:rsid w:val="00DA6AD9"/>
    <w:rsid w:val="00DA7231"/>
    <w:rsid w:val="00DB1663"/>
    <w:rsid w:val="00DB2279"/>
    <w:rsid w:val="00DB2983"/>
    <w:rsid w:val="00DB4391"/>
    <w:rsid w:val="00DB62F1"/>
    <w:rsid w:val="00DC012D"/>
    <w:rsid w:val="00DC1257"/>
    <w:rsid w:val="00DC251F"/>
    <w:rsid w:val="00DC2753"/>
    <w:rsid w:val="00DC2CC1"/>
    <w:rsid w:val="00DC3DBA"/>
    <w:rsid w:val="00DC3DC0"/>
    <w:rsid w:val="00DC5B2B"/>
    <w:rsid w:val="00DC5E9C"/>
    <w:rsid w:val="00DC7DFC"/>
    <w:rsid w:val="00DD1C4A"/>
    <w:rsid w:val="00DD1C4B"/>
    <w:rsid w:val="00DD20FB"/>
    <w:rsid w:val="00DD318D"/>
    <w:rsid w:val="00DE3CEA"/>
    <w:rsid w:val="00DE42DC"/>
    <w:rsid w:val="00DE4F60"/>
    <w:rsid w:val="00DE5235"/>
    <w:rsid w:val="00DF2E12"/>
    <w:rsid w:val="00DF514A"/>
    <w:rsid w:val="00DF6690"/>
    <w:rsid w:val="00DF6804"/>
    <w:rsid w:val="00DF6B29"/>
    <w:rsid w:val="00E009C4"/>
    <w:rsid w:val="00E0116C"/>
    <w:rsid w:val="00E01C06"/>
    <w:rsid w:val="00E021B5"/>
    <w:rsid w:val="00E0358D"/>
    <w:rsid w:val="00E04323"/>
    <w:rsid w:val="00E06A99"/>
    <w:rsid w:val="00E070A2"/>
    <w:rsid w:val="00E1677A"/>
    <w:rsid w:val="00E2367A"/>
    <w:rsid w:val="00E2648A"/>
    <w:rsid w:val="00E2656A"/>
    <w:rsid w:val="00E273FF"/>
    <w:rsid w:val="00E31D83"/>
    <w:rsid w:val="00E322E7"/>
    <w:rsid w:val="00E3257D"/>
    <w:rsid w:val="00E33549"/>
    <w:rsid w:val="00E33AA5"/>
    <w:rsid w:val="00E34178"/>
    <w:rsid w:val="00E35807"/>
    <w:rsid w:val="00E35C96"/>
    <w:rsid w:val="00E36783"/>
    <w:rsid w:val="00E400CB"/>
    <w:rsid w:val="00E412D0"/>
    <w:rsid w:val="00E41990"/>
    <w:rsid w:val="00E44901"/>
    <w:rsid w:val="00E44FA4"/>
    <w:rsid w:val="00E47C2E"/>
    <w:rsid w:val="00E51AB9"/>
    <w:rsid w:val="00E52FA5"/>
    <w:rsid w:val="00E54559"/>
    <w:rsid w:val="00E56322"/>
    <w:rsid w:val="00E57689"/>
    <w:rsid w:val="00E60982"/>
    <w:rsid w:val="00E61FDC"/>
    <w:rsid w:val="00E62C62"/>
    <w:rsid w:val="00E635A0"/>
    <w:rsid w:val="00E654C1"/>
    <w:rsid w:val="00E65D97"/>
    <w:rsid w:val="00E669C9"/>
    <w:rsid w:val="00E676EE"/>
    <w:rsid w:val="00E676F7"/>
    <w:rsid w:val="00E67864"/>
    <w:rsid w:val="00E71A57"/>
    <w:rsid w:val="00E72A5A"/>
    <w:rsid w:val="00E73354"/>
    <w:rsid w:val="00E74215"/>
    <w:rsid w:val="00E7555D"/>
    <w:rsid w:val="00E84DC0"/>
    <w:rsid w:val="00E86768"/>
    <w:rsid w:val="00E90F3D"/>
    <w:rsid w:val="00E91357"/>
    <w:rsid w:val="00E91D1E"/>
    <w:rsid w:val="00E9242D"/>
    <w:rsid w:val="00E95192"/>
    <w:rsid w:val="00E9544E"/>
    <w:rsid w:val="00E959F7"/>
    <w:rsid w:val="00E95BD9"/>
    <w:rsid w:val="00EA1AC2"/>
    <w:rsid w:val="00EA1D3F"/>
    <w:rsid w:val="00EA2B9B"/>
    <w:rsid w:val="00EA7252"/>
    <w:rsid w:val="00EB2A19"/>
    <w:rsid w:val="00EB2F98"/>
    <w:rsid w:val="00EB5255"/>
    <w:rsid w:val="00EB5C47"/>
    <w:rsid w:val="00EB6D02"/>
    <w:rsid w:val="00EB7CB2"/>
    <w:rsid w:val="00EC18CA"/>
    <w:rsid w:val="00EC5F63"/>
    <w:rsid w:val="00EC6A94"/>
    <w:rsid w:val="00EC7419"/>
    <w:rsid w:val="00EC760F"/>
    <w:rsid w:val="00ED0639"/>
    <w:rsid w:val="00ED0C5A"/>
    <w:rsid w:val="00ED54E9"/>
    <w:rsid w:val="00ED6E81"/>
    <w:rsid w:val="00EE2B7D"/>
    <w:rsid w:val="00EE7533"/>
    <w:rsid w:val="00EF03FE"/>
    <w:rsid w:val="00EF4755"/>
    <w:rsid w:val="00EF60DB"/>
    <w:rsid w:val="00EF7135"/>
    <w:rsid w:val="00F00951"/>
    <w:rsid w:val="00F027DB"/>
    <w:rsid w:val="00F056E3"/>
    <w:rsid w:val="00F14A7A"/>
    <w:rsid w:val="00F14AB8"/>
    <w:rsid w:val="00F14C60"/>
    <w:rsid w:val="00F162FA"/>
    <w:rsid w:val="00F16AEB"/>
    <w:rsid w:val="00F20E8E"/>
    <w:rsid w:val="00F22985"/>
    <w:rsid w:val="00F2463A"/>
    <w:rsid w:val="00F24D54"/>
    <w:rsid w:val="00F25A79"/>
    <w:rsid w:val="00F3383E"/>
    <w:rsid w:val="00F40B4F"/>
    <w:rsid w:val="00F40BE6"/>
    <w:rsid w:val="00F40F21"/>
    <w:rsid w:val="00F43B08"/>
    <w:rsid w:val="00F465A7"/>
    <w:rsid w:val="00F50723"/>
    <w:rsid w:val="00F50B7C"/>
    <w:rsid w:val="00F51100"/>
    <w:rsid w:val="00F539C8"/>
    <w:rsid w:val="00F550E6"/>
    <w:rsid w:val="00F5745E"/>
    <w:rsid w:val="00F579B1"/>
    <w:rsid w:val="00F6036D"/>
    <w:rsid w:val="00F6092E"/>
    <w:rsid w:val="00F60F0E"/>
    <w:rsid w:val="00F614EE"/>
    <w:rsid w:val="00F615DE"/>
    <w:rsid w:val="00F63959"/>
    <w:rsid w:val="00F642EF"/>
    <w:rsid w:val="00F64CDE"/>
    <w:rsid w:val="00F65EA3"/>
    <w:rsid w:val="00F66DF7"/>
    <w:rsid w:val="00F66E87"/>
    <w:rsid w:val="00F675B2"/>
    <w:rsid w:val="00F726D7"/>
    <w:rsid w:val="00F74345"/>
    <w:rsid w:val="00F7680E"/>
    <w:rsid w:val="00F76C46"/>
    <w:rsid w:val="00F80A0A"/>
    <w:rsid w:val="00F8141C"/>
    <w:rsid w:val="00F81B39"/>
    <w:rsid w:val="00F82B19"/>
    <w:rsid w:val="00F83907"/>
    <w:rsid w:val="00F86120"/>
    <w:rsid w:val="00F9212D"/>
    <w:rsid w:val="00F965DA"/>
    <w:rsid w:val="00FA0ED6"/>
    <w:rsid w:val="00FA1CFA"/>
    <w:rsid w:val="00FA1D01"/>
    <w:rsid w:val="00FA1E3F"/>
    <w:rsid w:val="00FA3819"/>
    <w:rsid w:val="00FA406A"/>
    <w:rsid w:val="00FA7E2E"/>
    <w:rsid w:val="00FB0561"/>
    <w:rsid w:val="00FB0A4A"/>
    <w:rsid w:val="00FB12D0"/>
    <w:rsid w:val="00FB175E"/>
    <w:rsid w:val="00FB2693"/>
    <w:rsid w:val="00FB30F8"/>
    <w:rsid w:val="00FB3117"/>
    <w:rsid w:val="00FB3384"/>
    <w:rsid w:val="00FB503A"/>
    <w:rsid w:val="00FB516C"/>
    <w:rsid w:val="00FC02D1"/>
    <w:rsid w:val="00FC08C5"/>
    <w:rsid w:val="00FC1966"/>
    <w:rsid w:val="00FC396F"/>
    <w:rsid w:val="00FC42A8"/>
    <w:rsid w:val="00FC5FA4"/>
    <w:rsid w:val="00FD0236"/>
    <w:rsid w:val="00FD1407"/>
    <w:rsid w:val="00FD18F4"/>
    <w:rsid w:val="00FD2074"/>
    <w:rsid w:val="00FD4742"/>
    <w:rsid w:val="00FD5487"/>
    <w:rsid w:val="00FD54DB"/>
    <w:rsid w:val="00FD619F"/>
    <w:rsid w:val="00FE0272"/>
    <w:rsid w:val="00FE1B4E"/>
    <w:rsid w:val="00FE29FA"/>
    <w:rsid w:val="00FE3755"/>
    <w:rsid w:val="00FE3A9F"/>
    <w:rsid w:val="00FE49D5"/>
    <w:rsid w:val="00FE717C"/>
    <w:rsid w:val="00FF22E1"/>
    <w:rsid w:val="00FF2B2A"/>
    <w:rsid w:val="00FF2BF0"/>
    <w:rsid w:val="00FF32DE"/>
    <w:rsid w:val="00FF59A4"/>
    <w:rsid w:val="00FF7788"/>
    <w:rsid w:val="011363EA"/>
    <w:rsid w:val="01290F7E"/>
    <w:rsid w:val="015D1E09"/>
    <w:rsid w:val="02697903"/>
    <w:rsid w:val="02922664"/>
    <w:rsid w:val="02F96569"/>
    <w:rsid w:val="03D235A8"/>
    <w:rsid w:val="03EA7B21"/>
    <w:rsid w:val="047803AE"/>
    <w:rsid w:val="04DA4BA7"/>
    <w:rsid w:val="04F672AE"/>
    <w:rsid w:val="0580110F"/>
    <w:rsid w:val="05F5443E"/>
    <w:rsid w:val="05F83EAE"/>
    <w:rsid w:val="063E7D85"/>
    <w:rsid w:val="07293586"/>
    <w:rsid w:val="07295285"/>
    <w:rsid w:val="074D6657"/>
    <w:rsid w:val="07636392"/>
    <w:rsid w:val="07770C56"/>
    <w:rsid w:val="07B60501"/>
    <w:rsid w:val="07F70614"/>
    <w:rsid w:val="08F32393"/>
    <w:rsid w:val="092217DD"/>
    <w:rsid w:val="093A7294"/>
    <w:rsid w:val="099C16AE"/>
    <w:rsid w:val="0A0A5D8A"/>
    <w:rsid w:val="0A263993"/>
    <w:rsid w:val="0A2D3AC2"/>
    <w:rsid w:val="0A3848F7"/>
    <w:rsid w:val="0A9808A3"/>
    <w:rsid w:val="0AA755DF"/>
    <w:rsid w:val="0AC84667"/>
    <w:rsid w:val="0B120D44"/>
    <w:rsid w:val="0B246153"/>
    <w:rsid w:val="0B8B20F4"/>
    <w:rsid w:val="0BD27BF6"/>
    <w:rsid w:val="0C3B3C7D"/>
    <w:rsid w:val="0CAB2EAE"/>
    <w:rsid w:val="0CC9403F"/>
    <w:rsid w:val="0D621C7D"/>
    <w:rsid w:val="0D7840A1"/>
    <w:rsid w:val="0D9D3893"/>
    <w:rsid w:val="0DCB103A"/>
    <w:rsid w:val="0E2B15AE"/>
    <w:rsid w:val="0E73034D"/>
    <w:rsid w:val="0EE53BBD"/>
    <w:rsid w:val="0F13775A"/>
    <w:rsid w:val="0F5F45FE"/>
    <w:rsid w:val="0F9A112B"/>
    <w:rsid w:val="10082991"/>
    <w:rsid w:val="102A1F01"/>
    <w:rsid w:val="106D2F64"/>
    <w:rsid w:val="10B63710"/>
    <w:rsid w:val="10CB1556"/>
    <w:rsid w:val="10F10820"/>
    <w:rsid w:val="11196F2D"/>
    <w:rsid w:val="111C2F7A"/>
    <w:rsid w:val="113951ED"/>
    <w:rsid w:val="11665CA1"/>
    <w:rsid w:val="11A12988"/>
    <w:rsid w:val="11EA20AB"/>
    <w:rsid w:val="12175C29"/>
    <w:rsid w:val="12DF4FCE"/>
    <w:rsid w:val="12E0249A"/>
    <w:rsid w:val="13951726"/>
    <w:rsid w:val="13D17487"/>
    <w:rsid w:val="14396509"/>
    <w:rsid w:val="14851CDE"/>
    <w:rsid w:val="148A1D70"/>
    <w:rsid w:val="14DD2C3C"/>
    <w:rsid w:val="16087E1D"/>
    <w:rsid w:val="17701D14"/>
    <w:rsid w:val="17735226"/>
    <w:rsid w:val="189F624C"/>
    <w:rsid w:val="19DB478F"/>
    <w:rsid w:val="1A1C66C0"/>
    <w:rsid w:val="1A42393B"/>
    <w:rsid w:val="1A512AA1"/>
    <w:rsid w:val="1AAD45DE"/>
    <w:rsid w:val="1AE74D2F"/>
    <w:rsid w:val="1B046F80"/>
    <w:rsid w:val="1B0A2D61"/>
    <w:rsid w:val="1B3267B5"/>
    <w:rsid w:val="1B40161D"/>
    <w:rsid w:val="1B441859"/>
    <w:rsid w:val="1B6606B1"/>
    <w:rsid w:val="1C5E7925"/>
    <w:rsid w:val="1CFD070F"/>
    <w:rsid w:val="1D5F6196"/>
    <w:rsid w:val="1D6132A5"/>
    <w:rsid w:val="1D8E56D5"/>
    <w:rsid w:val="1D90370C"/>
    <w:rsid w:val="1E7A43DA"/>
    <w:rsid w:val="1EF15117"/>
    <w:rsid w:val="1FA61059"/>
    <w:rsid w:val="1FE7539E"/>
    <w:rsid w:val="20271EF4"/>
    <w:rsid w:val="20671BE0"/>
    <w:rsid w:val="20963CB8"/>
    <w:rsid w:val="20A52A24"/>
    <w:rsid w:val="20A81A1B"/>
    <w:rsid w:val="20AF33FC"/>
    <w:rsid w:val="20B07FB6"/>
    <w:rsid w:val="20B646FB"/>
    <w:rsid w:val="21392129"/>
    <w:rsid w:val="213B74B1"/>
    <w:rsid w:val="21464169"/>
    <w:rsid w:val="215A2310"/>
    <w:rsid w:val="21DE318A"/>
    <w:rsid w:val="21EF5B80"/>
    <w:rsid w:val="22125198"/>
    <w:rsid w:val="2234120F"/>
    <w:rsid w:val="225668AF"/>
    <w:rsid w:val="22576990"/>
    <w:rsid w:val="22F47480"/>
    <w:rsid w:val="23DE1C48"/>
    <w:rsid w:val="23F06E68"/>
    <w:rsid w:val="240210CD"/>
    <w:rsid w:val="24510BA1"/>
    <w:rsid w:val="24BF09F7"/>
    <w:rsid w:val="25027066"/>
    <w:rsid w:val="252D53FE"/>
    <w:rsid w:val="257F0691"/>
    <w:rsid w:val="25E92311"/>
    <w:rsid w:val="25EC2D81"/>
    <w:rsid w:val="26C8427A"/>
    <w:rsid w:val="274972EA"/>
    <w:rsid w:val="274F43F6"/>
    <w:rsid w:val="277057A2"/>
    <w:rsid w:val="283C035D"/>
    <w:rsid w:val="28D5060A"/>
    <w:rsid w:val="29206EB8"/>
    <w:rsid w:val="295953C0"/>
    <w:rsid w:val="29595666"/>
    <w:rsid w:val="29874881"/>
    <w:rsid w:val="29E325E0"/>
    <w:rsid w:val="2A0264ED"/>
    <w:rsid w:val="2A040A60"/>
    <w:rsid w:val="2A452503"/>
    <w:rsid w:val="2AC918B2"/>
    <w:rsid w:val="2BA936A8"/>
    <w:rsid w:val="2C315A5A"/>
    <w:rsid w:val="2C4B1C25"/>
    <w:rsid w:val="2D564C0C"/>
    <w:rsid w:val="2D9E56F5"/>
    <w:rsid w:val="2E5642BC"/>
    <w:rsid w:val="2E667F96"/>
    <w:rsid w:val="2E8226AB"/>
    <w:rsid w:val="2EF96F36"/>
    <w:rsid w:val="2F0401BB"/>
    <w:rsid w:val="2FD065E6"/>
    <w:rsid w:val="2FD96870"/>
    <w:rsid w:val="300E3119"/>
    <w:rsid w:val="30580BC9"/>
    <w:rsid w:val="311E2ED7"/>
    <w:rsid w:val="315619EE"/>
    <w:rsid w:val="315B79B7"/>
    <w:rsid w:val="315C449C"/>
    <w:rsid w:val="31B82709"/>
    <w:rsid w:val="31D05482"/>
    <w:rsid w:val="32016DBC"/>
    <w:rsid w:val="32400B34"/>
    <w:rsid w:val="324C4353"/>
    <w:rsid w:val="329E6876"/>
    <w:rsid w:val="333015F2"/>
    <w:rsid w:val="334B6320"/>
    <w:rsid w:val="338410D5"/>
    <w:rsid w:val="33D934D4"/>
    <w:rsid w:val="33FE2F6A"/>
    <w:rsid w:val="340E07E5"/>
    <w:rsid w:val="34235BF7"/>
    <w:rsid w:val="346E3672"/>
    <w:rsid w:val="34D90276"/>
    <w:rsid w:val="358C5FA8"/>
    <w:rsid w:val="35C15DF1"/>
    <w:rsid w:val="35F83A08"/>
    <w:rsid w:val="36074A7F"/>
    <w:rsid w:val="36923549"/>
    <w:rsid w:val="369D3482"/>
    <w:rsid w:val="36B75FBF"/>
    <w:rsid w:val="36BD0C45"/>
    <w:rsid w:val="36F445E5"/>
    <w:rsid w:val="37393E2C"/>
    <w:rsid w:val="37950650"/>
    <w:rsid w:val="37E00298"/>
    <w:rsid w:val="37EE7A36"/>
    <w:rsid w:val="38B302F9"/>
    <w:rsid w:val="38F12CD3"/>
    <w:rsid w:val="38F94775"/>
    <w:rsid w:val="390F3B60"/>
    <w:rsid w:val="392971ED"/>
    <w:rsid w:val="39325651"/>
    <w:rsid w:val="399D5494"/>
    <w:rsid w:val="3A872856"/>
    <w:rsid w:val="3A932395"/>
    <w:rsid w:val="3B3763D1"/>
    <w:rsid w:val="3C13195C"/>
    <w:rsid w:val="3C2F6E1E"/>
    <w:rsid w:val="3C4F64BA"/>
    <w:rsid w:val="3C8F2D94"/>
    <w:rsid w:val="3CDA245A"/>
    <w:rsid w:val="3CEF1D4F"/>
    <w:rsid w:val="3D1E06B7"/>
    <w:rsid w:val="3D380C7F"/>
    <w:rsid w:val="3D902000"/>
    <w:rsid w:val="3DBF168E"/>
    <w:rsid w:val="3EDA0523"/>
    <w:rsid w:val="3FD86EB0"/>
    <w:rsid w:val="4030431F"/>
    <w:rsid w:val="405B1F44"/>
    <w:rsid w:val="407A6407"/>
    <w:rsid w:val="4135405C"/>
    <w:rsid w:val="41425328"/>
    <w:rsid w:val="41C7719A"/>
    <w:rsid w:val="4200449D"/>
    <w:rsid w:val="423A3BCC"/>
    <w:rsid w:val="424E57D2"/>
    <w:rsid w:val="426336E7"/>
    <w:rsid w:val="42B26C49"/>
    <w:rsid w:val="433A6FE6"/>
    <w:rsid w:val="43480868"/>
    <w:rsid w:val="4350713C"/>
    <w:rsid w:val="436653E0"/>
    <w:rsid w:val="43A53737"/>
    <w:rsid w:val="43C4431A"/>
    <w:rsid w:val="44202502"/>
    <w:rsid w:val="4427158C"/>
    <w:rsid w:val="44B951CC"/>
    <w:rsid w:val="44CD14E0"/>
    <w:rsid w:val="44D13D53"/>
    <w:rsid w:val="44F20B0B"/>
    <w:rsid w:val="452E5F4C"/>
    <w:rsid w:val="45612018"/>
    <w:rsid w:val="458946E9"/>
    <w:rsid w:val="45A47C0E"/>
    <w:rsid w:val="464C6278"/>
    <w:rsid w:val="46577FD6"/>
    <w:rsid w:val="46A4466D"/>
    <w:rsid w:val="46D955A7"/>
    <w:rsid w:val="46F25217"/>
    <w:rsid w:val="47133957"/>
    <w:rsid w:val="474F0BB4"/>
    <w:rsid w:val="47A07E0C"/>
    <w:rsid w:val="4870272E"/>
    <w:rsid w:val="488A7B87"/>
    <w:rsid w:val="49DC7715"/>
    <w:rsid w:val="4A023139"/>
    <w:rsid w:val="4A7B576F"/>
    <w:rsid w:val="4AF561A9"/>
    <w:rsid w:val="4AFC38C2"/>
    <w:rsid w:val="4B647DBA"/>
    <w:rsid w:val="4B9068E7"/>
    <w:rsid w:val="4C4A0649"/>
    <w:rsid w:val="4C7E5ECA"/>
    <w:rsid w:val="4C876AA5"/>
    <w:rsid w:val="4CD75CC7"/>
    <w:rsid w:val="4D0E00FB"/>
    <w:rsid w:val="4D176606"/>
    <w:rsid w:val="4DB24803"/>
    <w:rsid w:val="4DE80F7C"/>
    <w:rsid w:val="4DEC4FB0"/>
    <w:rsid w:val="4E075D8A"/>
    <w:rsid w:val="4EC00FAD"/>
    <w:rsid w:val="4F9843DC"/>
    <w:rsid w:val="4F9F639A"/>
    <w:rsid w:val="4FC62A8C"/>
    <w:rsid w:val="4FE20F0D"/>
    <w:rsid w:val="4FE51552"/>
    <w:rsid w:val="50504C4B"/>
    <w:rsid w:val="509C6E7C"/>
    <w:rsid w:val="513A1C7C"/>
    <w:rsid w:val="5162104E"/>
    <w:rsid w:val="536410A5"/>
    <w:rsid w:val="53A039CC"/>
    <w:rsid w:val="53A1505A"/>
    <w:rsid w:val="53D855EF"/>
    <w:rsid w:val="54063E08"/>
    <w:rsid w:val="543437E8"/>
    <w:rsid w:val="54DE2BDB"/>
    <w:rsid w:val="54F25B00"/>
    <w:rsid w:val="54F73313"/>
    <w:rsid w:val="54F80955"/>
    <w:rsid w:val="554B3080"/>
    <w:rsid w:val="555170A7"/>
    <w:rsid w:val="5587536D"/>
    <w:rsid w:val="559B174B"/>
    <w:rsid w:val="55CE0CF4"/>
    <w:rsid w:val="56B22A9C"/>
    <w:rsid w:val="57B72A76"/>
    <w:rsid w:val="57C3426C"/>
    <w:rsid w:val="57CE1F93"/>
    <w:rsid w:val="588743D1"/>
    <w:rsid w:val="5887701A"/>
    <w:rsid w:val="590A3BB6"/>
    <w:rsid w:val="59755961"/>
    <w:rsid w:val="599431DD"/>
    <w:rsid w:val="59C0439F"/>
    <w:rsid w:val="5ABE2233"/>
    <w:rsid w:val="5AF704E1"/>
    <w:rsid w:val="5BDF5D95"/>
    <w:rsid w:val="5BFE7528"/>
    <w:rsid w:val="5C276A78"/>
    <w:rsid w:val="5C4E3809"/>
    <w:rsid w:val="5CCF28D8"/>
    <w:rsid w:val="5D6565E9"/>
    <w:rsid w:val="5D9E09C8"/>
    <w:rsid w:val="5E2467F1"/>
    <w:rsid w:val="5E39794A"/>
    <w:rsid w:val="5E9B368F"/>
    <w:rsid w:val="5F1A2B43"/>
    <w:rsid w:val="5FA8261E"/>
    <w:rsid w:val="5FB837BB"/>
    <w:rsid w:val="60800670"/>
    <w:rsid w:val="60A749F7"/>
    <w:rsid w:val="60CC405A"/>
    <w:rsid w:val="60CF202C"/>
    <w:rsid w:val="60EB61B0"/>
    <w:rsid w:val="61774699"/>
    <w:rsid w:val="61DD20F6"/>
    <w:rsid w:val="61E215D8"/>
    <w:rsid w:val="621B3775"/>
    <w:rsid w:val="62364782"/>
    <w:rsid w:val="625B1EC4"/>
    <w:rsid w:val="630E217B"/>
    <w:rsid w:val="635B5593"/>
    <w:rsid w:val="6394356A"/>
    <w:rsid w:val="63C61B2C"/>
    <w:rsid w:val="63D40BE9"/>
    <w:rsid w:val="63D66246"/>
    <w:rsid w:val="64102431"/>
    <w:rsid w:val="64A5243A"/>
    <w:rsid w:val="64F531DE"/>
    <w:rsid w:val="65373578"/>
    <w:rsid w:val="66F16EFB"/>
    <w:rsid w:val="671F124A"/>
    <w:rsid w:val="677A33C6"/>
    <w:rsid w:val="68177EA3"/>
    <w:rsid w:val="681F6961"/>
    <w:rsid w:val="68610A2F"/>
    <w:rsid w:val="68805514"/>
    <w:rsid w:val="68B25FB7"/>
    <w:rsid w:val="69316E2F"/>
    <w:rsid w:val="69333BC5"/>
    <w:rsid w:val="694E2071"/>
    <w:rsid w:val="69674FF3"/>
    <w:rsid w:val="69766163"/>
    <w:rsid w:val="697A3B33"/>
    <w:rsid w:val="69D44760"/>
    <w:rsid w:val="6A520EC7"/>
    <w:rsid w:val="6A61172E"/>
    <w:rsid w:val="6AF87E20"/>
    <w:rsid w:val="6B322639"/>
    <w:rsid w:val="6BAC04BE"/>
    <w:rsid w:val="6C4038DA"/>
    <w:rsid w:val="6C461FC8"/>
    <w:rsid w:val="6C636C38"/>
    <w:rsid w:val="6D8864F6"/>
    <w:rsid w:val="6DB34098"/>
    <w:rsid w:val="6DB545B6"/>
    <w:rsid w:val="6DCE2C6E"/>
    <w:rsid w:val="6DE02FB4"/>
    <w:rsid w:val="6E31797E"/>
    <w:rsid w:val="6E4E27AE"/>
    <w:rsid w:val="6E514CED"/>
    <w:rsid w:val="6E883D1E"/>
    <w:rsid w:val="6EB563D5"/>
    <w:rsid w:val="6ED92677"/>
    <w:rsid w:val="6F225983"/>
    <w:rsid w:val="6FED0607"/>
    <w:rsid w:val="6FFC5590"/>
    <w:rsid w:val="706D1DD0"/>
    <w:rsid w:val="70766CE0"/>
    <w:rsid w:val="70856B87"/>
    <w:rsid w:val="70D527EE"/>
    <w:rsid w:val="715B5300"/>
    <w:rsid w:val="71D27F8A"/>
    <w:rsid w:val="72553024"/>
    <w:rsid w:val="72AF7927"/>
    <w:rsid w:val="72F66929"/>
    <w:rsid w:val="730D1806"/>
    <w:rsid w:val="73122968"/>
    <w:rsid w:val="731F5D5E"/>
    <w:rsid w:val="73C51AD5"/>
    <w:rsid w:val="741E793C"/>
    <w:rsid w:val="745E3944"/>
    <w:rsid w:val="74DD0475"/>
    <w:rsid w:val="74EC1D78"/>
    <w:rsid w:val="75586F9C"/>
    <w:rsid w:val="75666A0D"/>
    <w:rsid w:val="758111EB"/>
    <w:rsid w:val="75877C44"/>
    <w:rsid w:val="75FA0FFD"/>
    <w:rsid w:val="7635099D"/>
    <w:rsid w:val="764B35A7"/>
    <w:rsid w:val="77762421"/>
    <w:rsid w:val="77B56B1F"/>
    <w:rsid w:val="780F09F4"/>
    <w:rsid w:val="78A90480"/>
    <w:rsid w:val="796E799C"/>
    <w:rsid w:val="7A29688D"/>
    <w:rsid w:val="7A364017"/>
    <w:rsid w:val="7A455962"/>
    <w:rsid w:val="7A8265E1"/>
    <w:rsid w:val="7AA27B51"/>
    <w:rsid w:val="7B522F82"/>
    <w:rsid w:val="7B686D42"/>
    <w:rsid w:val="7B841746"/>
    <w:rsid w:val="7B9F1E4C"/>
    <w:rsid w:val="7C6C5AC7"/>
    <w:rsid w:val="7CC6544B"/>
    <w:rsid w:val="7D0239FF"/>
    <w:rsid w:val="7D5E40CD"/>
    <w:rsid w:val="7DCD56F2"/>
    <w:rsid w:val="7DDA210D"/>
    <w:rsid w:val="7E203310"/>
    <w:rsid w:val="7EC01164"/>
    <w:rsid w:val="7EE5239B"/>
    <w:rsid w:val="7F001CE7"/>
    <w:rsid w:val="7F2F7F0A"/>
    <w:rsid w:val="7FA553C2"/>
    <w:rsid w:val="7FE47E5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rules v:ext="edit">
        <o:r id="V:Rule1" type="callout" idref="#_x0000_s2052"/>
        <o:r id="V:Rule2" type="callout" idref="#_x0000_s2054"/>
        <o:r id="V:Rule3" type="connector" idref="#_x0000_s2056"/>
        <o:r id="V:Rule4" type="connector" idref="#_x0000_s2068"/>
        <o:r id="V:Rule5" type="connector" idref="#_x0000_s2071"/>
        <o:r id="V:Rule6" type="connector" idref="#_x0000_s2074"/>
        <o:r id="V:Rule7" type="connector" idref="#_x0000_s2075"/>
        <o:r id="V:Rule8" type="connector" idref="#_x0000_s2081"/>
        <o:r id="V:Rule9" type="connector" idref="#_x0000_s2087"/>
        <o:r id="V:Rule10" type="connector" idref="#_x0000_s2092"/>
        <o:r id="V:Rule11" type="connector" idref="#_x0000_s2096"/>
        <o:r id="V:Rule12" type="connector" idref="#_x0000_s2114"/>
        <o:r id="V:Rule13" type="connector" idref="#_x0000_s2140"/>
        <o:r id="V:Rule14" type="connector" idref="#_x0000_s2166"/>
        <o:r id="V:Rule15" type="callout" idref="#_x0000_s2173"/>
        <o:r id="V:Rule16" type="callout" idref="#_x0000_s2174"/>
        <o:r id="V:Rule17" type="connector" idref="#_x0000_s2179"/>
        <o:r id="V:Rule18" type="connector" idref="#_x0000_s2180"/>
        <o:r id="V:Rule19" type="connector" idref="#_x0000_s2182"/>
        <o:r id="V:Rule20" type="connector" idref="#_x0000_s2185"/>
        <o:r id="V:Rule21" type="connector" idref="#_x0000_s2187"/>
        <o:r id="V:Rule22" type="connector" idref="#_x0000_s2190"/>
        <o:r id="V:Rule23" type="connector" idref="#_x0000_s2195"/>
        <o:r id="V:Rule24" type="connector" idref="#_x0000_s2196"/>
        <o:r id="V:Rule25" type="connector" idref="#_x0000_s2199"/>
        <o:r id="V:Rule26" type="connector" idref="#_x0000_s2202"/>
        <o:r id="V:Rule27" type="connector" idref="#_x0000_s2203"/>
        <o:r id="V:Rule28" type="connector" idref="#_x0000_s2206"/>
        <o:r id="V:Rule29" type="connector" idref="#_x0000_s2210"/>
        <o:r id="V:Rule30" type="connector" idref="#_x0000_s2211"/>
        <o:r id="V:Rule31" type="connector" idref="#_x0000_s2218"/>
        <o:r id="V:Rule32" type="connector" idref="#_x0000_s2220"/>
        <o:r id="V:Rule33" type="connector" idref="#_x0000_s2223"/>
        <o:r id="V:Rule34" type="connector" idref="#_x0000_s2226"/>
        <o:r id="V:Rule35" type="connector" idref="#_x0000_s2238"/>
        <o:r id="V:Rule36" type="connector" idref="#_x0000_s2241"/>
        <o:r id="V:Rule37" type="connector" idref="#_x0000_s2243"/>
        <o:r id="V:Rule38" type="connector" idref="#_x0000_s2245"/>
        <o:r id="V:Rule39" type="connector" idref="#_x0000_s2247"/>
        <o:r id="V:Rule40" type="connector" idref="#_x0000_s2248"/>
        <o:r id="V:Rule41" type="connector" idref="#_x0000_s2249"/>
        <o:r id="V:Rule42" type="connector" idref="#_x0000_s2251"/>
        <o:r id="V:Rule43" type="connector" idref="#_x0000_s2253"/>
        <o:r id="V:Rule44" type="connector" idref="#_x0000_s2258"/>
        <o:r id="V:Rule45" type="connector" idref="#_x0000_s2261"/>
        <o:r id="V:Rule46" type="connector" idref="#_x0000_s2262"/>
        <o:r id="V:Rule47" type="connector" idref="#_x0000_s2264"/>
        <o:r id="V:Rule48" type="connector" idref="#_x0000_s2275"/>
        <o:r id="V:Rule49" type="connector" idref="#_x0000_s2278"/>
        <o:r id="V:Rule50" type="connector" idref="#_x0000_s2279"/>
        <o:r id="V:Rule51" type="connector" idref="#_x0000_s2282"/>
        <o:r id="V:Rule52" type="connector" idref="#_x0000_s2285"/>
        <o:r id="V:Rule53" type="connector" idref="#_x0000_s2286"/>
        <o:r id="V:Rule54" type="connector" idref="#_x0000_s2289"/>
        <o:r id="V:Rule55" type="connector" idref="#_x0000_s2292"/>
        <o:r id="V:Rule56" type="connector" idref="#_x0000_s2294"/>
        <o:r id="V:Rule57" type="connector" idref="#_x0000_s2297"/>
        <o:r id="V:Rule58" type="connector" idref="#_x0000_s2300"/>
        <o:r id="V:Rule59" type="connector" idref="#_x0000_s2301"/>
        <o:r id="V:Rule60" type="connector" idref="#_x0000_s2305"/>
        <o:r id="V:Rule61" type="connector" idref="#_x0000_s2308"/>
        <o:r id="V:Rule62" type="connector" idref="#_x0000_s2309"/>
        <o:r id="V:Rule63" type="connector" idref="#_x0000_s2312"/>
        <o:r id="V:Rule64" type="connector" idref="#_x0000_s2315"/>
        <o:r id="V:Rule65" type="connector" idref="#_x0000_s2316"/>
        <o:r id="V:Rule66" type="connector" idref="#_x0000_s2321"/>
        <o:r id="V:Rule67" type="connector" idref="#_x0000_s2325"/>
        <o:r id="V:Rule68" type="connector" idref="#_x0000_s2326"/>
        <o:r id="V:Rule69" type="connector" idref="#_x0000_s2337"/>
        <o:r id="V:Rule70" type="connector" idref="#_x0000_s2340"/>
        <o:r id="V:Rule71" type="connector" idref="#_x0000_s2343"/>
        <o:r id="V:Rule72" type="connector" idref="#_x0000_s2346"/>
        <o:r id="V:Rule73" type="connector" idref="#_x0000_s2349"/>
        <o:r id="V:Rule74" type="connector" idref="#_x0000_s2351"/>
        <o:r id="V:Rule75" type="connector" idref="#_x0000_s2353"/>
        <o:r id="V:Rule76" type="connector" idref="#_x0000_s2354"/>
        <o:r id="V:Rule77" type="connector" idref="#_x0000_s2355"/>
        <o:r id="V:Rule78" type="connector" idref="#_x0000_s2357"/>
        <o:r id="V:Rule79" type="connector" idref="#_x0000_s2359"/>
        <o:r id="V:Rule80" type="callout" idref="#_x0000_s2538"/>
      </o:rules>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ocked="1"/>
    <w:lsdException w:qFormat="1" w:unhideWhenUsed="0" w:uiPriority="0" w:semiHidden="0" w:name="heading 2" w:locked="1"/>
    <w:lsdException w:qFormat="1" w:unhideWhenUsed="0" w:uiPriority="0" w:semiHidden="0" w:name="heading 3" w:locked="1"/>
    <w:lsdException w:qFormat="1" w:unhideWhenUsed="0" w:uiPriority="0" w:semiHidden="0" w:name="heading 4" w:locked="1"/>
    <w:lsdException w:qFormat="1" w:unhideWhenUsed="0" w:uiPriority="0" w:semiHidden="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qFormat="1"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qFormat="1" w:unhideWhenUsed="0" w:uiPriority="39" w:semiHidden="0" w:name="toc 1" w:locked="1"/>
    <w:lsdException w:qFormat="1" w:unhideWhenUsed="0" w:uiPriority="39" w:semiHidden="0" w:name="toc 2" w:locked="1"/>
    <w:lsdException w:qFormat="1"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qFormat="1" w:unhideWhenUsed="0" w:uiPriority="0" w:semiHidden="0" w:name="toc 7" w:locked="1"/>
    <w:lsdException w:qFormat="1" w:unhideWhenUsed="0" w:uiPriority="0" w:semiHidden="0" w:name="toc 8" w:locked="1"/>
    <w:lsdException w:unhideWhenUsed="0" w:uiPriority="0" w:semiHidden="0" w:name="toc 9" w:locked="1"/>
    <w:lsdException w:qFormat="1" w:unhideWhenUsed="0" w:uiPriority="0" w:semiHidden="0" w:name="Normal Indent" w:locked="1"/>
    <w:lsdException w:qFormat="1" w:uiPriority="0" w:semiHidden="0" w:name="footnote text" w:locked="1"/>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ocked="1"/>
    <w:lsdException w:qFormat="1" w:uiPriority="0" w:name="caption" w:locked="1"/>
    <w:lsdException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0" w:semiHidden="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qFormat="1"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qFormat="1" w:unhideWhenUsed="0" w:uiPriority="0" w:semiHidden="0" w:name="List" w:locked="1"/>
    <w:lsdException w:unhideWhenUsed="0" w:uiPriority="0" w:semiHidden="0" w:name="List Bullet" w:locked="1"/>
    <w:lsdException w:unhideWhenUsed="0" w:uiPriority="0" w:semiHidden="0" w:name="List Number" w:locked="1"/>
    <w:lsdException w:qFormat="1"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qFormat="1"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11" w:semiHidden="0" w:name="Subtitle" w:locked="1"/>
    <w:lsdException w:unhideWhenUsed="0" w:uiPriority="0" w:semiHidden="0" w:name="Salutation" w:locked="1"/>
    <w:lsdException w:qFormat="1" w:unhideWhenUsed="0" w:uiPriority="0" w:semiHidden="0" w:name="Date"/>
    <w:lsdException w:qFormat="1" w:unhideWhenUsed="0" w:uiPriority="99" w:semiHidden="0" w:name="Body Text First Indent" w:locked="1"/>
    <w:lsdException w:qFormat="1" w:uiPriority="0" w:semiHidden="0" w:name="Body Text First Indent 2" w:locked="1"/>
    <w:lsdException w:qFormat="1" w:uiPriority="0" w:semiHidden="0" w:name="Note Heading" w:locked="1"/>
    <w:lsdException w:qFormat="1" w:unhideWhenUsed="0" w:uiPriority="99" w:semiHidden="0" w:name="Body Text 2" w:locked="1"/>
    <w:lsdException w:qFormat="1" w:unhideWhenUsed="0" w:uiPriority="0" w:semiHidden="0" w:name="Body Text 3" w:locked="1"/>
    <w:lsdException w:qFormat="1" w:unhideWhenUsed="0" w:uiPriority="0" w:semiHidden="0" w:name="Body Text Indent 2" w:locked="1"/>
    <w:lsdException w:qFormat="1" w:unhideWhenUsed="0" w:uiPriority="0" w:semiHidden="0" w:name="Body Text Indent 3" w:locked="1"/>
    <w:lsdException w:qFormat="1" w:unhideWhenUsed="0" w:uiPriority="0" w:semiHidden="0" w:name="Block Text" w:locked="1"/>
    <w:lsdException w:qFormat="1" w:unhideWhenUsed="0" w:uiPriority="99" w:semiHidden="0" w:name="Hyperlink" w:locked="1"/>
    <w:lsdException w:qFormat="1" w:unhideWhenUsed="0" w:uiPriority="0" w:semiHidden="0" w:name="FollowedHyperlink" w:locked="1"/>
    <w:lsdException w:qFormat="1" w:unhideWhenUsed="0" w:uiPriority="22" w:semiHidden="0" w:name="Strong" w:locked="1"/>
    <w:lsdException w:qFormat="1" w:unhideWhenUsed="0" w:uiPriority="0" w:semiHidden="0" w:name="Emphasis" w:locked="1"/>
    <w:lsdException w:qFormat="1" w:unhideWhenUsed="0" w:uiPriority="99" w:semiHidden="0" w:name="Document Map" w:locked="1"/>
    <w:lsdException w:qFormat="1" w:unhideWhenUsed="0" w:uiPriority="0" w:semiHidden="0" w:name="Plain Text" w:locked="1"/>
    <w:lsdException w:qFormat="1"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qFormat="1"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iPriority="99" w:name="Normal Table"/>
    <w:lsdException w:qFormat="1" w:unhideWhenUsed="0" w:uiPriority="0" w:semiHidden="0" w:name="annotation subject"/>
    <w:lsdException w:unhideWhenUsed="0" w:uiPriority="0" w:semiHidden="0" w:name="Table Simple 1" w:locked="1"/>
    <w:lsdException w:unhideWhenUsed="0" w:uiPriority="0" w:semiHidden="0" w:name="Table Simple 2" w:locked="1"/>
    <w:lsdException w:unhideWhenUsed="0" w:uiPriority="0" w:semiHidden="0" w:name="Table Simple 3" w:locked="1"/>
    <w:lsdException w:unhideWhenUsed="0" w:uiPriority="0" w:semiHidden="0" w:name="Table Classic 1" w:locked="1"/>
    <w:lsdException w:unhideWhenUsed="0" w:uiPriority="0" w:semiHidden="0" w:name="Table Classic 2" w:locked="1"/>
    <w:lsdException w:unhideWhenUsed="0" w:uiPriority="0" w:semiHidden="0" w:name="Table Classic 3" w:locked="1"/>
    <w:lsdException w:unhideWhenUsed="0" w:uiPriority="0" w:semiHidden="0" w:name="Table Classic 4" w:locked="1"/>
    <w:lsdException w:unhideWhenUsed="0" w:uiPriority="0" w:semiHidden="0" w:name="Table Colorful 1" w:locked="1"/>
    <w:lsdException w:unhideWhenUsed="0" w:uiPriority="0" w:semiHidden="0" w:name="Table Colorful 2" w:locked="1"/>
    <w:lsdException w:unhideWhenUsed="0" w:uiPriority="0" w:semiHidden="0" w:name="Table Colorful 3" w:locked="1"/>
    <w:lsdException w:unhideWhenUsed="0" w:uiPriority="0" w:semiHidden="0" w:name="Table Columns 1" w:locked="1"/>
    <w:lsdException w:unhideWhenUsed="0" w:uiPriority="0" w:semiHidden="0" w:name="Table Columns 2" w:locked="1"/>
    <w:lsdException w:unhideWhenUsed="0" w:uiPriority="0" w:semiHidden="0" w:name="Table Columns 3" w:locked="1"/>
    <w:lsdException w:unhideWhenUsed="0" w:uiPriority="0" w:semiHidden="0" w:name="Table Columns 4" w:locked="1"/>
    <w:lsdException w:unhideWhenUsed="0" w:uiPriority="0" w:semiHidden="0" w:name="Table Columns 5" w:locked="1"/>
    <w:lsdException w:unhideWhenUsed="0" w:uiPriority="0" w:semiHidden="0" w:name="Table Grid 1" w:locked="1"/>
    <w:lsdException w:unhideWhenUsed="0" w:uiPriority="0" w:semiHidden="0" w:name="Table Grid 2" w:locked="1"/>
    <w:lsdException w:unhideWhenUsed="0" w:uiPriority="0" w:semiHidden="0" w:name="Table Grid 3" w:locked="1"/>
    <w:lsdException w:unhideWhenUsed="0" w:uiPriority="0" w:semiHidden="0" w:name="Table Grid 4" w:locked="1"/>
    <w:lsdException w:unhideWhenUsed="0" w:uiPriority="0" w:semiHidden="0" w:name="Table Grid 5" w:locked="1"/>
    <w:lsdException w:unhideWhenUsed="0" w:uiPriority="0" w:semiHidden="0" w:name="Table Grid 6" w:locked="1"/>
    <w:lsdException w:unhideWhenUsed="0" w:uiPriority="0" w:semiHidden="0" w:name="Table Grid 7" w:locked="1"/>
    <w:lsdException w:unhideWhenUsed="0" w:uiPriority="0" w:semiHidden="0" w:name="Table Grid 8" w:locked="1"/>
    <w:lsdException w:unhideWhenUsed="0" w:uiPriority="0" w:semiHidden="0" w:name="Table List 1" w:locked="1"/>
    <w:lsdException w:unhideWhenUsed="0" w:uiPriority="0" w:semiHidden="0" w:name="Table List 2" w:locked="1"/>
    <w:lsdException w:unhideWhenUsed="0" w:uiPriority="0" w:semiHidden="0" w:name="Table List 3" w:locked="1"/>
    <w:lsdException w:unhideWhenUsed="0" w:uiPriority="0" w:semiHidden="0" w:name="Table List 4" w:locked="1"/>
    <w:lsdException w:unhideWhenUsed="0" w:uiPriority="0" w:semiHidden="0" w:name="Table List 5" w:locked="1"/>
    <w:lsdException w:unhideWhenUsed="0" w:uiPriority="0" w:semiHidden="0" w:name="Table List 6" w:locked="1"/>
    <w:lsdException w:unhideWhenUsed="0" w:uiPriority="0" w:semiHidden="0" w:name="Table List 7" w:locked="1"/>
    <w:lsdException w:unhideWhenUsed="0" w:uiPriority="0" w:semiHidden="0" w:name="Table List 8" w:locked="1"/>
    <w:lsdException w:unhideWhenUsed="0" w:uiPriority="0" w:semiHidden="0" w:name="Table 3D effects 1" w:locked="1"/>
    <w:lsdException w:unhideWhenUsed="0" w:uiPriority="0" w:semiHidden="0" w:name="Table 3D effects 2" w:locked="1"/>
    <w:lsdException w:unhideWhenUsed="0" w:uiPriority="0" w:semiHidden="0" w:name="Table 3D effects 3" w:locked="1"/>
    <w:lsdException w:unhideWhenUsed="0" w:uiPriority="0" w:semiHidden="0" w:name="Table Contemporary" w:locked="1"/>
    <w:lsdException w:unhideWhenUsed="0" w:uiPriority="0" w:semiHidden="0" w:name="Table Elegant" w:locked="1"/>
    <w:lsdException w:unhideWhenUsed="0" w:uiPriority="0" w:semiHidden="0" w:name="Table Professional" w:locked="1"/>
    <w:lsdException w:unhideWhenUsed="0" w:uiPriority="0" w:semiHidden="0" w:name="Table Subtle 1" w:locked="1"/>
    <w:lsdException w:unhideWhenUsed="0" w:uiPriority="0" w:semiHidden="0" w:name="Table Subtle 2" w:locked="1"/>
    <w:lsdException w:unhideWhenUsed="0" w:uiPriority="0" w:semiHidden="0" w:name="Table Web 1" w:locked="1"/>
    <w:lsdException w:unhideWhenUsed="0" w:uiPriority="0" w:semiHidden="0" w:name="Table Web 2" w:locked="1"/>
    <w:lsdException w:unhideWhenUsed="0" w:uiPriority="0" w:semiHidden="0" w:name="Table Web 3" w:locked="1"/>
    <w:lsdException w:qFormat="1" w:unhideWhenUsed="0" w:uiPriority="0" w:semiHidden="0" w:name="Balloon Text"/>
    <w:lsdException w:qFormat="1" w:unhideWhenUsed="0" w:uiPriority="59" w:semiHidden="0" w:name="Table Grid"/>
    <w:lsdException w:unhideWhenUsed="0" w:uiPriority="0" w:semiHidden="0" w:name="Table Theme" w:locked="1"/>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link w:val="89"/>
    <w:autoRedefine/>
    <w:qFormat/>
    <w:locked/>
    <w:uiPriority w:val="0"/>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3">
    <w:name w:val="heading 2"/>
    <w:basedOn w:val="1"/>
    <w:next w:val="1"/>
    <w:link w:val="90"/>
    <w:autoRedefine/>
    <w:qFormat/>
    <w:locked/>
    <w:uiPriority w:val="0"/>
    <w:pPr>
      <w:keepNext/>
      <w:keepLines/>
      <w:spacing w:beforeLines="50"/>
      <w:jc w:val="left"/>
      <w:outlineLvl w:val="1"/>
    </w:pPr>
    <w:rPr>
      <w:rFonts w:eastAsia="黑体"/>
      <w:b/>
      <w:bCs/>
      <w:sz w:val="32"/>
      <w:szCs w:val="32"/>
    </w:rPr>
  </w:style>
  <w:style w:type="paragraph" w:styleId="4">
    <w:name w:val="heading 3"/>
    <w:basedOn w:val="1"/>
    <w:next w:val="1"/>
    <w:link w:val="82"/>
    <w:autoRedefine/>
    <w:qFormat/>
    <w:locked/>
    <w:uiPriority w:val="0"/>
    <w:pPr>
      <w:keepNext/>
      <w:keepLines/>
      <w:spacing w:beforeLines="50"/>
      <w:jc w:val="left"/>
      <w:outlineLvl w:val="2"/>
    </w:pPr>
    <w:rPr>
      <w:rFonts w:eastAsia="黑体"/>
      <w:b/>
      <w:bCs/>
      <w:sz w:val="30"/>
      <w:szCs w:val="30"/>
    </w:rPr>
  </w:style>
  <w:style w:type="paragraph" w:styleId="5">
    <w:name w:val="heading 4"/>
    <w:basedOn w:val="1"/>
    <w:next w:val="1"/>
    <w:link w:val="83"/>
    <w:autoRedefine/>
    <w:qFormat/>
    <w:locked/>
    <w:uiPriority w:val="0"/>
    <w:pPr>
      <w:keepNext/>
      <w:keepLines/>
      <w:spacing w:before="280" w:after="290" w:line="376" w:lineRule="auto"/>
      <w:outlineLvl w:val="3"/>
    </w:pPr>
    <w:rPr>
      <w:rFonts w:ascii="Arial" w:hAnsi="Arial" w:eastAsia="黑体"/>
      <w:b/>
      <w:bCs/>
      <w:sz w:val="28"/>
      <w:szCs w:val="28"/>
    </w:rPr>
  </w:style>
  <w:style w:type="paragraph" w:styleId="6">
    <w:name w:val="heading 5"/>
    <w:basedOn w:val="1"/>
    <w:next w:val="1"/>
    <w:link w:val="84"/>
    <w:autoRedefine/>
    <w:qFormat/>
    <w:locked/>
    <w:uiPriority w:val="0"/>
    <w:pPr>
      <w:keepNext/>
      <w:keepLines/>
      <w:spacing w:before="280" w:after="290" w:line="376" w:lineRule="auto"/>
      <w:outlineLvl w:val="4"/>
    </w:pPr>
    <w:rPr>
      <w:b/>
      <w:bCs/>
      <w:sz w:val="28"/>
      <w:szCs w:val="28"/>
    </w:rPr>
  </w:style>
  <w:style w:type="paragraph" w:styleId="7">
    <w:name w:val="heading 6"/>
    <w:basedOn w:val="1"/>
    <w:next w:val="1"/>
    <w:link w:val="85"/>
    <w:autoRedefine/>
    <w:semiHidden/>
    <w:unhideWhenUsed/>
    <w:qFormat/>
    <w:locked/>
    <w:uiPriority w:val="0"/>
    <w:pPr>
      <w:keepNext/>
      <w:keepLines/>
      <w:widowControl/>
      <w:spacing w:before="240" w:after="64" w:line="314" w:lineRule="auto"/>
      <w:outlineLvl w:val="5"/>
    </w:pPr>
    <w:rPr>
      <w:rFonts w:ascii="Arial" w:hAnsi="Arial" w:eastAsia="黑体"/>
      <w:b/>
      <w:bCs/>
      <w:color w:val="000000"/>
      <w:sz w:val="24"/>
    </w:rPr>
  </w:style>
  <w:style w:type="paragraph" w:styleId="8">
    <w:name w:val="heading 7"/>
    <w:basedOn w:val="1"/>
    <w:next w:val="1"/>
    <w:link w:val="86"/>
    <w:autoRedefine/>
    <w:semiHidden/>
    <w:unhideWhenUsed/>
    <w:qFormat/>
    <w:locked/>
    <w:uiPriority w:val="0"/>
    <w:pPr>
      <w:keepNext/>
      <w:keepLines/>
      <w:widowControl/>
      <w:spacing w:before="240" w:after="64" w:line="314" w:lineRule="auto"/>
      <w:outlineLvl w:val="6"/>
    </w:pPr>
    <w:rPr>
      <w:b/>
      <w:bCs/>
      <w:color w:val="000000"/>
      <w:sz w:val="24"/>
    </w:rPr>
  </w:style>
  <w:style w:type="paragraph" w:styleId="9">
    <w:name w:val="heading 8"/>
    <w:basedOn w:val="1"/>
    <w:next w:val="1"/>
    <w:link w:val="87"/>
    <w:autoRedefine/>
    <w:semiHidden/>
    <w:unhideWhenUsed/>
    <w:qFormat/>
    <w:locked/>
    <w:uiPriority w:val="0"/>
    <w:pPr>
      <w:keepNext/>
      <w:keepLines/>
      <w:widowControl/>
      <w:spacing w:before="240" w:after="64" w:line="314" w:lineRule="auto"/>
      <w:outlineLvl w:val="7"/>
    </w:pPr>
    <w:rPr>
      <w:rFonts w:ascii="Arial" w:hAnsi="Arial" w:eastAsia="黑体"/>
      <w:color w:val="000000"/>
      <w:sz w:val="24"/>
    </w:rPr>
  </w:style>
  <w:style w:type="paragraph" w:styleId="10">
    <w:name w:val="heading 9"/>
    <w:basedOn w:val="1"/>
    <w:next w:val="1"/>
    <w:link w:val="88"/>
    <w:autoRedefine/>
    <w:semiHidden/>
    <w:unhideWhenUsed/>
    <w:qFormat/>
    <w:locked/>
    <w:uiPriority w:val="0"/>
    <w:pPr>
      <w:keepNext/>
      <w:keepLines/>
      <w:widowControl/>
      <w:spacing w:beforeLines="50" w:after="64" w:line="400" w:lineRule="exact"/>
      <w:jc w:val="center"/>
      <w:outlineLvl w:val="8"/>
    </w:pPr>
    <w:rPr>
      <w:color w:val="000000"/>
      <w:sz w:val="24"/>
      <w:szCs w:val="21"/>
    </w:rPr>
  </w:style>
  <w:style w:type="character" w:default="1" w:styleId="49">
    <w:name w:val="Default Paragraph Font"/>
    <w:autoRedefine/>
    <w:semiHidden/>
    <w:unhideWhenUsed/>
    <w:qFormat/>
    <w:uiPriority w:val="1"/>
  </w:style>
  <w:style w:type="table" w:default="1" w:styleId="47">
    <w:name w:val="Normal Table"/>
    <w:autoRedefine/>
    <w:semiHidden/>
    <w:unhideWhenUsed/>
    <w:qFormat/>
    <w:uiPriority w:val="99"/>
    <w:tblPr>
      <w:tblCellMar>
        <w:top w:w="0" w:type="dxa"/>
        <w:left w:w="108" w:type="dxa"/>
        <w:bottom w:w="0" w:type="dxa"/>
        <w:right w:w="108" w:type="dxa"/>
      </w:tblCellMar>
    </w:tblPr>
  </w:style>
  <w:style w:type="paragraph" w:styleId="11">
    <w:name w:val="toc 7"/>
    <w:basedOn w:val="1"/>
    <w:next w:val="1"/>
    <w:autoRedefine/>
    <w:qFormat/>
    <w:locked/>
    <w:uiPriority w:val="0"/>
    <w:pPr>
      <w:spacing w:line="360" w:lineRule="exact"/>
      <w:jc w:val="center"/>
    </w:pPr>
    <w:rPr>
      <w:szCs w:val="21"/>
    </w:rPr>
  </w:style>
  <w:style w:type="paragraph" w:styleId="12">
    <w:name w:val="Note Heading"/>
    <w:basedOn w:val="1"/>
    <w:next w:val="1"/>
    <w:link w:val="332"/>
    <w:autoRedefine/>
    <w:unhideWhenUsed/>
    <w:qFormat/>
    <w:locked/>
    <w:uiPriority w:val="0"/>
    <w:pPr>
      <w:jc w:val="center"/>
    </w:pPr>
  </w:style>
  <w:style w:type="paragraph" w:styleId="13">
    <w:name w:val="E-mail Signature"/>
    <w:basedOn w:val="1"/>
    <w:link w:val="373"/>
    <w:autoRedefine/>
    <w:qFormat/>
    <w:locked/>
    <w:uiPriority w:val="0"/>
    <w:pPr>
      <w:tabs>
        <w:tab w:val="left" w:pos="7380"/>
      </w:tabs>
      <w:snapToGrid w:val="0"/>
      <w:spacing w:line="480" w:lineRule="exact"/>
      <w:ind w:firstLine="425"/>
    </w:pPr>
    <w:rPr>
      <w:color w:val="000000"/>
      <w:kern w:val="21"/>
      <w:sz w:val="24"/>
      <w:szCs w:val="20"/>
      <w:lang w:val="de-DE"/>
    </w:rPr>
  </w:style>
  <w:style w:type="paragraph" w:styleId="14">
    <w:name w:val="Normal Indent"/>
    <w:basedOn w:val="1"/>
    <w:link w:val="80"/>
    <w:autoRedefine/>
    <w:qFormat/>
    <w:locked/>
    <w:uiPriority w:val="0"/>
    <w:pPr>
      <w:ind w:firstLine="420"/>
    </w:pPr>
    <w:rPr>
      <w:szCs w:val="20"/>
    </w:rPr>
  </w:style>
  <w:style w:type="paragraph" w:styleId="15">
    <w:name w:val="Document Map"/>
    <w:basedOn w:val="1"/>
    <w:link w:val="101"/>
    <w:autoRedefine/>
    <w:qFormat/>
    <w:locked/>
    <w:uiPriority w:val="99"/>
    <w:pPr>
      <w:shd w:val="clear" w:color="auto" w:fill="000080"/>
    </w:pPr>
  </w:style>
  <w:style w:type="paragraph" w:styleId="16">
    <w:name w:val="annotation text"/>
    <w:basedOn w:val="1"/>
    <w:link w:val="62"/>
    <w:autoRedefine/>
    <w:qFormat/>
    <w:uiPriority w:val="0"/>
    <w:pPr>
      <w:jc w:val="left"/>
    </w:pPr>
    <w:rPr>
      <w:kern w:val="0"/>
      <w:sz w:val="24"/>
      <w:szCs w:val="20"/>
    </w:rPr>
  </w:style>
  <w:style w:type="paragraph" w:styleId="17">
    <w:name w:val="Body Text 3"/>
    <w:basedOn w:val="1"/>
    <w:link w:val="268"/>
    <w:autoRedefine/>
    <w:qFormat/>
    <w:locked/>
    <w:uiPriority w:val="0"/>
    <w:pPr>
      <w:jc w:val="center"/>
    </w:pPr>
    <w:rPr>
      <w:sz w:val="28"/>
      <w:szCs w:val="20"/>
    </w:rPr>
  </w:style>
  <w:style w:type="paragraph" w:styleId="18">
    <w:name w:val="Body Text"/>
    <w:basedOn w:val="1"/>
    <w:next w:val="1"/>
    <w:link w:val="61"/>
    <w:autoRedefine/>
    <w:qFormat/>
    <w:uiPriority w:val="0"/>
    <w:pPr>
      <w:widowControl/>
      <w:snapToGrid w:val="0"/>
      <w:spacing w:before="60" w:after="160" w:line="259" w:lineRule="auto"/>
      <w:ind w:right="113"/>
    </w:pPr>
    <w:rPr>
      <w:kern w:val="0"/>
      <w:sz w:val="18"/>
      <w:szCs w:val="20"/>
    </w:rPr>
  </w:style>
  <w:style w:type="paragraph" w:styleId="19">
    <w:name w:val="Body Text Indent"/>
    <w:basedOn w:val="1"/>
    <w:next w:val="20"/>
    <w:link w:val="70"/>
    <w:autoRedefine/>
    <w:qFormat/>
    <w:uiPriority w:val="0"/>
    <w:pPr>
      <w:spacing w:after="120"/>
      <w:ind w:left="420" w:leftChars="200"/>
    </w:pPr>
    <w:rPr>
      <w:kern w:val="0"/>
      <w:sz w:val="24"/>
      <w:szCs w:val="20"/>
    </w:rPr>
  </w:style>
  <w:style w:type="paragraph" w:customStyle="1" w:styleId="20">
    <w:name w:val="正文文字 6"/>
    <w:next w:val="1"/>
    <w:qFormat/>
    <w:uiPriority w:val="0"/>
    <w:pPr>
      <w:widowControl w:val="0"/>
      <w:ind w:left="240"/>
      <w:jc w:val="both"/>
    </w:pPr>
    <w:rPr>
      <w:rFonts w:ascii="宋体" w:hAnsi="Times New Roman" w:eastAsia="宋体" w:cs="Times New Roman"/>
      <w:b/>
      <w:bCs/>
      <w:kern w:val="2"/>
      <w:sz w:val="32"/>
      <w:szCs w:val="32"/>
      <w:lang w:val="en-US" w:eastAsia="zh-CN" w:bidi="ar-SA"/>
    </w:rPr>
  </w:style>
  <w:style w:type="paragraph" w:styleId="21">
    <w:name w:val="List 2"/>
    <w:basedOn w:val="1"/>
    <w:autoRedefine/>
    <w:qFormat/>
    <w:locked/>
    <w:uiPriority w:val="0"/>
    <w:pPr>
      <w:ind w:left="100" w:leftChars="200" w:hanging="200" w:hangingChars="200"/>
    </w:pPr>
    <w:rPr>
      <w:szCs w:val="20"/>
    </w:rPr>
  </w:style>
  <w:style w:type="paragraph" w:styleId="22">
    <w:name w:val="Block Text"/>
    <w:basedOn w:val="1"/>
    <w:autoRedefine/>
    <w:qFormat/>
    <w:locked/>
    <w:uiPriority w:val="0"/>
    <w:pPr>
      <w:spacing w:before="120" w:line="360" w:lineRule="auto"/>
      <w:ind w:left="113" w:right="113"/>
    </w:pPr>
  </w:style>
  <w:style w:type="paragraph" w:styleId="23">
    <w:name w:val="toc 3"/>
    <w:basedOn w:val="1"/>
    <w:next w:val="1"/>
    <w:autoRedefine/>
    <w:qFormat/>
    <w:locked/>
    <w:uiPriority w:val="0"/>
    <w:pPr>
      <w:tabs>
        <w:tab w:val="right" w:leader="dot" w:pos="8494"/>
      </w:tabs>
      <w:ind w:left="359" w:leftChars="171" w:firstLine="1"/>
    </w:pPr>
  </w:style>
  <w:style w:type="paragraph" w:styleId="24">
    <w:name w:val="Plain Text"/>
    <w:basedOn w:val="1"/>
    <w:link w:val="97"/>
    <w:autoRedefine/>
    <w:qFormat/>
    <w:locked/>
    <w:uiPriority w:val="0"/>
    <w:rPr>
      <w:rFonts w:ascii="宋体" w:hAnsi="Courier New"/>
    </w:rPr>
  </w:style>
  <w:style w:type="paragraph" w:styleId="25">
    <w:name w:val="toc 8"/>
    <w:basedOn w:val="1"/>
    <w:next w:val="1"/>
    <w:autoRedefine/>
    <w:qFormat/>
    <w:locked/>
    <w:uiPriority w:val="0"/>
    <w:pPr>
      <w:ind w:left="2940" w:leftChars="1400"/>
    </w:pPr>
  </w:style>
  <w:style w:type="paragraph" w:styleId="26">
    <w:name w:val="Date"/>
    <w:basedOn w:val="1"/>
    <w:next w:val="1"/>
    <w:link w:val="57"/>
    <w:autoRedefine/>
    <w:qFormat/>
    <w:uiPriority w:val="0"/>
    <w:pPr>
      <w:ind w:left="100" w:leftChars="2500"/>
    </w:pPr>
    <w:rPr>
      <w:kern w:val="0"/>
      <w:sz w:val="24"/>
      <w:szCs w:val="20"/>
    </w:rPr>
  </w:style>
  <w:style w:type="paragraph" w:styleId="27">
    <w:name w:val="Body Text Indent 2"/>
    <w:basedOn w:val="1"/>
    <w:link w:val="99"/>
    <w:autoRedefine/>
    <w:qFormat/>
    <w:locked/>
    <w:uiPriority w:val="0"/>
    <w:pPr>
      <w:spacing w:after="120" w:line="480" w:lineRule="auto"/>
      <w:ind w:left="420" w:leftChars="200"/>
    </w:pPr>
  </w:style>
  <w:style w:type="paragraph" w:styleId="28">
    <w:name w:val="endnote text"/>
    <w:basedOn w:val="1"/>
    <w:link w:val="324"/>
    <w:autoRedefine/>
    <w:unhideWhenUsed/>
    <w:qFormat/>
    <w:locked/>
    <w:uiPriority w:val="0"/>
    <w:pPr>
      <w:autoSpaceDE w:val="0"/>
      <w:autoSpaceDN w:val="0"/>
      <w:adjustRightInd w:val="0"/>
      <w:snapToGrid w:val="0"/>
      <w:spacing w:line="480" w:lineRule="exact"/>
      <w:jc w:val="left"/>
    </w:pPr>
    <w:rPr>
      <w:color w:val="000000"/>
      <w:kern w:val="32"/>
      <w:sz w:val="24"/>
      <w:szCs w:val="20"/>
    </w:rPr>
  </w:style>
  <w:style w:type="paragraph" w:styleId="29">
    <w:name w:val="Balloon Text"/>
    <w:basedOn w:val="1"/>
    <w:link w:val="66"/>
    <w:autoRedefine/>
    <w:qFormat/>
    <w:uiPriority w:val="0"/>
    <w:rPr>
      <w:kern w:val="0"/>
      <w:sz w:val="18"/>
      <w:szCs w:val="20"/>
    </w:rPr>
  </w:style>
  <w:style w:type="paragraph" w:styleId="30">
    <w:name w:val="footer"/>
    <w:basedOn w:val="1"/>
    <w:next w:val="1"/>
    <w:link w:val="56"/>
    <w:autoRedefine/>
    <w:qFormat/>
    <w:uiPriority w:val="99"/>
    <w:pPr>
      <w:tabs>
        <w:tab w:val="center" w:pos="4153"/>
        <w:tab w:val="right" w:pos="8306"/>
      </w:tabs>
      <w:snapToGrid w:val="0"/>
      <w:jc w:val="left"/>
    </w:pPr>
    <w:rPr>
      <w:kern w:val="0"/>
      <w:sz w:val="18"/>
      <w:szCs w:val="20"/>
    </w:rPr>
  </w:style>
  <w:style w:type="paragraph" w:styleId="31">
    <w:name w:val="header"/>
    <w:basedOn w:val="1"/>
    <w:link w:val="68"/>
    <w:autoRedefine/>
    <w:qFormat/>
    <w:uiPriority w:val="0"/>
    <w:pPr>
      <w:pBdr>
        <w:bottom w:val="single" w:color="auto" w:sz="6" w:space="1"/>
      </w:pBdr>
      <w:tabs>
        <w:tab w:val="center" w:pos="4153"/>
        <w:tab w:val="right" w:pos="8306"/>
      </w:tabs>
      <w:snapToGrid w:val="0"/>
      <w:jc w:val="center"/>
    </w:pPr>
    <w:rPr>
      <w:kern w:val="0"/>
      <w:sz w:val="18"/>
      <w:szCs w:val="20"/>
    </w:rPr>
  </w:style>
  <w:style w:type="paragraph" w:styleId="32">
    <w:name w:val="toc 1"/>
    <w:basedOn w:val="1"/>
    <w:next w:val="1"/>
    <w:autoRedefine/>
    <w:qFormat/>
    <w:locked/>
    <w:uiPriority w:val="39"/>
    <w:rPr>
      <w:szCs w:val="20"/>
    </w:rPr>
  </w:style>
  <w:style w:type="paragraph" w:styleId="33">
    <w:name w:val="Subtitle"/>
    <w:basedOn w:val="1"/>
    <w:next w:val="1"/>
    <w:link w:val="328"/>
    <w:autoRedefine/>
    <w:qFormat/>
    <w:locked/>
    <w:uiPriority w:val="11"/>
    <w:pPr>
      <w:spacing w:before="240" w:after="60" w:line="312" w:lineRule="auto"/>
      <w:jc w:val="center"/>
      <w:outlineLvl w:val="1"/>
    </w:pPr>
    <w:rPr>
      <w:rFonts w:ascii="Arial" w:hAnsi="Arial" w:cs="Arial"/>
      <w:b/>
      <w:bCs/>
      <w:kern w:val="28"/>
      <w:sz w:val="32"/>
      <w:szCs w:val="32"/>
    </w:rPr>
  </w:style>
  <w:style w:type="paragraph" w:styleId="34">
    <w:name w:val="List"/>
    <w:basedOn w:val="1"/>
    <w:autoRedefine/>
    <w:qFormat/>
    <w:locked/>
    <w:uiPriority w:val="0"/>
    <w:pPr>
      <w:ind w:left="200" w:hanging="200" w:hangingChars="200"/>
    </w:pPr>
    <w:rPr>
      <w:sz w:val="24"/>
    </w:rPr>
  </w:style>
  <w:style w:type="paragraph" w:styleId="35">
    <w:name w:val="footnote text"/>
    <w:basedOn w:val="1"/>
    <w:link w:val="322"/>
    <w:autoRedefine/>
    <w:unhideWhenUsed/>
    <w:qFormat/>
    <w:locked/>
    <w:uiPriority w:val="0"/>
    <w:pPr>
      <w:snapToGrid w:val="0"/>
      <w:jc w:val="left"/>
    </w:pPr>
    <w:rPr>
      <w:sz w:val="18"/>
      <w:szCs w:val="18"/>
    </w:rPr>
  </w:style>
  <w:style w:type="paragraph" w:styleId="36">
    <w:name w:val="Body Text Indent 3"/>
    <w:basedOn w:val="1"/>
    <w:link w:val="149"/>
    <w:autoRedefine/>
    <w:qFormat/>
    <w:locked/>
    <w:uiPriority w:val="0"/>
    <w:pPr>
      <w:spacing w:after="120"/>
      <w:ind w:left="420" w:leftChars="200"/>
    </w:pPr>
    <w:rPr>
      <w:sz w:val="16"/>
      <w:szCs w:val="16"/>
    </w:rPr>
  </w:style>
  <w:style w:type="paragraph" w:styleId="37">
    <w:name w:val="toc 2"/>
    <w:basedOn w:val="1"/>
    <w:next w:val="1"/>
    <w:autoRedefine/>
    <w:qFormat/>
    <w:locked/>
    <w:uiPriority w:val="39"/>
    <w:pPr>
      <w:tabs>
        <w:tab w:val="right" w:leader="dot" w:pos="8494"/>
      </w:tabs>
    </w:pPr>
  </w:style>
  <w:style w:type="paragraph" w:styleId="38">
    <w:name w:val="Body Text 2"/>
    <w:basedOn w:val="1"/>
    <w:link w:val="263"/>
    <w:autoRedefine/>
    <w:qFormat/>
    <w:locked/>
    <w:uiPriority w:val="99"/>
    <w:rPr>
      <w:b/>
      <w:sz w:val="30"/>
      <w:szCs w:val="20"/>
    </w:rPr>
  </w:style>
  <w:style w:type="paragraph" w:styleId="39">
    <w:name w:val="List Continue 2"/>
    <w:basedOn w:val="1"/>
    <w:autoRedefine/>
    <w:qFormat/>
    <w:locked/>
    <w:uiPriority w:val="0"/>
    <w:pPr>
      <w:spacing w:after="120"/>
      <w:ind w:left="840" w:leftChars="400"/>
      <w:contextualSpacing/>
    </w:pPr>
  </w:style>
  <w:style w:type="paragraph" w:styleId="40">
    <w:name w:val="HTML Preformatted"/>
    <w:basedOn w:val="1"/>
    <w:link w:val="105"/>
    <w:autoRedefine/>
    <w:qFormat/>
    <w:locked/>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30" w:lineRule="atLeast"/>
      <w:jc w:val="left"/>
    </w:pPr>
    <w:rPr>
      <w:rFonts w:ascii="Arial" w:hAnsi="Arial" w:cs="Arial"/>
      <w:kern w:val="0"/>
      <w:szCs w:val="21"/>
    </w:rPr>
  </w:style>
  <w:style w:type="paragraph" w:styleId="41">
    <w:name w:val="Normal (Web)"/>
    <w:basedOn w:val="1"/>
    <w:link w:val="59"/>
    <w:autoRedefine/>
    <w:qFormat/>
    <w:uiPriority w:val="0"/>
    <w:pPr>
      <w:widowControl/>
      <w:spacing w:before="100" w:beforeAutospacing="1" w:after="100" w:afterAutospacing="1"/>
      <w:jc w:val="left"/>
    </w:pPr>
    <w:rPr>
      <w:rFonts w:ascii="宋体" w:hAnsi="宋体"/>
      <w:kern w:val="0"/>
      <w:sz w:val="24"/>
      <w:szCs w:val="20"/>
    </w:rPr>
  </w:style>
  <w:style w:type="paragraph" w:styleId="42">
    <w:name w:val="index 1"/>
    <w:basedOn w:val="1"/>
    <w:next w:val="1"/>
    <w:autoRedefine/>
    <w:qFormat/>
    <w:locked/>
    <w:uiPriority w:val="0"/>
    <w:pPr>
      <w:spacing w:line="200" w:lineRule="exact"/>
    </w:pPr>
    <w:rPr>
      <w:rFonts w:hAnsi="Arial"/>
      <w:spacing w:val="10"/>
      <w:sz w:val="18"/>
      <w:szCs w:val="18"/>
    </w:rPr>
  </w:style>
  <w:style w:type="paragraph" w:styleId="43">
    <w:name w:val="Title"/>
    <w:basedOn w:val="1"/>
    <w:next w:val="1"/>
    <w:link w:val="326"/>
    <w:autoRedefine/>
    <w:qFormat/>
    <w:locked/>
    <w:uiPriority w:val="0"/>
    <w:pPr>
      <w:spacing w:before="240" w:after="60"/>
      <w:jc w:val="center"/>
      <w:outlineLvl w:val="0"/>
    </w:pPr>
    <w:rPr>
      <w:rFonts w:ascii="Cambria" w:hAnsi="Cambria"/>
      <w:b/>
      <w:bCs/>
      <w:sz w:val="32"/>
      <w:szCs w:val="32"/>
    </w:rPr>
  </w:style>
  <w:style w:type="paragraph" w:styleId="44">
    <w:name w:val="annotation subject"/>
    <w:basedOn w:val="16"/>
    <w:next w:val="16"/>
    <w:link w:val="67"/>
    <w:autoRedefine/>
    <w:qFormat/>
    <w:uiPriority w:val="0"/>
    <w:rPr>
      <w:b/>
      <w:kern w:val="2"/>
    </w:rPr>
  </w:style>
  <w:style w:type="paragraph" w:styleId="45">
    <w:name w:val="Body Text First Indent"/>
    <w:basedOn w:val="18"/>
    <w:link w:val="129"/>
    <w:autoRedefine/>
    <w:qFormat/>
    <w:locked/>
    <w:uiPriority w:val="99"/>
    <w:pPr>
      <w:widowControl w:val="0"/>
      <w:snapToGrid/>
      <w:spacing w:before="0" w:after="120" w:line="240" w:lineRule="auto"/>
      <w:ind w:right="0" w:firstLine="420" w:firstLineChars="100"/>
    </w:pPr>
    <w:rPr>
      <w:kern w:val="2"/>
      <w:sz w:val="21"/>
    </w:rPr>
  </w:style>
  <w:style w:type="paragraph" w:styleId="46">
    <w:name w:val="Body Text First Indent 2"/>
    <w:basedOn w:val="19"/>
    <w:next w:val="1"/>
    <w:link w:val="330"/>
    <w:autoRedefine/>
    <w:unhideWhenUsed/>
    <w:qFormat/>
    <w:locked/>
    <w:uiPriority w:val="0"/>
    <w:pPr>
      <w:ind w:firstLine="420" w:firstLineChars="200"/>
    </w:pPr>
    <w:rPr>
      <w:rFonts w:ascii="Calibri" w:hAnsi="Calibri"/>
      <w:b/>
      <w:kern w:val="2"/>
      <w:sz w:val="21"/>
      <w:szCs w:val="22"/>
    </w:rPr>
  </w:style>
  <w:style w:type="table" w:styleId="48">
    <w:name w:val="Table Grid"/>
    <w:basedOn w:val="47"/>
    <w:autoRedefine/>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50">
    <w:name w:val="Strong"/>
    <w:basedOn w:val="49"/>
    <w:autoRedefine/>
    <w:qFormat/>
    <w:locked/>
    <w:uiPriority w:val="22"/>
    <w:rPr>
      <w:b/>
      <w:bCs/>
    </w:rPr>
  </w:style>
  <w:style w:type="character" w:styleId="51">
    <w:name w:val="page number"/>
    <w:basedOn w:val="49"/>
    <w:autoRedefine/>
    <w:qFormat/>
    <w:locked/>
    <w:uiPriority w:val="0"/>
  </w:style>
  <w:style w:type="character" w:styleId="52">
    <w:name w:val="FollowedHyperlink"/>
    <w:basedOn w:val="49"/>
    <w:autoRedefine/>
    <w:qFormat/>
    <w:locked/>
    <w:uiPriority w:val="0"/>
    <w:rPr>
      <w:color w:val="800080"/>
      <w:u w:val="single"/>
    </w:rPr>
  </w:style>
  <w:style w:type="character" w:styleId="53">
    <w:name w:val="Emphasis"/>
    <w:basedOn w:val="49"/>
    <w:autoRedefine/>
    <w:qFormat/>
    <w:locked/>
    <w:uiPriority w:val="0"/>
    <w:rPr>
      <w:i/>
      <w:iCs/>
    </w:rPr>
  </w:style>
  <w:style w:type="character" w:styleId="54">
    <w:name w:val="Hyperlink"/>
    <w:basedOn w:val="49"/>
    <w:autoRedefine/>
    <w:qFormat/>
    <w:locked/>
    <w:uiPriority w:val="99"/>
    <w:rPr>
      <w:color w:val="0000FF"/>
      <w:u w:val="single"/>
    </w:rPr>
  </w:style>
  <w:style w:type="character" w:styleId="55">
    <w:name w:val="annotation reference"/>
    <w:autoRedefine/>
    <w:qFormat/>
    <w:uiPriority w:val="0"/>
    <w:rPr>
      <w:sz w:val="21"/>
    </w:rPr>
  </w:style>
  <w:style w:type="character" w:customStyle="1" w:styleId="56">
    <w:name w:val="页脚 Char"/>
    <w:link w:val="30"/>
    <w:autoRedefine/>
    <w:qFormat/>
    <w:locked/>
    <w:uiPriority w:val="99"/>
    <w:rPr>
      <w:sz w:val="18"/>
    </w:rPr>
  </w:style>
  <w:style w:type="character" w:customStyle="1" w:styleId="57">
    <w:name w:val="日期 Char"/>
    <w:link w:val="26"/>
    <w:autoRedefine/>
    <w:qFormat/>
    <w:locked/>
    <w:uiPriority w:val="0"/>
    <w:rPr>
      <w:rFonts w:ascii="Times New Roman" w:hAnsi="Times New Roman" w:eastAsia="宋体"/>
      <w:sz w:val="24"/>
    </w:rPr>
  </w:style>
  <w:style w:type="character" w:customStyle="1" w:styleId="58">
    <w:name w:val="页脚 字符"/>
    <w:basedOn w:val="49"/>
    <w:autoRedefine/>
    <w:qFormat/>
    <w:uiPriority w:val="99"/>
  </w:style>
  <w:style w:type="character" w:customStyle="1" w:styleId="59">
    <w:name w:val="普通(网站) Char"/>
    <w:link w:val="41"/>
    <w:autoRedefine/>
    <w:qFormat/>
    <w:locked/>
    <w:uiPriority w:val="0"/>
    <w:rPr>
      <w:rFonts w:ascii="宋体" w:hAnsi="宋体" w:eastAsia="宋体"/>
      <w:sz w:val="24"/>
    </w:rPr>
  </w:style>
  <w:style w:type="character" w:customStyle="1" w:styleId="60">
    <w:name w:val="正文文本 字符1"/>
    <w:autoRedefine/>
    <w:semiHidden/>
    <w:qFormat/>
    <w:uiPriority w:val="0"/>
    <w:rPr>
      <w:rFonts w:ascii="Times New Roman" w:hAnsi="Times New Roman" w:eastAsia="宋体"/>
      <w:sz w:val="24"/>
    </w:rPr>
  </w:style>
  <w:style w:type="character" w:customStyle="1" w:styleId="61">
    <w:name w:val="正文文本 Char"/>
    <w:link w:val="18"/>
    <w:autoRedefine/>
    <w:qFormat/>
    <w:locked/>
    <w:uiPriority w:val="0"/>
    <w:rPr>
      <w:sz w:val="18"/>
    </w:rPr>
  </w:style>
  <w:style w:type="character" w:customStyle="1" w:styleId="62">
    <w:name w:val="批注文字 Char"/>
    <w:link w:val="16"/>
    <w:autoRedefine/>
    <w:qFormat/>
    <w:locked/>
    <w:uiPriority w:val="0"/>
    <w:rPr>
      <w:rFonts w:ascii="Times New Roman" w:hAnsi="Times New Roman" w:eastAsia="宋体"/>
      <w:sz w:val="24"/>
    </w:rPr>
  </w:style>
  <w:style w:type="character" w:customStyle="1" w:styleId="63">
    <w:name w:val="表格 Char"/>
    <w:link w:val="64"/>
    <w:autoRedefine/>
    <w:qFormat/>
    <w:locked/>
    <w:uiPriority w:val="0"/>
    <w:rPr>
      <w:rFonts w:ascii="宋体"/>
      <w:sz w:val="21"/>
    </w:rPr>
  </w:style>
  <w:style w:type="paragraph" w:customStyle="1" w:styleId="64">
    <w:name w:val="表格"/>
    <w:basedOn w:val="1"/>
    <w:next w:val="1"/>
    <w:link w:val="63"/>
    <w:autoRedefine/>
    <w:qFormat/>
    <w:uiPriority w:val="0"/>
    <w:pPr>
      <w:adjustRightInd w:val="0"/>
      <w:snapToGrid w:val="0"/>
      <w:spacing w:beforeLines="10" w:afterLines="10" w:line="259" w:lineRule="auto"/>
      <w:jc w:val="center"/>
    </w:pPr>
    <w:rPr>
      <w:rFonts w:ascii="宋体"/>
      <w:kern w:val="0"/>
      <w:szCs w:val="20"/>
    </w:rPr>
  </w:style>
  <w:style w:type="character" w:customStyle="1" w:styleId="65">
    <w:name w:val="日期 字符"/>
    <w:autoRedefine/>
    <w:semiHidden/>
    <w:qFormat/>
    <w:uiPriority w:val="0"/>
    <w:rPr>
      <w:rFonts w:ascii="Times New Roman" w:hAnsi="Times New Roman" w:eastAsia="宋体"/>
      <w:sz w:val="24"/>
    </w:rPr>
  </w:style>
  <w:style w:type="character" w:customStyle="1" w:styleId="66">
    <w:name w:val="批注框文本 Char"/>
    <w:link w:val="29"/>
    <w:autoRedefine/>
    <w:qFormat/>
    <w:locked/>
    <w:uiPriority w:val="0"/>
    <w:rPr>
      <w:rFonts w:ascii="Times New Roman" w:hAnsi="Times New Roman" w:eastAsia="宋体"/>
      <w:sz w:val="18"/>
    </w:rPr>
  </w:style>
  <w:style w:type="character" w:customStyle="1" w:styleId="67">
    <w:name w:val="批注主题 Char"/>
    <w:link w:val="44"/>
    <w:autoRedefine/>
    <w:qFormat/>
    <w:locked/>
    <w:uiPriority w:val="0"/>
    <w:rPr>
      <w:rFonts w:ascii="Times New Roman" w:hAnsi="Times New Roman" w:eastAsia="宋体"/>
      <w:b/>
      <w:kern w:val="2"/>
      <w:sz w:val="24"/>
    </w:rPr>
  </w:style>
  <w:style w:type="character" w:customStyle="1" w:styleId="68">
    <w:name w:val="页眉 Char"/>
    <w:link w:val="31"/>
    <w:autoRedefine/>
    <w:qFormat/>
    <w:locked/>
    <w:uiPriority w:val="0"/>
    <w:rPr>
      <w:sz w:val="18"/>
    </w:rPr>
  </w:style>
  <w:style w:type="character" w:customStyle="1" w:styleId="69">
    <w:name w:val="批注文字 字符1"/>
    <w:autoRedefine/>
    <w:semiHidden/>
    <w:qFormat/>
    <w:uiPriority w:val="0"/>
    <w:rPr>
      <w:rFonts w:ascii="Times New Roman" w:hAnsi="Times New Roman" w:eastAsia="宋体"/>
      <w:sz w:val="24"/>
    </w:rPr>
  </w:style>
  <w:style w:type="character" w:customStyle="1" w:styleId="70">
    <w:name w:val="正文文本缩进 Char"/>
    <w:link w:val="19"/>
    <w:autoRedefine/>
    <w:qFormat/>
    <w:locked/>
    <w:uiPriority w:val="0"/>
    <w:rPr>
      <w:rFonts w:ascii="Times New Roman" w:hAnsi="Times New Roman" w:eastAsia="宋体"/>
      <w:sz w:val="24"/>
    </w:rPr>
  </w:style>
  <w:style w:type="paragraph" w:customStyle="1" w:styleId="71">
    <w:name w:val="正文_10"/>
    <w:autoRedefine/>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72">
    <w:name w:val="普通(网站)2"/>
    <w:basedOn w:val="1"/>
    <w:autoRedefine/>
    <w:qFormat/>
    <w:uiPriority w:val="0"/>
    <w:pPr>
      <w:widowControl/>
      <w:spacing w:before="100" w:beforeAutospacing="1" w:after="100" w:afterAutospacing="1"/>
      <w:jc w:val="left"/>
    </w:pPr>
    <w:rPr>
      <w:rFonts w:ascii="宋体" w:hAnsi="宋体"/>
      <w:sz w:val="24"/>
      <w:szCs w:val="20"/>
    </w:rPr>
  </w:style>
  <w:style w:type="character" w:customStyle="1" w:styleId="73">
    <w:name w:val="5-正文 Char"/>
    <w:link w:val="74"/>
    <w:autoRedefine/>
    <w:qFormat/>
    <w:uiPriority w:val="0"/>
    <w:rPr>
      <w:kern w:val="2"/>
      <w:sz w:val="24"/>
    </w:rPr>
  </w:style>
  <w:style w:type="paragraph" w:customStyle="1" w:styleId="74">
    <w:name w:val="5-正文"/>
    <w:basedOn w:val="1"/>
    <w:link w:val="73"/>
    <w:autoRedefine/>
    <w:qFormat/>
    <w:uiPriority w:val="0"/>
    <w:pPr>
      <w:snapToGrid w:val="0"/>
      <w:spacing w:line="480" w:lineRule="exact"/>
      <w:ind w:firstLine="200" w:firstLineChars="200"/>
    </w:pPr>
    <w:rPr>
      <w:sz w:val="24"/>
      <w:szCs w:val="20"/>
    </w:rPr>
  </w:style>
  <w:style w:type="paragraph" w:customStyle="1" w:styleId="75">
    <w:name w:val="段落"/>
    <w:basedOn w:val="1"/>
    <w:link w:val="76"/>
    <w:autoRedefine/>
    <w:qFormat/>
    <w:uiPriority w:val="0"/>
    <w:pPr>
      <w:adjustRightInd w:val="0"/>
      <w:snapToGrid w:val="0"/>
      <w:spacing w:line="300" w:lineRule="auto"/>
      <w:ind w:firstLine="539"/>
    </w:pPr>
    <w:rPr>
      <w:rFonts w:ascii="宋体" w:hAnsi="宋体"/>
      <w:sz w:val="28"/>
    </w:rPr>
  </w:style>
  <w:style w:type="character" w:customStyle="1" w:styleId="76">
    <w:name w:val="段落 Char"/>
    <w:link w:val="75"/>
    <w:autoRedefine/>
    <w:qFormat/>
    <w:uiPriority w:val="0"/>
    <w:rPr>
      <w:rFonts w:ascii="宋体" w:hAnsi="宋体"/>
      <w:kern w:val="2"/>
      <w:sz w:val="28"/>
      <w:szCs w:val="24"/>
    </w:rPr>
  </w:style>
  <w:style w:type="paragraph" w:customStyle="1" w:styleId="77">
    <w:name w:val="Char Char Char Char Char Char Char1"/>
    <w:basedOn w:val="1"/>
    <w:autoRedefine/>
    <w:qFormat/>
    <w:uiPriority w:val="0"/>
    <w:pPr>
      <w:snapToGrid w:val="0"/>
      <w:spacing w:line="360" w:lineRule="auto"/>
      <w:ind w:firstLine="529" w:firstLineChars="200"/>
    </w:pPr>
    <w:rPr>
      <w:rFonts w:ascii="宋体" w:hAnsi="宋体"/>
      <w:b/>
    </w:rPr>
  </w:style>
  <w:style w:type="paragraph" w:customStyle="1" w:styleId="78">
    <w:name w:val="正文1"/>
    <w:basedOn w:val="1"/>
    <w:link w:val="79"/>
    <w:autoRedefine/>
    <w:qFormat/>
    <w:uiPriority w:val="0"/>
    <w:pPr>
      <w:spacing w:line="560" w:lineRule="exact"/>
      <w:ind w:firstLine="200" w:firstLineChars="200"/>
    </w:pPr>
    <w:rPr>
      <w:rFonts w:ascii="宋体" w:hAnsi="宋体" w:cs="宋体"/>
      <w:sz w:val="28"/>
      <w:szCs w:val="28"/>
    </w:rPr>
  </w:style>
  <w:style w:type="character" w:customStyle="1" w:styleId="79">
    <w:name w:val="正文1 Char"/>
    <w:basedOn w:val="49"/>
    <w:link w:val="78"/>
    <w:autoRedefine/>
    <w:qFormat/>
    <w:uiPriority w:val="0"/>
    <w:rPr>
      <w:rFonts w:ascii="宋体" w:hAnsi="宋体" w:cs="宋体"/>
      <w:kern w:val="2"/>
      <w:sz w:val="28"/>
      <w:szCs w:val="28"/>
    </w:rPr>
  </w:style>
  <w:style w:type="character" w:customStyle="1" w:styleId="80">
    <w:name w:val="正文缩进 Char"/>
    <w:link w:val="14"/>
    <w:autoRedefine/>
    <w:qFormat/>
    <w:uiPriority w:val="0"/>
    <w:rPr>
      <w:kern w:val="2"/>
      <w:sz w:val="21"/>
    </w:rPr>
  </w:style>
  <w:style w:type="character" w:customStyle="1" w:styleId="81">
    <w:name w:val="标题 2 Char"/>
    <w:basedOn w:val="49"/>
    <w:link w:val="3"/>
    <w:autoRedefine/>
    <w:semiHidden/>
    <w:qFormat/>
    <w:uiPriority w:val="0"/>
    <w:rPr>
      <w:rFonts w:ascii="Cambria" w:hAnsi="Cambria" w:eastAsia="宋体" w:cs="Times New Roman"/>
      <w:b/>
      <w:bCs/>
      <w:kern w:val="2"/>
      <w:sz w:val="32"/>
      <w:szCs w:val="32"/>
    </w:rPr>
  </w:style>
  <w:style w:type="character" w:customStyle="1" w:styleId="82">
    <w:name w:val="标题 3 Char"/>
    <w:basedOn w:val="49"/>
    <w:link w:val="4"/>
    <w:autoRedefine/>
    <w:qFormat/>
    <w:uiPriority w:val="0"/>
    <w:rPr>
      <w:rFonts w:eastAsia="黑体"/>
      <w:b/>
      <w:bCs/>
      <w:kern w:val="2"/>
      <w:sz w:val="30"/>
      <w:szCs w:val="30"/>
    </w:rPr>
  </w:style>
  <w:style w:type="character" w:customStyle="1" w:styleId="83">
    <w:name w:val="标题 4 Char"/>
    <w:basedOn w:val="49"/>
    <w:link w:val="5"/>
    <w:autoRedefine/>
    <w:qFormat/>
    <w:uiPriority w:val="0"/>
    <w:rPr>
      <w:rFonts w:ascii="Arial" w:hAnsi="Arial" w:eastAsia="黑体"/>
      <w:b/>
      <w:bCs/>
      <w:kern w:val="2"/>
      <w:sz w:val="28"/>
      <w:szCs w:val="28"/>
    </w:rPr>
  </w:style>
  <w:style w:type="character" w:customStyle="1" w:styleId="84">
    <w:name w:val="标题 5 Char"/>
    <w:basedOn w:val="49"/>
    <w:link w:val="6"/>
    <w:autoRedefine/>
    <w:qFormat/>
    <w:uiPriority w:val="0"/>
    <w:rPr>
      <w:b/>
      <w:bCs/>
      <w:kern w:val="2"/>
      <w:sz w:val="28"/>
      <w:szCs w:val="28"/>
    </w:rPr>
  </w:style>
  <w:style w:type="character" w:customStyle="1" w:styleId="85">
    <w:name w:val="标题 6 Char"/>
    <w:basedOn w:val="49"/>
    <w:link w:val="7"/>
    <w:autoRedefine/>
    <w:semiHidden/>
    <w:qFormat/>
    <w:uiPriority w:val="0"/>
    <w:rPr>
      <w:rFonts w:ascii="Arial" w:hAnsi="Arial" w:eastAsia="黑体"/>
      <w:b/>
      <w:bCs/>
      <w:color w:val="000000"/>
      <w:kern w:val="2"/>
      <w:sz w:val="24"/>
      <w:szCs w:val="24"/>
    </w:rPr>
  </w:style>
  <w:style w:type="character" w:customStyle="1" w:styleId="86">
    <w:name w:val="标题 7 Char"/>
    <w:basedOn w:val="49"/>
    <w:link w:val="8"/>
    <w:autoRedefine/>
    <w:semiHidden/>
    <w:qFormat/>
    <w:uiPriority w:val="0"/>
    <w:rPr>
      <w:b/>
      <w:bCs/>
      <w:color w:val="000000"/>
      <w:kern w:val="2"/>
      <w:sz w:val="24"/>
      <w:szCs w:val="24"/>
    </w:rPr>
  </w:style>
  <w:style w:type="character" w:customStyle="1" w:styleId="87">
    <w:name w:val="标题 8 Char"/>
    <w:basedOn w:val="49"/>
    <w:link w:val="9"/>
    <w:autoRedefine/>
    <w:semiHidden/>
    <w:qFormat/>
    <w:uiPriority w:val="0"/>
    <w:rPr>
      <w:rFonts w:ascii="Arial" w:hAnsi="Arial" w:eastAsia="黑体"/>
      <w:color w:val="000000"/>
      <w:kern w:val="2"/>
      <w:sz w:val="24"/>
      <w:szCs w:val="24"/>
    </w:rPr>
  </w:style>
  <w:style w:type="character" w:customStyle="1" w:styleId="88">
    <w:name w:val="标题 9 Char"/>
    <w:basedOn w:val="49"/>
    <w:link w:val="10"/>
    <w:autoRedefine/>
    <w:semiHidden/>
    <w:qFormat/>
    <w:uiPriority w:val="0"/>
    <w:rPr>
      <w:color w:val="000000"/>
      <w:kern w:val="2"/>
      <w:sz w:val="24"/>
      <w:szCs w:val="21"/>
    </w:rPr>
  </w:style>
  <w:style w:type="character" w:customStyle="1" w:styleId="89">
    <w:name w:val="标题 1 Char"/>
    <w:link w:val="2"/>
    <w:autoRedefine/>
    <w:qFormat/>
    <w:uiPriority w:val="0"/>
    <w:rPr>
      <w:rFonts w:eastAsia="黑体"/>
      <w:b/>
      <w:bCs/>
      <w:color w:val="000000"/>
      <w:kern w:val="44"/>
      <w:sz w:val="30"/>
      <w:szCs w:val="30"/>
    </w:rPr>
  </w:style>
  <w:style w:type="character" w:customStyle="1" w:styleId="90">
    <w:name w:val="标题 2 Char2"/>
    <w:link w:val="3"/>
    <w:autoRedefine/>
    <w:qFormat/>
    <w:uiPriority w:val="0"/>
    <w:rPr>
      <w:rFonts w:eastAsia="黑体"/>
      <w:b/>
      <w:bCs/>
      <w:kern w:val="2"/>
      <w:sz w:val="32"/>
      <w:szCs w:val="32"/>
    </w:rPr>
  </w:style>
  <w:style w:type="paragraph" w:customStyle="1" w:styleId="91">
    <w:name w:val="样式 标题 1 + 居中"/>
    <w:basedOn w:val="2"/>
    <w:autoRedefine/>
    <w:qFormat/>
    <w:uiPriority w:val="0"/>
    <w:pPr>
      <w:keepLines/>
      <w:overflowPunct/>
      <w:snapToGrid/>
      <w:spacing w:beforeLines="50" w:after="0" w:line="360" w:lineRule="auto"/>
      <w:ind w:left="0" w:firstLine="0"/>
      <w:jc w:val="center"/>
    </w:pPr>
    <w:rPr>
      <w:rFonts w:cs="宋体"/>
      <w:color w:val="auto"/>
      <w:sz w:val="36"/>
      <w:szCs w:val="20"/>
    </w:rPr>
  </w:style>
  <w:style w:type="paragraph" w:customStyle="1" w:styleId="92">
    <w:name w:val="标题4"/>
    <w:basedOn w:val="4"/>
    <w:autoRedefine/>
    <w:qFormat/>
    <w:uiPriority w:val="0"/>
    <w:pPr>
      <w:spacing w:beforeLines="0"/>
    </w:pPr>
    <w:rPr>
      <w:rFonts w:cs="宋体"/>
      <w:b w:val="0"/>
      <w:sz w:val="28"/>
      <w:szCs w:val="20"/>
    </w:rPr>
  </w:style>
  <w:style w:type="paragraph" w:customStyle="1" w:styleId="93">
    <w:name w:val="样式 (中文) 楷体_GB2312 小四 行距: 1.5 倍行距"/>
    <w:basedOn w:val="1"/>
    <w:autoRedefine/>
    <w:qFormat/>
    <w:uiPriority w:val="0"/>
    <w:pPr>
      <w:spacing w:line="360" w:lineRule="auto"/>
      <w:ind w:firstLine="480" w:firstLineChars="200"/>
    </w:pPr>
    <w:rPr>
      <w:rFonts w:eastAsia="楷体_GB2312" w:cs="宋体"/>
      <w:sz w:val="24"/>
      <w:szCs w:val="20"/>
    </w:rPr>
  </w:style>
  <w:style w:type="paragraph" w:customStyle="1" w:styleId="94">
    <w:name w:val="样式 (中文) 楷体_GB2312 居中"/>
    <w:basedOn w:val="2"/>
    <w:autoRedefine/>
    <w:qFormat/>
    <w:uiPriority w:val="0"/>
    <w:pPr>
      <w:keepLines/>
      <w:pageBreakBefore/>
      <w:overflowPunct/>
      <w:spacing w:before="0" w:after="0" w:line="240" w:lineRule="auto"/>
      <w:ind w:left="0" w:firstLine="0"/>
      <w:jc w:val="left"/>
    </w:pPr>
    <w:rPr>
      <w:rFonts w:ascii="黑体" w:hAnsi="宋体" w:cs="宋体"/>
      <w:bCs w:val="0"/>
      <w:color w:val="auto"/>
      <w:spacing w:val="-2"/>
      <w:kern w:val="0"/>
      <w:sz w:val="32"/>
      <w:szCs w:val="20"/>
    </w:rPr>
  </w:style>
  <w:style w:type="paragraph" w:customStyle="1" w:styleId="95">
    <w:name w:val="Char"/>
    <w:basedOn w:val="1"/>
    <w:autoRedefine/>
    <w:qFormat/>
    <w:uiPriority w:val="0"/>
    <w:pPr>
      <w:snapToGrid w:val="0"/>
      <w:spacing w:line="360" w:lineRule="auto"/>
      <w:ind w:firstLine="529" w:firstLineChars="200"/>
    </w:pPr>
    <w:rPr>
      <w:rFonts w:ascii="宋体" w:hAnsi="宋体"/>
      <w:b/>
    </w:rPr>
  </w:style>
  <w:style w:type="character" w:customStyle="1" w:styleId="96">
    <w:name w:val="纯文本 Char"/>
    <w:basedOn w:val="49"/>
    <w:link w:val="24"/>
    <w:autoRedefine/>
    <w:qFormat/>
    <w:uiPriority w:val="0"/>
    <w:rPr>
      <w:rFonts w:ascii="宋体" w:hAnsi="Courier New" w:cs="Courier New"/>
      <w:kern w:val="2"/>
      <w:sz w:val="21"/>
      <w:szCs w:val="21"/>
    </w:rPr>
  </w:style>
  <w:style w:type="character" w:customStyle="1" w:styleId="97">
    <w:name w:val="纯文本 Char2"/>
    <w:basedOn w:val="49"/>
    <w:link w:val="24"/>
    <w:autoRedefine/>
    <w:qFormat/>
    <w:uiPriority w:val="0"/>
    <w:rPr>
      <w:rFonts w:ascii="宋体" w:hAnsi="Courier New"/>
      <w:kern w:val="2"/>
      <w:sz w:val="21"/>
      <w:szCs w:val="24"/>
    </w:rPr>
  </w:style>
  <w:style w:type="character" w:customStyle="1" w:styleId="98">
    <w:name w:val="正文文本缩进 Char2"/>
    <w:basedOn w:val="49"/>
    <w:autoRedefine/>
    <w:qFormat/>
    <w:uiPriority w:val="0"/>
    <w:rPr>
      <w:rFonts w:eastAsia="仿宋_GB2312"/>
      <w:kern w:val="2"/>
      <w:sz w:val="28"/>
      <w:szCs w:val="24"/>
    </w:rPr>
  </w:style>
  <w:style w:type="character" w:customStyle="1" w:styleId="99">
    <w:name w:val="正文文本缩进 2 Char"/>
    <w:basedOn w:val="49"/>
    <w:link w:val="27"/>
    <w:autoRedefine/>
    <w:qFormat/>
    <w:uiPriority w:val="0"/>
    <w:rPr>
      <w:kern w:val="2"/>
      <w:sz w:val="21"/>
      <w:szCs w:val="24"/>
    </w:rPr>
  </w:style>
  <w:style w:type="paragraph" w:customStyle="1" w:styleId="100">
    <w:name w:val="样式 楷体_GB2312 小四"/>
    <w:basedOn w:val="1"/>
    <w:autoRedefine/>
    <w:qFormat/>
    <w:uiPriority w:val="0"/>
    <w:pPr>
      <w:spacing w:line="360" w:lineRule="auto"/>
      <w:ind w:firstLine="480" w:firstLineChars="200"/>
    </w:pPr>
    <w:rPr>
      <w:rFonts w:ascii="楷体_GB2312" w:hAnsi="楷体_GB2312" w:eastAsia="楷体_GB2312" w:cs="宋体"/>
      <w:sz w:val="24"/>
      <w:szCs w:val="20"/>
    </w:rPr>
  </w:style>
  <w:style w:type="character" w:customStyle="1" w:styleId="101">
    <w:name w:val="文档结构图 Char"/>
    <w:basedOn w:val="49"/>
    <w:link w:val="15"/>
    <w:autoRedefine/>
    <w:qFormat/>
    <w:uiPriority w:val="99"/>
    <w:rPr>
      <w:kern w:val="2"/>
      <w:sz w:val="21"/>
      <w:szCs w:val="24"/>
      <w:shd w:val="clear" w:color="auto" w:fill="000080"/>
    </w:rPr>
  </w:style>
  <w:style w:type="paragraph" w:customStyle="1" w:styleId="102">
    <w:name w:val="四号标题"/>
    <w:basedOn w:val="1"/>
    <w:next w:val="1"/>
    <w:autoRedefine/>
    <w:qFormat/>
    <w:uiPriority w:val="0"/>
    <w:pPr>
      <w:jc w:val="center"/>
    </w:pPr>
    <w:rPr>
      <w:rFonts w:ascii="Arial Unicode MS" w:hAnsi="Arial Unicode MS" w:eastAsia="黑体"/>
      <w:sz w:val="28"/>
      <w:szCs w:val="28"/>
    </w:rPr>
  </w:style>
  <w:style w:type="paragraph" w:customStyle="1" w:styleId="103">
    <w:name w:val="表头文字"/>
    <w:basedOn w:val="24"/>
    <w:autoRedefine/>
    <w:qFormat/>
    <w:uiPriority w:val="0"/>
    <w:pPr>
      <w:spacing w:line="480" w:lineRule="exact"/>
      <w:jc w:val="center"/>
    </w:pPr>
    <w:rPr>
      <w:spacing w:val="2"/>
      <w:sz w:val="24"/>
      <w:szCs w:val="20"/>
    </w:rPr>
  </w:style>
  <w:style w:type="paragraph" w:customStyle="1" w:styleId="104">
    <w:name w:val="表格文字1"/>
    <w:basedOn w:val="24"/>
    <w:autoRedefine/>
    <w:qFormat/>
    <w:uiPriority w:val="0"/>
    <w:pPr>
      <w:spacing w:line="320" w:lineRule="exact"/>
      <w:jc w:val="center"/>
    </w:pPr>
    <w:rPr>
      <w:spacing w:val="-12"/>
      <w:szCs w:val="20"/>
    </w:rPr>
  </w:style>
  <w:style w:type="character" w:customStyle="1" w:styleId="105">
    <w:name w:val="HTML 预设格式 Char"/>
    <w:basedOn w:val="49"/>
    <w:link w:val="40"/>
    <w:autoRedefine/>
    <w:qFormat/>
    <w:uiPriority w:val="0"/>
    <w:rPr>
      <w:rFonts w:ascii="Arial" w:hAnsi="Arial" w:cs="Arial"/>
      <w:sz w:val="21"/>
      <w:szCs w:val="21"/>
    </w:rPr>
  </w:style>
  <w:style w:type="paragraph" w:customStyle="1" w:styleId="106">
    <w:name w:val="Char Char Char Char Char Char Char Char Char Char Char Char Char Char Char Char Char Char2 Char"/>
    <w:basedOn w:val="1"/>
    <w:autoRedefine/>
    <w:qFormat/>
    <w:uiPriority w:val="0"/>
    <w:pPr>
      <w:spacing w:line="360" w:lineRule="auto"/>
      <w:ind w:firstLine="200" w:firstLineChars="200"/>
    </w:pPr>
    <w:rPr>
      <w:rFonts w:ascii="宋体" w:hAnsi="宋体" w:cs="宋体"/>
      <w:sz w:val="24"/>
    </w:rPr>
  </w:style>
  <w:style w:type="paragraph" w:customStyle="1" w:styleId="107">
    <w:name w:val="Char1"/>
    <w:basedOn w:val="1"/>
    <w:autoRedefine/>
    <w:qFormat/>
    <w:uiPriority w:val="0"/>
    <w:rPr>
      <w:szCs w:val="20"/>
    </w:rPr>
  </w:style>
  <w:style w:type="paragraph" w:customStyle="1" w:styleId="108">
    <w:name w:val="表格文字"/>
    <w:basedOn w:val="1"/>
    <w:next w:val="1"/>
    <w:link w:val="109"/>
    <w:autoRedefine/>
    <w:qFormat/>
    <w:uiPriority w:val="0"/>
    <w:pPr>
      <w:adjustRightInd w:val="0"/>
      <w:snapToGrid w:val="0"/>
      <w:spacing w:line="360" w:lineRule="exact"/>
      <w:jc w:val="center"/>
    </w:pPr>
    <w:rPr>
      <w:rFonts w:hAnsi="宋体" w:cs="宋体"/>
      <w:bCs/>
      <w:spacing w:val="4"/>
      <w:kern w:val="0"/>
      <w:szCs w:val="21"/>
    </w:rPr>
  </w:style>
  <w:style w:type="character" w:customStyle="1" w:styleId="109">
    <w:name w:val="表格文字 Char Char"/>
    <w:basedOn w:val="49"/>
    <w:link w:val="108"/>
    <w:autoRedefine/>
    <w:qFormat/>
    <w:uiPriority w:val="0"/>
    <w:rPr>
      <w:rFonts w:hAnsi="宋体" w:cs="宋体"/>
      <w:bCs/>
      <w:spacing w:val="4"/>
      <w:sz w:val="21"/>
      <w:szCs w:val="21"/>
    </w:rPr>
  </w:style>
  <w:style w:type="paragraph" w:customStyle="1" w:styleId="110">
    <w:name w:val="xl27"/>
    <w:basedOn w:val="1"/>
    <w:autoRedefine/>
    <w:qFormat/>
    <w:uiPriority w:val="0"/>
    <w:pPr>
      <w:widowControl/>
      <w:pBdr>
        <w:bottom w:val="single" w:color="auto" w:sz="4" w:space="0"/>
        <w:right w:val="single" w:color="auto" w:sz="4" w:space="0"/>
      </w:pBdr>
      <w:spacing w:before="100" w:beforeAutospacing="1" w:after="100" w:afterAutospacing="1"/>
      <w:jc w:val="center"/>
    </w:pPr>
    <w:rPr>
      <w:kern w:val="0"/>
      <w:szCs w:val="21"/>
    </w:rPr>
  </w:style>
  <w:style w:type="paragraph" w:customStyle="1" w:styleId="111">
    <w:name w:val="Char Char Char1 Char Char Char Char Char Char Char Char Char"/>
    <w:basedOn w:val="1"/>
    <w:autoRedefine/>
    <w:qFormat/>
    <w:uiPriority w:val="0"/>
    <w:pPr>
      <w:spacing w:line="360" w:lineRule="auto"/>
      <w:ind w:firstLine="200" w:firstLineChars="200"/>
    </w:pPr>
    <w:rPr>
      <w:rFonts w:ascii="宋体" w:hAnsi="宋体" w:cs="宋体"/>
      <w:sz w:val="24"/>
    </w:rPr>
  </w:style>
  <w:style w:type="paragraph" w:customStyle="1" w:styleId="112">
    <w:name w:val="Char Char Char Char Char Char Char Char Char Char Char Char Char"/>
    <w:basedOn w:val="1"/>
    <w:autoRedefine/>
    <w:qFormat/>
    <w:uiPriority w:val="0"/>
    <w:pPr>
      <w:spacing w:line="360" w:lineRule="auto"/>
      <w:ind w:firstLine="200" w:firstLineChars="200"/>
    </w:pPr>
    <w:rPr>
      <w:rFonts w:ascii="宋体" w:hAnsi="宋体" w:cs="宋体"/>
      <w:sz w:val="24"/>
    </w:rPr>
  </w:style>
  <w:style w:type="paragraph" w:customStyle="1" w:styleId="113">
    <w:name w:val="Char Char Char Char Char Char Char"/>
    <w:basedOn w:val="1"/>
    <w:autoRedefine/>
    <w:qFormat/>
    <w:uiPriority w:val="0"/>
  </w:style>
  <w:style w:type="character" w:customStyle="1" w:styleId="114">
    <w:name w:val="12_181"/>
    <w:basedOn w:val="49"/>
    <w:autoRedefine/>
    <w:qFormat/>
    <w:uiPriority w:val="0"/>
    <w:rPr>
      <w:spacing w:val="160"/>
      <w:sz w:val="10"/>
      <w:szCs w:val="10"/>
    </w:rPr>
  </w:style>
  <w:style w:type="paragraph" w:customStyle="1" w:styleId="115">
    <w:name w:val="报告表格"/>
    <w:basedOn w:val="1"/>
    <w:autoRedefine/>
    <w:qFormat/>
    <w:uiPriority w:val="0"/>
    <w:pPr>
      <w:autoSpaceDE w:val="0"/>
      <w:autoSpaceDN w:val="0"/>
      <w:adjustRightInd w:val="0"/>
      <w:spacing w:before="40" w:after="40"/>
      <w:jc w:val="center"/>
      <w:textAlignment w:val="bottom"/>
    </w:pPr>
    <w:rPr>
      <w:kern w:val="0"/>
      <w:szCs w:val="20"/>
    </w:rPr>
  </w:style>
  <w:style w:type="character" w:customStyle="1" w:styleId="116">
    <w:name w:val="Char Char1"/>
    <w:basedOn w:val="49"/>
    <w:autoRedefine/>
    <w:qFormat/>
    <w:uiPriority w:val="0"/>
    <w:rPr>
      <w:rFonts w:ascii="宋体" w:hAnsi="Courier New" w:eastAsia="宋体"/>
      <w:kern w:val="2"/>
      <w:sz w:val="21"/>
      <w:lang w:val="en-US" w:eastAsia="zh-CN" w:bidi="ar-SA"/>
    </w:rPr>
  </w:style>
  <w:style w:type="paragraph" w:customStyle="1" w:styleId="117">
    <w:name w:val="Char Char Char Char Char Char Char2"/>
    <w:basedOn w:val="1"/>
    <w:autoRedefine/>
    <w:qFormat/>
    <w:uiPriority w:val="0"/>
    <w:pPr>
      <w:spacing w:line="360" w:lineRule="auto"/>
      <w:ind w:firstLine="200" w:firstLineChars="200"/>
    </w:pPr>
    <w:rPr>
      <w:rFonts w:ascii="宋体" w:hAnsi="宋体" w:cs="宋体"/>
      <w:sz w:val="24"/>
    </w:rPr>
  </w:style>
  <w:style w:type="paragraph" w:customStyle="1" w:styleId="118">
    <w:name w:val="Char Char Char Char"/>
    <w:basedOn w:val="1"/>
    <w:autoRedefine/>
    <w:qFormat/>
    <w:uiPriority w:val="0"/>
    <w:pPr>
      <w:snapToGrid w:val="0"/>
      <w:spacing w:line="360" w:lineRule="auto"/>
      <w:ind w:firstLine="529" w:firstLineChars="200"/>
    </w:pPr>
    <w:rPr>
      <w:rFonts w:ascii="宋体" w:hAnsi="宋体"/>
      <w:b/>
    </w:rPr>
  </w:style>
  <w:style w:type="character" w:customStyle="1" w:styleId="119">
    <w:name w:val="inq"/>
    <w:basedOn w:val="49"/>
    <w:autoRedefine/>
    <w:qFormat/>
    <w:uiPriority w:val="0"/>
  </w:style>
  <w:style w:type="paragraph" w:customStyle="1" w:styleId="120">
    <w:name w:val="正文（首行缩进两字）"/>
    <w:basedOn w:val="1"/>
    <w:autoRedefine/>
    <w:qFormat/>
    <w:uiPriority w:val="0"/>
    <w:pPr>
      <w:widowControl/>
      <w:adjustRightInd w:val="0"/>
      <w:snapToGrid w:val="0"/>
      <w:spacing w:line="300" w:lineRule="auto"/>
      <w:ind w:firstLine="200" w:firstLineChars="200"/>
      <w:jc w:val="left"/>
    </w:pPr>
    <w:rPr>
      <w:rFonts w:ascii="宋体" w:hAnsi="宋体"/>
      <w:kern w:val="0"/>
      <w:sz w:val="30"/>
      <w:szCs w:val="20"/>
    </w:rPr>
  </w:style>
  <w:style w:type="paragraph" w:customStyle="1" w:styleId="121">
    <w:name w:val="默认段落字体 Para Char Char Char Char"/>
    <w:basedOn w:val="1"/>
    <w:autoRedefine/>
    <w:qFormat/>
    <w:uiPriority w:val="0"/>
    <w:pPr>
      <w:spacing w:line="360" w:lineRule="auto"/>
      <w:ind w:firstLine="200" w:firstLineChars="200"/>
    </w:pPr>
    <w:rPr>
      <w:rFonts w:ascii="宋体" w:hAnsi="宋体" w:cs="宋体"/>
      <w:sz w:val="24"/>
    </w:rPr>
  </w:style>
  <w:style w:type="paragraph" w:customStyle="1" w:styleId="122">
    <w:name w:val="Char Char Char Char1"/>
    <w:basedOn w:val="1"/>
    <w:autoRedefine/>
    <w:qFormat/>
    <w:uiPriority w:val="0"/>
    <w:pPr>
      <w:spacing w:line="360" w:lineRule="auto"/>
      <w:ind w:firstLine="200" w:firstLineChars="200"/>
    </w:pPr>
    <w:rPr>
      <w:rFonts w:ascii="宋体" w:hAnsi="宋体" w:cs="宋体"/>
      <w:sz w:val="24"/>
    </w:rPr>
  </w:style>
  <w:style w:type="paragraph" w:customStyle="1" w:styleId="123">
    <w:name w:val="Char2"/>
    <w:basedOn w:val="1"/>
    <w:autoRedefine/>
    <w:qFormat/>
    <w:uiPriority w:val="0"/>
    <w:rPr>
      <w:szCs w:val="20"/>
    </w:rPr>
  </w:style>
  <w:style w:type="character" w:customStyle="1" w:styleId="124">
    <w:name w:val="t_tag"/>
    <w:basedOn w:val="49"/>
    <w:autoRedefine/>
    <w:qFormat/>
    <w:uiPriority w:val="0"/>
  </w:style>
  <w:style w:type="character" w:customStyle="1" w:styleId="125">
    <w:name w:val="apple-style-span"/>
    <w:basedOn w:val="49"/>
    <w:autoRedefine/>
    <w:qFormat/>
    <w:uiPriority w:val="0"/>
  </w:style>
  <w:style w:type="paragraph" w:customStyle="1" w:styleId="126">
    <w:name w:val="ww"/>
    <w:basedOn w:val="1"/>
    <w:link w:val="127"/>
    <w:autoRedefine/>
    <w:qFormat/>
    <w:uiPriority w:val="0"/>
    <w:pPr>
      <w:spacing w:line="500" w:lineRule="exact"/>
      <w:ind w:firstLine="560" w:firstLineChars="200"/>
    </w:pPr>
    <w:rPr>
      <w:sz w:val="28"/>
      <w:szCs w:val="28"/>
    </w:rPr>
  </w:style>
  <w:style w:type="character" w:customStyle="1" w:styleId="127">
    <w:name w:val="ww Char"/>
    <w:basedOn w:val="49"/>
    <w:link w:val="126"/>
    <w:autoRedefine/>
    <w:qFormat/>
    <w:uiPriority w:val="0"/>
    <w:rPr>
      <w:kern w:val="2"/>
      <w:sz w:val="28"/>
      <w:szCs w:val="28"/>
    </w:rPr>
  </w:style>
  <w:style w:type="paragraph" w:customStyle="1" w:styleId="128">
    <w:name w:val="Char Char"/>
    <w:basedOn w:val="1"/>
    <w:autoRedefine/>
    <w:qFormat/>
    <w:uiPriority w:val="0"/>
    <w:rPr>
      <w:rFonts w:ascii="Tahoma" w:hAnsi="Tahoma" w:eastAsia="仿宋_GB2312"/>
      <w:sz w:val="24"/>
      <w:szCs w:val="20"/>
    </w:rPr>
  </w:style>
  <w:style w:type="character" w:customStyle="1" w:styleId="129">
    <w:name w:val="正文首行缩进 Char"/>
    <w:basedOn w:val="61"/>
    <w:link w:val="45"/>
    <w:autoRedefine/>
    <w:qFormat/>
    <w:uiPriority w:val="99"/>
    <w:rPr>
      <w:kern w:val="2"/>
      <w:sz w:val="21"/>
    </w:rPr>
  </w:style>
  <w:style w:type="paragraph" w:customStyle="1" w:styleId="130">
    <w:name w:val="Char3"/>
    <w:basedOn w:val="1"/>
    <w:autoRedefine/>
    <w:qFormat/>
    <w:uiPriority w:val="0"/>
    <w:pPr>
      <w:snapToGrid w:val="0"/>
      <w:spacing w:line="360" w:lineRule="auto"/>
      <w:ind w:firstLine="200" w:firstLineChars="200"/>
    </w:pPr>
    <w:rPr>
      <w:rFonts w:eastAsia="仿宋_GB2312"/>
      <w:sz w:val="24"/>
    </w:rPr>
  </w:style>
  <w:style w:type="paragraph" w:customStyle="1" w:styleId="131">
    <w:name w:val="样式 首行缩进:  2 字符"/>
    <w:basedOn w:val="1"/>
    <w:autoRedefine/>
    <w:qFormat/>
    <w:uiPriority w:val="0"/>
    <w:pPr>
      <w:ind w:firstLine="200" w:firstLineChars="200"/>
    </w:pPr>
    <w:rPr>
      <w:rFonts w:ascii="仿宋_GB2312)" w:eastAsia="仿宋_GB2312" w:cs="宋体"/>
      <w:sz w:val="28"/>
      <w:szCs w:val="20"/>
    </w:rPr>
  </w:style>
  <w:style w:type="paragraph" w:customStyle="1" w:styleId="132">
    <w:name w:val="文字表格1"/>
    <w:autoRedefine/>
    <w:qFormat/>
    <w:uiPriority w:val="0"/>
    <w:pPr>
      <w:widowControl w:val="0"/>
      <w:adjustRightInd w:val="0"/>
      <w:snapToGrid w:val="0"/>
      <w:spacing w:line="360" w:lineRule="exact"/>
      <w:jc w:val="center"/>
    </w:pPr>
    <w:rPr>
      <w:rFonts w:ascii="Times New Roman" w:hAnsi="Times New Roman" w:eastAsia="宋体" w:cs="Times New Roman"/>
      <w:b/>
      <w:bCs/>
      <w:color w:val="000000"/>
      <w:sz w:val="21"/>
      <w:szCs w:val="21"/>
      <w:lang w:val="en-US" w:eastAsia="zh-CN" w:bidi="ar-SA"/>
    </w:rPr>
  </w:style>
  <w:style w:type="character" w:customStyle="1" w:styleId="133">
    <w:name w:val="文字 Char Char"/>
    <w:link w:val="134"/>
    <w:autoRedefine/>
    <w:qFormat/>
    <w:uiPriority w:val="0"/>
    <w:rPr>
      <w:kern w:val="2"/>
      <w:sz w:val="28"/>
      <w:szCs w:val="28"/>
    </w:rPr>
  </w:style>
  <w:style w:type="paragraph" w:customStyle="1" w:styleId="134">
    <w:name w:val="文字"/>
    <w:basedOn w:val="1"/>
    <w:link w:val="133"/>
    <w:autoRedefine/>
    <w:qFormat/>
    <w:uiPriority w:val="0"/>
    <w:pPr>
      <w:autoSpaceDE w:val="0"/>
      <w:autoSpaceDN w:val="0"/>
      <w:spacing w:line="500" w:lineRule="atLeast"/>
      <w:ind w:firstLine="200" w:firstLineChars="200"/>
    </w:pPr>
    <w:rPr>
      <w:sz w:val="28"/>
      <w:szCs w:val="28"/>
    </w:rPr>
  </w:style>
  <w:style w:type="character" w:customStyle="1" w:styleId="135">
    <w:name w:val="标准正文 Char Char"/>
    <w:link w:val="136"/>
    <w:autoRedefine/>
    <w:qFormat/>
    <w:uiPriority w:val="0"/>
    <w:rPr>
      <w:kern w:val="2"/>
      <w:sz w:val="24"/>
      <w:szCs w:val="22"/>
    </w:rPr>
  </w:style>
  <w:style w:type="paragraph" w:customStyle="1" w:styleId="136">
    <w:name w:val="标准正文"/>
    <w:basedOn w:val="1"/>
    <w:link w:val="135"/>
    <w:autoRedefine/>
    <w:qFormat/>
    <w:uiPriority w:val="0"/>
    <w:pPr>
      <w:spacing w:line="360" w:lineRule="auto"/>
      <w:ind w:firstLine="480" w:firstLineChars="200"/>
      <w:jc w:val="left"/>
    </w:pPr>
    <w:rPr>
      <w:sz w:val="24"/>
      <w:szCs w:val="22"/>
    </w:rPr>
  </w:style>
  <w:style w:type="character" w:customStyle="1" w:styleId="137">
    <w:name w:val="报告正文 Char"/>
    <w:link w:val="138"/>
    <w:autoRedefine/>
    <w:qFormat/>
    <w:uiPriority w:val="0"/>
    <w:rPr>
      <w:kern w:val="2"/>
      <w:sz w:val="24"/>
      <w:szCs w:val="24"/>
    </w:rPr>
  </w:style>
  <w:style w:type="paragraph" w:customStyle="1" w:styleId="138">
    <w:name w:val="报告正文"/>
    <w:basedOn w:val="1"/>
    <w:next w:val="1"/>
    <w:link w:val="137"/>
    <w:autoRedefine/>
    <w:qFormat/>
    <w:uiPriority w:val="0"/>
    <w:pPr>
      <w:adjustRightInd w:val="0"/>
      <w:snapToGrid w:val="0"/>
      <w:spacing w:line="360" w:lineRule="auto"/>
      <w:ind w:firstLine="200" w:firstLineChars="200"/>
    </w:pPr>
    <w:rPr>
      <w:sz w:val="24"/>
    </w:rPr>
  </w:style>
  <w:style w:type="character" w:customStyle="1" w:styleId="139">
    <w:name w:val="表格文字 Char"/>
    <w:basedOn w:val="49"/>
    <w:link w:val="140"/>
    <w:autoRedefine/>
    <w:qFormat/>
    <w:uiPriority w:val="0"/>
    <w:rPr>
      <w:spacing w:val="6"/>
      <w:kern w:val="2"/>
      <w:sz w:val="21"/>
      <w:szCs w:val="21"/>
    </w:rPr>
  </w:style>
  <w:style w:type="paragraph" w:customStyle="1" w:styleId="140">
    <w:name w:val="表格内容"/>
    <w:basedOn w:val="1"/>
    <w:link w:val="139"/>
    <w:autoRedefine/>
    <w:qFormat/>
    <w:uiPriority w:val="0"/>
    <w:pPr>
      <w:jc w:val="center"/>
    </w:pPr>
    <w:rPr>
      <w:spacing w:val="6"/>
      <w:szCs w:val="21"/>
    </w:rPr>
  </w:style>
  <w:style w:type="paragraph" w:customStyle="1" w:styleId="141">
    <w:name w:val="样式 样式 首行缩进:  2 字符 + (西文) Times New Roman (中文) 宋体 小四 首行缩进:  2 ..."/>
    <w:basedOn w:val="131"/>
    <w:autoRedefine/>
    <w:qFormat/>
    <w:uiPriority w:val="0"/>
    <w:pPr>
      <w:spacing w:line="480" w:lineRule="exact"/>
    </w:pPr>
    <w:rPr>
      <w:rFonts w:ascii="Times New Roman" w:hAnsi="宋体" w:eastAsia="Times New Roman"/>
      <w:sz w:val="24"/>
    </w:rPr>
  </w:style>
  <w:style w:type="character" w:customStyle="1" w:styleId="142">
    <w:name w:val="正文（南山污水） Char"/>
    <w:autoRedefine/>
    <w:qFormat/>
    <w:uiPriority w:val="0"/>
    <w:rPr>
      <w:rFonts w:eastAsia="宋体"/>
      <w:kern w:val="2"/>
      <w:sz w:val="21"/>
      <w:lang w:val="en-US" w:eastAsia="zh-CN" w:bidi="ar-SA"/>
    </w:rPr>
  </w:style>
  <w:style w:type="character" w:customStyle="1" w:styleId="143">
    <w:name w:val="正文（首行式样2） Char1"/>
    <w:link w:val="144"/>
    <w:autoRedefine/>
    <w:qFormat/>
    <w:uiPriority w:val="0"/>
    <w:rPr>
      <w:bCs/>
      <w:sz w:val="28"/>
    </w:rPr>
  </w:style>
  <w:style w:type="paragraph" w:customStyle="1" w:styleId="144">
    <w:name w:val="正文（首行式样2）"/>
    <w:basedOn w:val="14"/>
    <w:link w:val="143"/>
    <w:autoRedefine/>
    <w:qFormat/>
    <w:uiPriority w:val="0"/>
    <w:pPr>
      <w:spacing w:line="540" w:lineRule="exact"/>
      <w:ind w:firstLine="560" w:firstLineChars="200"/>
    </w:pPr>
    <w:rPr>
      <w:bCs/>
      <w:kern w:val="0"/>
      <w:sz w:val="28"/>
    </w:rPr>
  </w:style>
  <w:style w:type="paragraph" w:customStyle="1" w:styleId="145">
    <w:name w:val="0正文"/>
    <w:basedOn w:val="19"/>
    <w:link w:val="146"/>
    <w:autoRedefine/>
    <w:qFormat/>
    <w:uiPriority w:val="0"/>
    <w:pPr>
      <w:spacing w:after="0" w:line="300" w:lineRule="auto"/>
      <w:ind w:left="0" w:leftChars="0" w:firstLine="480" w:firstLineChars="200"/>
    </w:pPr>
  </w:style>
  <w:style w:type="character" w:customStyle="1" w:styleId="146">
    <w:name w:val="0正文 Char"/>
    <w:link w:val="145"/>
    <w:autoRedefine/>
    <w:qFormat/>
    <w:uiPriority w:val="0"/>
    <w:rPr>
      <w:sz w:val="24"/>
    </w:rPr>
  </w:style>
  <w:style w:type="paragraph" w:customStyle="1" w:styleId="147">
    <w:name w:val="表格文字/16"/>
    <w:basedOn w:val="1"/>
    <w:autoRedefine/>
    <w:qFormat/>
    <w:uiPriority w:val="0"/>
    <w:pPr>
      <w:adjustRightInd w:val="0"/>
      <w:snapToGrid w:val="0"/>
      <w:spacing w:line="320" w:lineRule="exact"/>
      <w:jc w:val="center"/>
    </w:pPr>
    <w:rPr>
      <w:color w:val="000000"/>
      <w:kern w:val="32"/>
      <w:szCs w:val="20"/>
    </w:rPr>
  </w:style>
  <w:style w:type="character" w:customStyle="1" w:styleId="148">
    <w:name w:val="正文文本缩进 3 Char"/>
    <w:link w:val="36"/>
    <w:autoRedefine/>
    <w:qFormat/>
    <w:uiPriority w:val="0"/>
    <w:rPr>
      <w:kern w:val="2"/>
      <w:sz w:val="16"/>
      <w:szCs w:val="16"/>
    </w:rPr>
  </w:style>
  <w:style w:type="character" w:customStyle="1" w:styleId="149">
    <w:name w:val="正文文本缩进 3 Char1"/>
    <w:basedOn w:val="49"/>
    <w:link w:val="36"/>
    <w:autoRedefine/>
    <w:qFormat/>
    <w:uiPriority w:val="0"/>
    <w:rPr>
      <w:kern w:val="2"/>
      <w:sz w:val="16"/>
      <w:szCs w:val="16"/>
    </w:rPr>
  </w:style>
  <w:style w:type="paragraph" w:customStyle="1" w:styleId="150">
    <w:name w:val="1"/>
    <w:basedOn w:val="1"/>
    <w:autoRedefine/>
    <w:qFormat/>
    <w:uiPriority w:val="0"/>
    <w:pPr>
      <w:spacing w:line="360" w:lineRule="auto"/>
      <w:ind w:firstLine="200" w:firstLineChars="200"/>
    </w:pPr>
    <w:rPr>
      <w:rFonts w:ascii="宋体" w:hAnsi="宋体" w:cs="宋体"/>
      <w:sz w:val="24"/>
    </w:rPr>
  </w:style>
  <w:style w:type="character" w:customStyle="1" w:styleId="151">
    <w:name w:val="内容 Char"/>
    <w:link w:val="152"/>
    <w:autoRedefine/>
    <w:qFormat/>
    <w:uiPriority w:val="0"/>
    <w:rPr>
      <w:rFonts w:ascii="Arial" w:hAnsi="Arial" w:eastAsia="Arial Narrow" w:cs="宋体"/>
      <w:spacing w:val="14"/>
      <w:kern w:val="2"/>
      <w:sz w:val="24"/>
      <w:szCs w:val="24"/>
    </w:rPr>
  </w:style>
  <w:style w:type="paragraph" w:customStyle="1" w:styleId="152">
    <w:name w:val="内容"/>
    <w:basedOn w:val="1"/>
    <w:link w:val="151"/>
    <w:autoRedefine/>
    <w:qFormat/>
    <w:uiPriority w:val="0"/>
    <w:pPr>
      <w:spacing w:line="500" w:lineRule="exact"/>
      <w:ind w:firstLine="200" w:firstLineChars="200"/>
    </w:pPr>
    <w:rPr>
      <w:rFonts w:ascii="Arial" w:hAnsi="Arial" w:eastAsia="Arial Narrow"/>
      <w:spacing w:val="14"/>
      <w:sz w:val="24"/>
    </w:rPr>
  </w:style>
  <w:style w:type="paragraph" w:customStyle="1" w:styleId="153">
    <w:name w:val="表头"/>
    <w:basedOn w:val="1"/>
    <w:next w:val="1"/>
    <w:link w:val="154"/>
    <w:autoRedefine/>
    <w:qFormat/>
    <w:uiPriority w:val="0"/>
    <w:pPr>
      <w:autoSpaceDE w:val="0"/>
      <w:autoSpaceDN w:val="0"/>
      <w:adjustRightInd w:val="0"/>
      <w:snapToGrid w:val="0"/>
      <w:spacing w:before="40" w:after="40" w:line="480" w:lineRule="exact"/>
      <w:jc w:val="center"/>
    </w:pPr>
    <w:rPr>
      <w:b/>
      <w:color w:val="000000"/>
      <w:kern w:val="32"/>
      <w:sz w:val="28"/>
      <w:szCs w:val="20"/>
    </w:rPr>
  </w:style>
  <w:style w:type="character" w:customStyle="1" w:styleId="154">
    <w:name w:val="表头 Char"/>
    <w:basedOn w:val="49"/>
    <w:link w:val="153"/>
    <w:autoRedefine/>
    <w:qFormat/>
    <w:uiPriority w:val="0"/>
    <w:rPr>
      <w:b/>
      <w:color w:val="000000"/>
      <w:kern w:val="32"/>
      <w:sz w:val="28"/>
    </w:rPr>
  </w:style>
  <w:style w:type="paragraph" w:customStyle="1" w:styleId="155">
    <w:name w:val="正文28磅"/>
    <w:link w:val="156"/>
    <w:autoRedefine/>
    <w:qFormat/>
    <w:uiPriority w:val="0"/>
    <w:pPr>
      <w:widowControl w:val="0"/>
      <w:overflowPunct w:val="0"/>
      <w:spacing w:line="360" w:lineRule="auto"/>
      <w:ind w:firstLine="480" w:firstLineChars="200"/>
      <w:jc w:val="both"/>
    </w:pPr>
    <w:rPr>
      <w:rFonts w:ascii="Times New Roman" w:hAnsi="Times New Roman" w:eastAsia="宋体" w:cs="Times New Roman"/>
      <w:sz w:val="24"/>
      <w:szCs w:val="24"/>
      <w:u w:color="000000"/>
      <w:lang w:val="en-GB" w:eastAsia="zh-CN" w:bidi="ar-SA"/>
    </w:rPr>
  </w:style>
  <w:style w:type="character" w:customStyle="1" w:styleId="156">
    <w:name w:val="正文28磅 Char"/>
    <w:basedOn w:val="49"/>
    <w:link w:val="155"/>
    <w:autoRedefine/>
    <w:qFormat/>
    <w:uiPriority w:val="0"/>
    <w:rPr>
      <w:sz w:val="24"/>
      <w:szCs w:val="24"/>
      <w:u w:color="000000"/>
      <w:lang w:val="en-GB" w:eastAsia="zh-CN" w:bidi="ar-SA"/>
    </w:rPr>
  </w:style>
  <w:style w:type="paragraph" w:customStyle="1" w:styleId="157">
    <w:name w:val="p16"/>
    <w:basedOn w:val="1"/>
    <w:autoRedefine/>
    <w:qFormat/>
    <w:uiPriority w:val="0"/>
    <w:pPr>
      <w:widowControl/>
      <w:spacing w:line="540" w:lineRule="atLeast"/>
      <w:ind w:firstLine="540"/>
    </w:pPr>
    <w:rPr>
      <w:rFonts w:ascii="宋体" w:hAnsi="宋体" w:cs="宋体"/>
      <w:kern w:val="0"/>
      <w:sz w:val="28"/>
      <w:szCs w:val="28"/>
    </w:rPr>
  </w:style>
  <w:style w:type="paragraph" w:customStyle="1" w:styleId="158">
    <w:name w:val="li表格"/>
    <w:basedOn w:val="1"/>
    <w:next w:val="1"/>
    <w:autoRedefine/>
    <w:qFormat/>
    <w:uiPriority w:val="0"/>
    <w:pPr>
      <w:spacing w:line="360" w:lineRule="exact"/>
      <w:jc w:val="center"/>
    </w:pPr>
    <w:rPr>
      <w:b/>
      <w:spacing w:val="4"/>
      <w:sz w:val="24"/>
      <w:szCs w:val="21"/>
    </w:rPr>
  </w:style>
  <w:style w:type="character" w:customStyle="1" w:styleId="159">
    <w:name w:val="3zw1"/>
    <w:basedOn w:val="49"/>
    <w:autoRedefine/>
    <w:qFormat/>
    <w:uiPriority w:val="0"/>
    <w:rPr>
      <w:color w:val="000000"/>
      <w:sz w:val="21"/>
      <w:szCs w:val="21"/>
    </w:rPr>
  </w:style>
  <w:style w:type="paragraph" w:customStyle="1" w:styleId="160">
    <w:name w:val="新表"/>
    <w:basedOn w:val="1"/>
    <w:autoRedefine/>
    <w:qFormat/>
    <w:uiPriority w:val="0"/>
    <w:pPr>
      <w:adjustRightInd w:val="0"/>
      <w:spacing w:before="60" w:line="336" w:lineRule="auto"/>
      <w:ind w:firstLine="505"/>
      <w:textAlignment w:val="baseline"/>
    </w:pPr>
    <w:rPr>
      <w:rFonts w:ascii="宋体"/>
      <w:kern w:val="0"/>
      <w:sz w:val="24"/>
      <w:szCs w:val="20"/>
    </w:rPr>
  </w:style>
  <w:style w:type="paragraph" w:customStyle="1" w:styleId="161">
    <w:name w:val="样式2"/>
    <w:basedOn w:val="1"/>
    <w:autoRedefine/>
    <w:qFormat/>
    <w:uiPriority w:val="99"/>
    <w:pPr>
      <w:spacing w:line="460" w:lineRule="exact"/>
    </w:pPr>
    <w:rPr>
      <w:sz w:val="24"/>
      <w:szCs w:val="20"/>
    </w:rPr>
  </w:style>
  <w:style w:type="paragraph" w:customStyle="1" w:styleId="162">
    <w:name w:val="裴正文"/>
    <w:autoRedefine/>
    <w:qFormat/>
    <w:uiPriority w:val="0"/>
    <w:pPr>
      <w:adjustRightInd w:val="0"/>
      <w:snapToGrid w:val="0"/>
      <w:spacing w:line="500" w:lineRule="exact"/>
      <w:ind w:firstLine="200" w:firstLineChars="200"/>
    </w:pPr>
    <w:rPr>
      <w:rFonts w:ascii="Times New Roman" w:hAnsi="Times New Roman" w:eastAsia="宋体" w:cs="Times New Roman"/>
      <w:bCs/>
      <w:snapToGrid w:val="0"/>
      <w:sz w:val="24"/>
      <w:lang w:val="en-US" w:eastAsia="zh-CN" w:bidi="ar-SA"/>
    </w:rPr>
  </w:style>
  <w:style w:type="paragraph" w:customStyle="1" w:styleId="163">
    <w:name w:val="Char Char Char Char Char Char Char Char Char Char"/>
    <w:basedOn w:val="1"/>
    <w:autoRedefine/>
    <w:qFormat/>
    <w:uiPriority w:val="0"/>
    <w:pPr>
      <w:spacing w:line="360" w:lineRule="auto"/>
      <w:ind w:firstLine="200" w:firstLineChars="200"/>
    </w:pPr>
    <w:rPr>
      <w:rFonts w:ascii="宋体" w:hAnsi="宋体" w:cs="宋体"/>
      <w:sz w:val="24"/>
    </w:rPr>
  </w:style>
  <w:style w:type="paragraph" w:customStyle="1" w:styleId="164">
    <w:name w:val="表格文字样式"/>
    <w:basedOn w:val="1"/>
    <w:autoRedefine/>
    <w:qFormat/>
    <w:uiPriority w:val="0"/>
    <w:pPr>
      <w:tabs>
        <w:tab w:val="left" w:pos="567"/>
      </w:tabs>
      <w:jc w:val="center"/>
    </w:pPr>
    <w:rPr>
      <w:rFonts w:eastAsia="华文中宋"/>
      <w:spacing w:val="20"/>
      <w:sz w:val="24"/>
      <w:szCs w:val="20"/>
    </w:rPr>
  </w:style>
  <w:style w:type="paragraph" w:customStyle="1" w:styleId="165">
    <w:name w:val="中文报告书样式"/>
    <w:basedOn w:val="1"/>
    <w:autoRedefine/>
    <w:qFormat/>
    <w:uiPriority w:val="0"/>
    <w:pPr>
      <w:adjustRightInd w:val="0"/>
      <w:spacing w:line="480" w:lineRule="atLeast"/>
      <w:ind w:firstLine="482"/>
      <w:textAlignment w:val="baseline"/>
    </w:pPr>
    <w:rPr>
      <w:kern w:val="24"/>
      <w:sz w:val="24"/>
      <w:szCs w:val="20"/>
    </w:rPr>
  </w:style>
  <w:style w:type="paragraph" w:customStyle="1" w:styleId="166">
    <w:name w:val="报告书表格"/>
    <w:basedOn w:val="1"/>
    <w:autoRedefine/>
    <w:qFormat/>
    <w:uiPriority w:val="0"/>
    <w:pPr>
      <w:adjustRightInd w:val="0"/>
      <w:spacing w:before="60" w:after="60" w:line="240" w:lineRule="atLeast"/>
      <w:jc w:val="center"/>
      <w:textAlignment w:val="baseline"/>
    </w:pPr>
    <w:rPr>
      <w:kern w:val="0"/>
      <w:szCs w:val="20"/>
    </w:rPr>
  </w:style>
  <w:style w:type="paragraph" w:customStyle="1" w:styleId="167">
    <w:name w:val="中文报告书"/>
    <w:basedOn w:val="1"/>
    <w:autoRedefine/>
    <w:qFormat/>
    <w:uiPriority w:val="0"/>
    <w:pPr>
      <w:adjustRightInd w:val="0"/>
      <w:spacing w:after="80" w:line="420" w:lineRule="atLeast"/>
      <w:jc w:val="left"/>
      <w:textAlignment w:val="baseline"/>
    </w:pPr>
    <w:rPr>
      <w:kern w:val="0"/>
      <w:sz w:val="24"/>
      <w:szCs w:val="20"/>
    </w:rPr>
  </w:style>
  <w:style w:type="paragraph" w:customStyle="1" w:styleId="168">
    <w:name w:val="In Table"/>
    <w:basedOn w:val="1"/>
    <w:autoRedefine/>
    <w:qFormat/>
    <w:uiPriority w:val="0"/>
    <w:pPr>
      <w:tabs>
        <w:tab w:val="left" w:pos="2200"/>
        <w:tab w:val="left" w:pos="3960"/>
        <w:tab w:val="left" w:pos="5280"/>
      </w:tabs>
      <w:spacing w:before="96" w:after="96" w:line="0" w:lineRule="atLeast"/>
      <w:jc w:val="center"/>
    </w:pPr>
    <w:rPr>
      <w:rFonts w:ascii="Tahoma" w:hAnsi="Tahoma" w:eastAsia="华文中宋"/>
      <w:szCs w:val="20"/>
    </w:rPr>
  </w:style>
  <w:style w:type="paragraph" w:customStyle="1" w:styleId="169">
    <w:name w:val="样式 (中文) 仿宋_GB2312"/>
    <w:basedOn w:val="1"/>
    <w:autoRedefine/>
    <w:qFormat/>
    <w:uiPriority w:val="0"/>
    <w:pPr>
      <w:ind w:left="-50" w:leftChars="-24" w:firstLine="420" w:firstLineChars="200"/>
    </w:pPr>
    <w:rPr>
      <w:rFonts w:eastAsia="仿宋_GB2312" w:cs="宋体"/>
      <w:sz w:val="28"/>
      <w:szCs w:val="20"/>
    </w:rPr>
  </w:style>
  <w:style w:type="paragraph" w:customStyle="1" w:styleId="170">
    <w:name w:val="样式 标题 1 + (中文) 楷体_GB2312 三号 段前: 0 磅 段后: 0 磅 行距: 单倍行距"/>
    <w:basedOn w:val="2"/>
    <w:autoRedefine/>
    <w:qFormat/>
    <w:uiPriority w:val="0"/>
    <w:pPr>
      <w:keepLines/>
      <w:overflowPunct/>
      <w:snapToGrid/>
      <w:spacing w:before="0" w:beforeAutospacing="1" w:after="100" w:afterAutospacing="1" w:line="240" w:lineRule="auto"/>
      <w:ind w:left="0" w:firstLine="0"/>
    </w:pPr>
    <w:rPr>
      <w:rFonts w:ascii="宋体" w:hAnsi="宋体" w:eastAsia="楷体_GB2312" w:cs="宋体"/>
      <w:snapToGrid w:val="0"/>
      <w:color w:val="auto"/>
      <w:sz w:val="32"/>
      <w:szCs w:val="20"/>
    </w:rPr>
  </w:style>
  <w:style w:type="paragraph" w:customStyle="1" w:styleId="171">
    <w:name w:val="表第一列"/>
    <w:basedOn w:val="45"/>
    <w:autoRedefine/>
    <w:qFormat/>
    <w:uiPriority w:val="0"/>
    <w:pPr>
      <w:keepNext/>
      <w:keepLines/>
      <w:tabs>
        <w:tab w:val="left" w:pos="1727"/>
        <w:tab w:val="left" w:pos="1884"/>
        <w:tab w:val="left" w:pos="2940"/>
      </w:tabs>
      <w:adjustRightInd w:val="0"/>
      <w:snapToGrid w:val="0"/>
      <w:spacing w:after="0" w:line="0" w:lineRule="atLeast"/>
      <w:ind w:firstLine="0" w:firstLineChars="0"/>
      <w:jc w:val="center"/>
    </w:pPr>
    <w:rPr>
      <w:rFonts w:ascii="宋体" w:hAnsi="宋体"/>
      <w:color w:val="000000"/>
      <w:spacing w:val="-4"/>
    </w:rPr>
  </w:style>
  <w:style w:type="paragraph" w:customStyle="1" w:styleId="172">
    <w:name w:val="Char Char Char Char Char Char Char Char Char Char Char Char Char Char Char Char Char Char Char Char Char Char"/>
    <w:basedOn w:val="1"/>
    <w:autoRedefine/>
    <w:qFormat/>
    <w:uiPriority w:val="0"/>
    <w:pPr>
      <w:spacing w:line="480" w:lineRule="exact"/>
    </w:pPr>
  </w:style>
  <w:style w:type="paragraph" w:customStyle="1" w:styleId="173">
    <w:name w:val="li 2"/>
    <w:basedOn w:val="2"/>
    <w:next w:val="2"/>
    <w:link w:val="174"/>
    <w:autoRedefine/>
    <w:qFormat/>
    <w:uiPriority w:val="0"/>
    <w:pPr>
      <w:keepLines/>
      <w:overflowPunct/>
      <w:snapToGrid/>
      <w:spacing w:before="0" w:after="60" w:line="240" w:lineRule="auto"/>
      <w:ind w:left="0" w:firstLine="0"/>
      <w:outlineLvl w:val="1"/>
    </w:pPr>
    <w:rPr>
      <w:rFonts w:ascii="宋体" w:hAnsi="宋体"/>
      <w:snapToGrid w:val="0"/>
      <w:color w:val="auto"/>
    </w:rPr>
  </w:style>
  <w:style w:type="character" w:customStyle="1" w:styleId="174">
    <w:name w:val="li 2 Char"/>
    <w:link w:val="173"/>
    <w:autoRedefine/>
    <w:qFormat/>
    <w:locked/>
    <w:uiPriority w:val="0"/>
    <w:rPr>
      <w:rFonts w:ascii="宋体" w:hAnsi="宋体" w:eastAsia="黑体"/>
      <w:b/>
      <w:bCs/>
      <w:snapToGrid w:val="0"/>
      <w:kern w:val="44"/>
      <w:sz w:val="30"/>
      <w:szCs w:val="30"/>
    </w:rPr>
  </w:style>
  <w:style w:type="paragraph" w:customStyle="1" w:styleId="175">
    <w:name w:val="表格样式1"/>
    <w:basedOn w:val="1"/>
    <w:link w:val="176"/>
    <w:autoRedefine/>
    <w:qFormat/>
    <w:uiPriority w:val="0"/>
    <w:pPr>
      <w:adjustRightInd w:val="0"/>
      <w:spacing w:line="20" w:lineRule="atLeast"/>
      <w:ind w:firstLine="480" w:firstLineChars="200"/>
      <w:jc w:val="center"/>
      <w:textAlignment w:val="baseline"/>
    </w:pPr>
    <w:rPr>
      <w:rFonts w:ascii="宋体" w:hAnsi="宋体"/>
      <w:color w:val="000000"/>
      <w:kern w:val="0"/>
      <w:szCs w:val="20"/>
    </w:rPr>
  </w:style>
  <w:style w:type="character" w:customStyle="1" w:styleId="176">
    <w:name w:val="表格样式1 Char"/>
    <w:basedOn w:val="49"/>
    <w:link w:val="175"/>
    <w:autoRedefine/>
    <w:qFormat/>
    <w:locked/>
    <w:uiPriority w:val="0"/>
    <w:rPr>
      <w:rFonts w:ascii="宋体" w:hAnsi="宋体"/>
      <w:color w:val="000000"/>
      <w:sz w:val="21"/>
    </w:rPr>
  </w:style>
  <w:style w:type="paragraph" w:customStyle="1" w:styleId="177">
    <w:name w:val="Char Char Char Char Char Char Char Char Char Char Char Char Char Char Char Char Char Char1 Char Char Char Char Char Char Char Char Char Char Char Char Char Char Char Char"/>
    <w:basedOn w:val="1"/>
    <w:next w:val="1"/>
    <w:autoRedefine/>
    <w:qFormat/>
    <w:uiPriority w:val="0"/>
    <w:pPr>
      <w:spacing w:line="360" w:lineRule="auto"/>
      <w:ind w:firstLine="200" w:firstLineChars="200"/>
    </w:pPr>
    <w:rPr>
      <w:rFonts w:ascii="宋体" w:hAnsi="宋体" w:cs="宋体"/>
      <w:snapToGrid w:val="0"/>
      <w:kern w:val="0"/>
      <w:sz w:val="24"/>
    </w:rPr>
  </w:style>
  <w:style w:type="paragraph" w:customStyle="1" w:styleId="178">
    <w:name w:val="2 Char Char Char Char"/>
    <w:basedOn w:val="1"/>
    <w:autoRedefine/>
    <w:qFormat/>
    <w:uiPriority w:val="0"/>
    <w:pPr>
      <w:snapToGrid w:val="0"/>
      <w:spacing w:line="360" w:lineRule="auto"/>
      <w:ind w:firstLine="529" w:firstLineChars="200"/>
    </w:pPr>
    <w:rPr>
      <w:rFonts w:ascii="宋体" w:hAnsi="宋体"/>
      <w:b/>
      <w:sz w:val="24"/>
    </w:rPr>
  </w:style>
  <w:style w:type="paragraph" w:customStyle="1" w:styleId="179">
    <w:name w:val="正文1 Char Char Char"/>
    <w:basedOn w:val="1"/>
    <w:link w:val="180"/>
    <w:autoRedefine/>
    <w:qFormat/>
    <w:uiPriority w:val="0"/>
    <w:pPr>
      <w:widowControl/>
      <w:tabs>
        <w:tab w:val="left" w:pos="4660"/>
      </w:tabs>
      <w:spacing w:line="480" w:lineRule="exact"/>
      <w:ind w:firstLine="482" w:firstLineChars="200"/>
    </w:pPr>
    <w:rPr>
      <w:b/>
      <w:sz w:val="24"/>
    </w:rPr>
  </w:style>
  <w:style w:type="character" w:customStyle="1" w:styleId="180">
    <w:name w:val="正文1 Char Char Char Char"/>
    <w:basedOn w:val="49"/>
    <w:link w:val="179"/>
    <w:autoRedefine/>
    <w:qFormat/>
    <w:uiPriority w:val="0"/>
    <w:rPr>
      <w:b/>
      <w:kern w:val="2"/>
      <w:sz w:val="24"/>
      <w:szCs w:val="24"/>
    </w:rPr>
  </w:style>
  <w:style w:type="paragraph" w:customStyle="1" w:styleId="181">
    <w:name w:val="表格新唐"/>
    <w:basedOn w:val="1"/>
    <w:autoRedefine/>
    <w:qFormat/>
    <w:uiPriority w:val="0"/>
    <w:pPr>
      <w:spacing w:line="320" w:lineRule="exact"/>
      <w:jc w:val="center"/>
    </w:pPr>
    <w:rPr>
      <w:color w:val="0000FF"/>
      <w:sz w:val="24"/>
      <w:szCs w:val="21"/>
    </w:rPr>
  </w:style>
  <w:style w:type="paragraph" w:customStyle="1" w:styleId="182">
    <w:name w:val="2"/>
    <w:basedOn w:val="1"/>
    <w:next w:val="19"/>
    <w:autoRedefine/>
    <w:qFormat/>
    <w:uiPriority w:val="0"/>
    <w:pPr>
      <w:spacing w:line="440" w:lineRule="exact"/>
      <w:ind w:firstLine="574"/>
    </w:pPr>
    <w:rPr>
      <w:sz w:val="28"/>
      <w:szCs w:val="20"/>
    </w:rPr>
  </w:style>
  <w:style w:type="character" w:customStyle="1" w:styleId="183">
    <w:name w:val="font21"/>
    <w:basedOn w:val="49"/>
    <w:autoRedefine/>
    <w:qFormat/>
    <w:uiPriority w:val="0"/>
    <w:rPr>
      <w:color w:val="000000"/>
      <w:sz w:val="21"/>
      <w:szCs w:val="21"/>
      <w:u w:val="none"/>
    </w:rPr>
  </w:style>
  <w:style w:type="paragraph" w:customStyle="1" w:styleId="184">
    <w:name w:val="表格1"/>
    <w:basedOn w:val="1"/>
    <w:autoRedefine/>
    <w:qFormat/>
    <w:uiPriority w:val="0"/>
    <w:pPr>
      <w:adjustRightInd w:val="0"/>
      <w:spacing w:line="312" w:lineRule="auto"/>
      <w:jc w:val="left"/>
      <w:textAlignment w:val="baseline"/>
    </w:pPr>
    <w:rPr>
      <w:rFonts w:ascii="宋体"/>
      <w:kern w:val="0"/>
      <w:sz w:val="24"/>
      <w:szCs w:val="20"/>
    </w:rPr>
  </w:style>
  <w:style w:type="paragraph" w:customStyle="1" w:styleId="185">
    <w:name w:val="表中正文居中"/>
    <w:autoRedefine/>
    <w:qFormat/>
    <w:uiPriority w:val="0"/>
    <w:pPr>
      <w:spacing w:before="120" w:after="120" w:line="240" w:lineRule="atLeast"/>
      <w:jc w:val="center"/>
    </w:pPr>
    <w:rPr>
      <w:rFonts w:ascii="宋体" w:hAnsi="Times New Roman" w:eastAsia="宋体" w:cs="Times New Roman"/>
      <w:kern w:val="2"/>
      <w:sz w:val="21"/>
      <w:lang w:val="en-US" w:eastAsia="zh-CN" w:bidi="ar-SA"/>
    </w:rPr>
  </w:style>
  <w:style w:type="paragraph" w:customStyle="1" w:styleId="186">
    <w:name w:val="Char31"/>
    <w:basedOn w:val="1"/>
    <w:next w:val="1"/>
    <w:autoRedefine/>
    <w:qFormat/>
    <w:uiPriority w:val="0"/>
    <w:pPr>
      <w:spacing w:line="360" w:lineRule="auto"/>
      <w:ind w:firstLine="200" w:firstLineChars="200"/>
    </w:pPr>
    <w:rPr>
      <w:rFonts w:ascii="宋体" w:hAnsi="宋体" w:cs="宋体"/>
      <w:sz w:val="24"/>
    </w:rPr>
  </w:style>
  <w:style w:type="paragraph" w:customStyle="1" w:styleId="187">
    <w:name w:val="山焦报告正文"/>
    <w:basedOn w:val="1"/>
    <w:autoRedefine/>
    <w:qFormat/>
    <w:uiPriority w:val="0"/>
    <w:pPr>
      <w:adjustRightInd w:val="0"/>
      <w:snapToGrid w:val="0"/>
      <w:spacing w:beforeLines="25" w:line="440" w:lineRule="exact"/>
      <w:ind w:firstLine="200" w:firstLineChars="200"/>
    </w:pPr>
    <w:rPr>
      <w:color w:val="000000"/>
      <w:sz w:val="24"/>
    </w:rPr>
  </w:style>
  <w:style w:type="paragraph" w:customStyle="1" w:styleId="188">
    <w:name w:val="li 1"/>
    <w:basedOn w:val="2"/>
    <w:next w:val="2"/>
    <w:autoRedefine/>
    <w:qFormat/>
    <w:uiPriority w:val="0"/>
    <w:pPr>
      <w:keepLines/>
      <w:overflowPunct/>
      <w:snapToGrid/>
      <w:spacing w:before="0" w:after="120" w:line="240" w:lineRule="auto"/>
      <w:ind w:left="0" w:firstLine="0"/>
      <w:jc w:val="center"/>
    </w:pPr>
    <w:rPr>
      <w:rFonts w:eastAsia="隶书"/>
      <w:bCs w:val="0"/>
      <w:color w:val="auto"/>
      <w:sz w:val="44"/>
    </w:rPr>
  </w:style>
  <w:style w:type="paragraph" w:customStyle="1" w:styleId="189">
    <w:name w:val="默认段落字体 Para Char"/>
    <w:basedOn w:val="1"/>
    <w:next w:val="1"/>
    <w:autoRedefine/>
    <w:qFormat/>
    <w:uiPriority w:val="0"/>
    <w:pPr>
      <w:spacing w:line="360" w:lineRule="auto"/>
      <w:ind w:firstLine="200" w:firstLineChars="200"/>
    </w:pPr>
    <w:rPr>
      <w:sz w:val="28"/>
      <w:szCs w:val="20"/>
    </w:rPr>
  </w:style>
  <w:style w:type="paragraph" w:customStyle="1" w:styleId="190">
    <w:name w:val="表内容"/>
    <w:basedOn w:val="179"/>
    <w:link w:val="191"/>
    <w:autoRedefine/>
    <w:qFormat/>
    <w:uiPriority w:val="0"/>
    <w:pPr>
      <w:adjustRightInd w:val="0"/>
      <w:snapToGrid w:val="0"/>
      <w:spacing w:line="240" w:lineRule="atLeast"/>
      <w:ind w:left="-105" w:leftChars="-56" w:right="-107" w:rightChars="-51" w:hanging="13" w:hangingChars="6"/>
      <w:jc w:val="center"/>
    </w:pPr>
    <w:rPr>
      <w:b w:val="0"/>
      <w:bCs/>
      <w:kern w:val="0"/>
      <w:sz w:val="21"/>
      <w:szCs w:val="21"/>
    </w:rPr>
  </w:style>
  <w:style w:type="character" w:customStyle="1" w:styleId="191">
    <w:name w:val="表内容 Char"/>
    <w:link w:val="190"/>
    <w:autoRedefine/>
    <w:qFormat/>
    <w:locked/>
    <w:uiPriority w:val="0"/>
    <w:rPr>
      <w:bCs/>
      <w:sz w:val="21"/>
      <w:szCs w:val="21"/>
    </w:rPr>
  </w:style>
  <w:style w:type="paragraph" w:customStyle="1" w:styleId="192">
    <w:name w:val="表1.1-1 Char Char Char Char"/>
    <w:basedOn w:val="179"/>
    <w:autoRedefine/>
    <w:qFormat/>
    <w:uiPriority w:val="0"/>
    <w:pPr>
      <w:adjustRightInd w:val="0"/>
      <w:snapToGrid w:val="0"/>
      <w:spacing w:line="240" w:lineRule="auto"/>
      <w:ind w:firstLine="0" w:firstLineChars="0"/>
      <w:jc w:val="center"/>
    </w:pPr>
    <w:rPr>
      <w:rFonts w:ascii="宋体" w:hAnsi="宋体"/>
      <w:b w:val="0"/>
      <w:bCs/>
      <w:snapToGrid w:val="0"/>
      <w:kern w:val="0"/>
    </w:rPr>
  </w:style>
  <w:style w:type="paragraph" w:customStyle="1" w:styleId="193">
    <w:name w:val="表头 Char Char Char"/>
    <w:basedOn w:val="179"/>
    <w:link w:val="194"/>
    <w:autoRedefine/>
    <w:qFormat/>
    <w:uiPriority w:val="0"/>
    <w:pPr>
      <w:adjustRightInd w:val="0"/>
      <w:snapToGrid w:val="0"/>
      <w:spacing w:beforeLines="50" w:line="240" w:lineRule="auto"/>
      <w:ind w:firstLine="0" w:firstLineChars="0"/>
      <w:jc w:val="center"/>
    </w:pPr>
  </w:style>
  <w:style w:type="character" w:customStyle="1" w:styleId="194">
    <w:name w:val="表头 Char Char Char Char"/>
    <w:basedOn w:val="49"/>
    <w:link w:val="193"/>
    <w:autoRedefine/>
    <w:qFormat/>
    <w:uiPriority w:val="0"/>
    <w:rPr>
      <w:b/>
      <w:kern w:val="2"/>
      <w:sz w:val="24"/>
      <w:szCs w:val="24"/>
    </w:rPr>
  </w:style>
  <w:style w:type="paragraph" w:customStyle="1" w:styleId="195">
    <w:name w:val="Char Char Char Char Char Char Char Char Char Char Char Char Char Char Char Char"/>
    <w:basedOn w:val="1"/>
    <w:autoRedefine/>
    <w:qFormat/>
    <w:uiPriority w:val="0"/>
    <w:pPr>
      <w:spacing w:line="560" w:lineRule="exact"/>
      <w:ind w:firstLine="200" w:firstLineChars="200"/>
    </w:pPr>
    <w:rPr>
      <w:rFonts w:ascii="宋体" w:hAnsi="宋体" w:cs="宋体"/>
      <w:sz w:val="28"/>
      <w:szCs w:val="28"/>
    </w:rPr>
  </w:style>
  <w:style w:type="paragraph" w:styleId="196">
    <w:name w:val="List Paragraph"/>
    <w:basedOn w:val="1"/>
    <w:autoRedefine/>
    <w:qFormat/>
    <w:uiPriority w:val="0"/>
    <w:pPr>
      <w:widowControl/>
      <w:spacing w:line="480" w:lineRule="exact"/>
      <w:ind w:firstLine="420" w:firstLineChars="200"/>
      <w:jc w:val="left"/>
    </w:pPr>
    <w:rPr>
      <w:szCs w:val="20"/>
    </w:rPr>
  </w:style>
  <w:style w:type="paragraph" w:customStyle="1" w:styleId="197">
    <w:name w:val="Char4"/>
    <w:basedOn w:val="1"/>
    <w:autoRedefine/>
    <w:qFormat/>
    <w:uiPriority w:val="0"/>
    <w:pPr>
      <w:spacing w:line="360" w:lineRule="auto"/>
      <w:ind w:firstLine="200" w:firstLineChars="200"/>
    </w:pPr>
    <w:rPr>
      <w:rFonts w:ascii="宋体" w:hAnsi="宋体" w:cs="宋体"/>
      <w:sz w:val="24"/>
    </w:rPr>
  </w:style>
  <w:style w:type="character" w:customStyle="1" w:styleId="198">
    <w:name w:val="123 Char Char Char Char"/>
    <w:basedOn w:val="49"/>
    <w:autoRedefine/>
    <w:qFormat/>
    <w:uiPriority w:val="0"/>
    <w:rPr>
      <w:rFonts w:ascii="宋体" w:hAnsi="宋体" w:eastAsia="宋体" w:cs="宋体"/>
      <w:b/>
      <w:spacing w:val="20"/>
      <w:kern w:val="2"/>
      <w:sz w:val="28"/>
      <w:szCs w:val="28"/>
      <w:lang w:val="en-US" w:eastAsia="zh-CN" w:bidi="ar-SA"/>
    </w:rPr>
  </w:style>
  <w:style w:type="paragraph" w:customStyle="1" w:styleId="199">
    <w:name w:val="正文样式2"/>
    <w:basedOn w:val="1"/>
    <w:autoRedefine/>
    <w:qFormat/>
    <w:uiPriority w:val="0"/>
    <w:pPr>
      <w:spacing w:line="560" w:lineRule="exact"/>
      <w:ind w:firstLine="601"/>
    </w:pPr>
    <w:rPr>
      <w:sz w:val="28"/>
      <w:szCs w:val="20"/>
    </w:rPr>
  </w:style>
  <w:style w:type="paragraph" w:customStyle="1" w:styleId="200">
    <w:name w:val="123 Char Char Char Char Char"/>
    <w:basedOn w:val="1"/>
    <w:autoRedefine/>
    <w:qFormat/>
    <w:uiPriority w:val="0"/>
    <w:pPr>
      <w:widowControl/>
      <w:autoSpaceDE w:val="0"/>
      <w:autoSpaceDN w:val="0"/>
      <w:spacing w:line="360" w:lineRule="auto"/>
      <w:ind w:firstLine="200" w:firstLineChars="200"/>
      <w:jc w:val="left"/>
      <w:textAlignment w:val="bottom"/>
    </w:pPr>
    <w:rPr>
      <w:rFonts w:ascii="宋体" w:hAnsi="宋体" w:cs="宋体"/>
      <w:b/>
      <w:spacing w:val="20"/>
      <w:sz w:val="28"/>
      <w:szCs w:val="28"/>
    </w:rPr>
  </w:style>
  <w:style w:type="paragraph" w:customStyle="1" w:styleId="201">
    <w:name w:val="xl28"/>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Arial Unicode MS" w:cs="Arial Unicode MS"/>
      <w:b/>
      <w:bCs/>
      <w:kern w:val="0"/>
      <w:szCs w:val="21"/>
    </w:rPr>
  </w:style>
  <w:style w:type="paragraph" w:customStyle="1" w:styleId="202">
    <w:name w:val="3级标题"/>
    <w:next w:val="1"/>
    <w:link w:val="203"/>
    <w:autoRedefine/>
    <w:qFormat/>
    <w:uiPriority w:val="0"/>
    <w:pPr>
      <w:spacing w:before="120" w:after="60"/>
      <w:ind w:firstLine="200" w:firstLineChars="200"/>
      <w:outlineLvl w:val="2"/>
    </w:pPr>
    <w:rPr>
      <w:rFonts w:ascii="Arial" w:hAnsi="Arial" w:eastAsia="黑体" w:cs="Times New Roman"/>
      <w:kern w:val="2"/>
      <w:sz w:val="24"/>
      <w:szCs w:val="24"/>
      <w:lang w:val="en-US" w:eastAsia="zh-CN" w:bidi="ar-SA"/>
    </w:rPr>
  </w:style>
  <w:style w:type="character" w:customStyle="1" w:styleId="203">
    <w:name w:val="3级标题 Char"/>
    <w:basedOn w:val="49"/>
    <w:link w:val="202"/>
    <w:autoRedefine/>
    <w:qFormat/>
    <w:uiPriority w:val="0"/>
    <w:rPr>
      <w:rFonts w:ascii="Arial" w:hAnsi="Arial" w:eastAsia="黑体"/>
      <w:kern w:val="2"/>
      <w:sz w:val="24"/>
      <w:szCs w:val="24"/>
      <w:lang w:val="en-US" w:eastAsia="zh-CN" w:bidi="ar-SA"/>
    </w:rPr>
  </w:style>
  <w:style w:type="paragraph" w:customStyle="1" w:styleId="204">
    <w:name w:val="Char21"/>
    <w:basedOn w:val="1"/>
    <w:autoRedefine/>
    <w:qFormat/>
    <w:uiPriority w:val="0"/>
    <w:pPr>
      <w:spacing w:line="360" w:lineRule="auto"/>
      <w:ind w:firstLine="200" w:firstLineChars="200"/>
    </w:pPr>
  </w:style>
  <w:style w:type="paragraph" w:customStyle="1" w:styleId="205">
    <w:name w:val="正文段落"/>
    <w:basedOn w:val="1"/>
    <w:autoRedefine/>
    <w:qFormat/>
    <w:uiPriority w:val="0"/>
    <w:pPr>
      <w:topLinePunct/>
      <w:autoSpaceDN w:val="0"/>
      <w:adjustRightInd w:val="0"/>
      <w:spacing w:line="500" w:lineRule="exact"/>
      <w:ind w:firstLine="480" w:firstLineChars="200"/>
      <w:jc w:val="center"/>
      <w:textAlignment w:val="baseline"/>
    </w:pPr>
    <w:rPr>
      <w:rFonts w:ascii="宋体" w:hAnsi="Arial"/>
      <w:kern w:val="0"/>
      <w:sz w:val="24"/>
    </w:rPr>
  </w:style>
  <w:style w:type="paragraph" w:customStyle="1" w:styleId="206">
    <w:name w:val="样式 小四 加粗 行距: 固定值 22 磅"/>
    <w:basedOn w:val="1"/>
    <w:autoRedefine/>
    <w:qFormat/>
    <w:uiPriority w:val="0"/>
    <w:pPr>
      <w:spacing w:line="480" w:lineRule="exact"/>
      <w:ind w:firstLine="200" w:firstLineChars="200"/>
    </w:pPr>
    <w:rPr>
      <w:rFonts w:cs="宋体"/>
      <w:bCs/>
      <w:spacing w:val="4"/>
      <w:sz w:val="24"/>
      <w:szCs w:val="20"/>
    </w:rPr>
  </w:style>
  <w:style w:type="paragraph" w:customStyle="1" w:styleId="207">
    <w:name w:val="样式 正文文本缩进正文文字缩进 + 首行缩进:  0.85 厘米 段后: 0 磅 行距: 固定值 22 磅"/>
    <w:basedOn w:val="19"/>
    <w:autoRedefine/>
    <w:qFormat/>
    <w:uiPriority w:val="0"/>
    <w:pPr>
      <w:spacing w:after="0" w:line="480" w:lineRule="exact"/>
      <w:ind w:left="0" w:leftChars="0" w:firstLine="200" w:firstLineChars="200"/>
    </w:pPr>
    <w:rPr>
      <w:rFonts w:cs="宋体"/>
      <w:kern w:val="2"/>
    </w:rPr>
  </w:style>
  <w:style w:type="character" w:customStyle="1" w:styleId="208">
    <w:name w:val="Char Char9"/>
    <w:autoRedefine/>
    <w:qFormat/>
    <w:uiPriority w:val="0"/>
    <w:rPr>
      <w:rFonts w:eastAsia="宋体"/>
      <w:kern w:val="2"/>
      <w:sz w:val="18"/>
      <w:szCs w:val="18"/>
      <w:lang w:val="en-US" w:eastAsia="zh-CN" w:bidi="ar-SA"/>
    </w:rPr>
  </w:style>
  <w:style w:type="character" w:customStyle="1" w:styleId="209">
    <w:name w:val="样式首行缩进:2 字符 Char"/>
    <w:link w:val="210"/>
    <w:autoRedefine/>
    <w:qFormat/>
    <w:locked/>
    <w:uiPriority w:val="0"/>
    <w:rPr>
      <w:kern w:val="2"/>
      <w:sz w:val="24"/>
    </w:rPr>
  </w:style>
  <w:style w:type="paragraph" w:customStyle="1" w:styleId="210">
    <w:name w:val="样式首行缩进:2 字符"/>
    <w:basedOn w:val="1"/>
    <w:link w:val="209"/>
    <w:autoRedefine/>
    <w:qFormat/>
    <w:uiPriority w:val="0"/>
    <w:pPr>
      <w:spacing w:line="560" w:lineRule="exact"/>
      <w:ind w:firstLine="480" w:firstLineChars="200"/>
    </w:pPr>
    <w:rPr>
      <w:sz w:val="24"/>
      <w:szCs w:val="20"/>
    </w:rPr>
  </w:style>
  <w:style w:type="paragraph" w:customStyle="1" w:styleId="211">
    <w:name w:val="11"/>
    <w:basedOn w:val="1"/>
    <w:autoRedefine/>
    <w:qFormat/>
    <w:uiPriority w:val="0"/>
    <w:pPr>
      <w:spacing w:line="500" w:lineRule="exact"/>
      <w:ind w:firstLine="705"/>
    </w:pPr>
    <w:rPr>
      <w:rFonts w:ascii="楷体_GB2312" w:hAnsi="宋体" w:eastAsia="楷体_GB2312"/>
      <w:b/>
      <w:bCs/>
      <w:sz w:val="28"/>
    </w:rPr>
  </w:style>
  <w:style w:type="paragraph" w:customStyle="1" w:styleId="212">
    <w:name w:val="样式 行距: 固定值 22 磅"/>
    <w:basedOn w:val="1"/>
    <w:autoRedefine/>
    <w:qFormat/>
    <w:uiPriority w:val="0"/>
    <w:pPr>
      <w:spacing w:line="480" w:lineRule="exact"/>
      <w:ind w:firstLine="200" w:firstLineChars="200"/>
    </w:pPr>
    <w:rPr>
      <w:rFonts w:cs="宋体"/>
      <w:kern w:val="0"/>
      <w:sz w:val="24"/>
      <w:szCs w:val="20"/>
    </w:rPr>
  </w:style>
  <w:style w:type="paragraph" w:customStyle="1" w:styleId="213">
    <w:name w:val="普通 (Web)"/>
    <w:basedOn w:val="1"/>
    <w:autoRedefine/>
    <w:qFormat/>
    <w:uiPriority w:val="0"/>
    <w:pPr>
      <w:widowControl/>
      <w:spacing w:before="100" w:after="100"/>
      <w:jc w:val="left"/>
    </w:pPr>
    <w:rPr>
      <w:rFonts w:ascii="宋体" w:hAnsi="宋体"/>
      <w:kern w:val="0"/>
      <w:sz w:val="24"/>
      <w:szCs w:val="20"/>
    </w:rPr>
  </w:style>
  <w:style w:type="paragraph" w:customStyle="1" w:styleId="214">
    <w:name w:val="首行缩进2"/>
    <w:basedOn w:val="1"/>
    <w:autoRedefine/>
    <w:qFormat/>
    <w:uiPriority w:val="0"/>
    <w:pPr>
      <w:spacing w:line="360" w:lineRule="auto"/>
      <w:ind w:firstLine="482"/>
    </w:pPr>
    <w:rPr>
      <w:sz w:val="24"/>
    </w:rPr>
  </w:style>
  <w:style w:type="paragraph" w:customStyle="1" w:styleId="215">
    <w:name w:val="Default"/>
    <w:basedOn w:val="216"/>
    <w:next w:val="24"/>
    <w:link w:val="217"/>
    <w:autoRedefine/>
    <w:qFormat/>
    <w:uiPriority w:val="0"/>
    <w:pPr>
      <w:widowControl w:val="0"/>
      <w:autoSpaceDE w:val="0"/>
      <w:autoSpaceDN w:val="0"/>
      <w:adjustRightInd w:val="0"/>
    </w:pPr>
    <w:rPr>
      <w:rFonts w:ascii="宋体" w:hAnsi="Times New Roman" w:eastAsia="宋体" w:cs="Times New Roman"/>
      <w:color w:val="000000"/>
      <w:sz w:val="24"/>
      <w:szCs w:val="24"/>
      <w:lang w:val="en-US" w:eastAsia="zh-CN" w:bidi="ar-SA"/>
    </w:rPr>
  </w:style>
  <w:style w:type="paragraph" w:customStyle="1" w:styleId="216">
    <w:name w:val="纯文本1"/>
    <w:basedOn w:val="1"/>
    <w:qFormat/>
    <w:uiPriority w:val="0"/>
    <w:pPr>
      <w:adjustRightInd w:val="0"/>
    </w:pPr>
    <w:rPr>
      <w:rFonts w:hAnsi="Courier New"/>
      <w:szCs w:val="20"/>
    </w:rPr>
  </w:style>
  <w:style w:type="character" w:customStyle="1" w:styleId="217">
    <w:name w:val="Default Char Char"/>
    <w:link w:val="215"/>
    <w:autoRedefine/>
    <w:qFormat/>
    <w:locked/>
    <w:uiPriority w:val="0"/>
    <w:rPr>
      <w:rFonts w:ascii="宋体"/>
      <w:color w:val="000000"/>
      <w:sz w:val="24"/>
      <w:szCs w:val="24"/>
      <w:lang w:bidi="ar-SA"/>
    </w:rPr>
  </w:style>
  <w:style w:type="paragraph" w:customStyle="1" w:styleId="218">
    <w:name w:val="p0"/>
    <w:basedOn w:val="1"/>
    <w:autoRedefine/>
    <w:qFormat/>
    <w:uiPriority w:val="0"/>
    <w:pPr>
      <w:widowControl/>
      <w:ind w:firstLine="420"/>
      <w:jc w:val="left"/>
    </w:pPr>
    <w:rPr>
      <w:kern w:val="0"/>
      <w:sz w:val="20"/>
      <w:szCs w:val="20"/>
    </w:rPr>
  </w:style>
  <w:style w:type="paragraph" w:customStyle="1" w:styleId="219">
    <w:name w:val="环评正文"/>
    <w:basedOn w:val="1"/>
    <w:autoRedefine/>
    <w:qFormat/>
    <w:uiPriority w:val="0"/>
    <w:pPr>
      <w:spacing w:beforeLines="30"/>
      <w:ind w:firstLine="480" w:firstLineChars="200"/>
    </w:pPr>
    <w:rPr>
      <w:rFonts w:ascii="Tahoma" w:hAnsi="Tahoma" w:cs="Tahoma"/>
      <w:kern w:val="0"/>
      <w:sz w:val="24"/>
      <w:szCs w:val="20"/>
    </w:rPr>
  </w:style>
  <w:style w:type="paragraph" w:customStyle="1" w:styleId="220">
    <w:name w:val="表体"/>
    <w:basedOn w:val="1"/>
    <w:autoRedefine/>
    <w:qFormat/>
    <w:uiPriority w:val="99"/>
    <w:pPr>
      <w:widowControl/>
      <w:snapToGrid w:val="0"/>
      <w:spacing w:line="240" w:lineRule="atLeast"/>
      <w:jc w:val="center"/>
    </w:pPr>
    <w:rPr>
      <w:rFonts w:eastAsia="仿宋_GB2312"/>
      <w:kern w:val="0"/>
      <w:sz w:val="24"/>
      <w:szCs w:val="20"/>
    </w:rPr>
  </w:style>
  <w:style w:type="character" w:customStyle="1" w:styleId="221">
    <w:name w:val="正文2 Char Char"/>
    <w:link w:val="222"/>
    <w:autoRedefine/>
    <w:qFormat/>
    <w:uiPriority w:val="0"/>
    <w:rPr>
      <w:sz w:val="24"/>
    </w:rPr>
  </w:style>
  <w:style w:type="paragraph" w:customStyle="1" w:styleId="222">
    <w:name w:val="正文2"/>
    <w:basedOn w:val="1"/>
    <w:link w:val="221"/>
    <w:autoRedefine/>
    <w:qFormat/>
    <w:uiPriority w:val="0"/>
    <w:pPr>
      <w:spacing w:beforeLines="50" w:line="360" w:lineRule="auto"/>
      <w:ind w:firstLine="560" w:firstLineChars="200"/>
    </w:pPr>
    <w:rPr>
      <w:kern w:val="0"/>
      <w:sz w:val="24"/>
      <w:szCs w:val="20"/>
    </w:rPr>
  </w:style>
  <w:style w:type="paragraph" w:customStyle="1" w:styleId="223">
    <w:name w:val="Table Paragraph"/>
    <w:basedOn w:val="1"/>
    <w:autoRedefine/>
    <w:qFormat/>
    <w:uiPriority w:val="1"/>
    <w:pPr>
      <w:autoSpaceDE w:val="0"/>
      <w:autoSpaceDN w:val="0"/>
      <w:adjustRightInd w:val="0"/>
      <w:jc w:val="left"/>
    </w:pPr>
    <w:rPr>
      <w:kern w:val="0"/>
      <w:sz w:val="24"/>
    </w:rPr>
  </w:style>
  <w:style w:type="character" w:customStyle="1" w:styleId="224">
    <w:name w:val="纯文本 字符"/>
    <w:autoRedefine/>
    <w:qFormat/>
    <w:uiPriority w:val="0"/>
    <w:rPr>
      <w:rFonts w:ascii="宋体" w:hAnsi="Courier New" w:eastAsia="宋体"/>
      <w:kern w:val="2"/>
      <w:sz w:val="21"/>
      <w:lang w:val="en-US" w:eastAsia="zh-CN" w:bidi="ar-SA"/>
    </w:rPr>
  </w:style>
  <w:style w:type="character" w:customStyle="1" w:styleId="225">
    <w:name w:val="正文缩进 字符"/>
    <w:autoRedefine/>
    <w:qFormat/>
    <w:uiPriority w:val="0"/>
    <w:rPr>
      <w:rFonts w:ascii="宋体" w:hAnsi="宋体" w:eastAsia="宋体"/>
      <w:kern w:val="2"/>
      <w:sz w:val="28"/>
      <w:szCs w:val="24"/>
      <w:lang w:val="en-US" w:eastAsia="zh-CN" w:bidi="ar-SA"/>
    </w:rPr>
  </w:style>
  <w:style w:type="paragraph" w:customStyle="1" w:styleId="226">
    <w:name w:val="表格文字 16磅"/>
    <w:basedOn w:val="24"/>
    <w:next w:val="1"/>
    <w:autoRedefine/>
    <w:qFormat/>
    <w:uiPriority w:val="0"/>
    <w:pPr>
      <w:adjustRightInd w:val="0"/>
      <w:snapToGrid w:val="0"/>
      <w:spacing w:line="400" w:lineRule="exact"/>
      <w:jc w:val="center"/>
      <w:textAlignment w:val="baseline"/>
    </w:pPr>
    <w:rPr>
      <w:rFonts w:ascii="Times New Roman" w:hAnsi="Times New Roman"/>
      <w:color w:val="0000FF"/>
      <w:kern w:val="21"/>
      <w:szCs w:val="21"/>
    </w:rPr>
  </w:style>
  <w:style w:type="character" w:customStyle="1" w:styleId="227">
    <w:name w:val="正文段 Char"/>
    <w:link w:val="228"/>
    <w:autoRedefine/>
    <w:qFormat/>
    <w:uiPriority w:val="0"/>
    <w:rPr>
      <w:rFonts w:ascii="仿宋_GB2312" w:eastAsia="仿宋_GB2312"/>
      <w:color w:val="000000"/>
      <w:kern w:val="2"/>
      <w:sz w:val="28"/>
      <w:szCs w:val="28"/>
    </w:rPr>
  </w:style>
  <w:style w:type="paragraph" w:customStyle="1" w:styleId="228">
    <w:name w:val="正文段"/>
    <w:basedOn w:val="1"/>
    <w:link w:val="227"/>
    <w:autoRedefine/>
    <w:qFormat/>
    <w:uiPriority w:val="0"/>
    <w:pPr>
      <w:spacing w:line="360" w:lineRule="auto"/>
      <w:ind w:firstLine="200" w:firstLineChars="200"/>
    </w:pPr>
    <w:rPr>
      <w:rFonts w:ascii="仿宋_GB2312" w:eastAsia="仿宋_GB2312"/>
      <w:color w:val="000000"/>
      <w:sz w:val="28"/>
      <w:szCs w:val="28"/>
    </w:rPr>
  </w:style>
  <w:style w:type="paragraph" w:customStyle="1" w:styleId="229">
    <w:name w:val="li 表头文字"/>
    <w:link w:val="230"/>
    <w:autoRedefine/>
    <w:qFormat/>
    <w:uiPriority w:val="0"/>
    <w:pPr>
      <w:spacing w:line="460" w:lineRule="exact"/>
      <w:jc w:val="center"/>
    </w:pPr>
    <w:rPr>
      <w:rFonts w:ascii="宋体" w:hAnsi="宋体" w:eastAsia="宋体" w:cs="Times New Roman"/>
      <w:b/>
      <w:spacing w:val="4"/>
      <w:kern w:val="2"/>
      <w:sz w:val="21"/>
      <w:szCs w:val="21"/>
      <w:lang w:val="en-US" w:eastAsia="zh-CN" w:bidi="ar-SA"/>
    </w:rPr>
  </w:style>
  <w:style w:type="character" w:customStyle="1" w:styleId="230">
    <w:name w:val="li 表头文字 Char"/>
    <w:link w:val="229"/>
    <w:autoRedefine/>
    <w:qFormat/>
    <w:uiPriority w:val="0"/>
    <w:rPr>
      <w:rFonts w:ascii="宋体" w:hAnsi="宋体"/>
      <w:b/>
      <w:spacing w:val="4"/>
      <w:kern w:val="2"/>
      <w:sz w:val="21"/>
      <w:szCs w:val="21"/>
      <w:lang w:bidi="ar-SA"/>
    </w:rPr>
  </w:style>
  <w:style w:type="character" w:customStyle="1" w:styleId="231">
    <w:name w:val="新正文 字符"/>
    <w:link w:val="232"/>
    <w:autoRedefine/>
    <w:qFormat/>
    <w:uiPriority w:val="0"/>
    <w:rPr>
      <w:color w:val="000000"/>
      <w:sz w:val="24"/>
      <w:szCs w:val="24"/>
    </w:rPr>
  </w:style>
  <w:style w:type="paragraph" w:customStyle="1" w:styleId="232">
    <w:name w:val="新正文"/>
    <w:basedOn w:val="1"/>
    <w:link w:val="231"/>
    <w:autoRedefine/>
    <w:qFormat/>
    <w:uiPriority w:val="0"/>
    <w:pPr>
      <w:widowControl/>
      <w:adjustRightInd w:val="0"/>
      <w:snapToGrid w:val="0"/>
      <w:spacing w:line="480" w:lineRule="exact"/>
      <w:ind w:firstLine="480" w:firstLineChars="200"/>
      <w:jc w:val="left"/>
    </w:pPr>
    <w:rPr>
      <w:color w:val="000000"/>
      <w:kern w:val="0"/>
      <w:sz w:val="24"/>
    </w:rPr>
  </w:style>
  <w:style w:type="character" w:customStyle="1" w:styleId="233">
    <w:name w:val="页眉 Char Char"/>
    <w:autoRedefine/>
    <w:qFormat/>
    <w:uiPriority w:val="0"/>
    <w:rPr>
      <w:kern w:val="2"/>
      <w:sz w:val="18"/>
    </w:rPr>
  </w:style>
  <w:style w:type="paragraph" w:customStyle="1" w:styleId="234">
    <w:name w:val="正文缩进 New"/>
    <w:basedOn w:val="1"/>
    <w:autoRedefine/>
    <w:qFormat/>
    <w:uiPriority w:val="0"/>
    <w:pPr>
      <w:ind w:firstLine="420" w:firstLineChars="200"/>
    </w:pPr>
    <w:rPr>
      <w:szCs w:val="20"/>
    </w:rPr>
  </w:style>
  <w:style w:type="character" w:customStyle="1" w:styleId="235">
    <w:name w:val="正文1 Char Char"/>
    <w:autoRedefine/>
    <w:qFormat/>
    <w:uiPriority w:val="0"/>
    <w:rPr>
      <w:rFonts w:ascii="宋体" w:hAnsi="宋体" w:eastAsia="宋体" w:cs="宋体"/>
      <w:kern w:val="2"/>
      <w:sz w:val="28"/>
      <w:szCs w:val="28"/>
      <w:lang w:val="en-US" w:eastAsia="zh-CN" w:bidi="ar-SA"/>
    </w:rPr>
  </w:style>
  <w:style w:type="character" w:customStyle="1" w:styleId="236">
    <w:name w:val="李表头常用格式 字符"/>
    <w:link w:val="237"/>
    <w:autoRedefine/>
    <w:qFormat/>
    <w:uiPriority w:val="0"/>
    <w:rPr>
      <w:rFonts w:eastAsia="黑体"/>
      <w:color w:val="000000"/>
      <w:kern w:val="2"/>
      <w:sz w:val="21"/>
      <w:szCs w:val="21"/>
    </w:rPr>
  </w:style>
  <w:style w:type="paragraph" w:customStyle="1" w:styleId="237">
    <w:name w:val="李表头常用格式"/>
    <w:basedOn w:val="22"/>
    <w:link w:val="236"/>
    <w:autoRedefine/>
    <w:qFormat/>
    <w:uiPriority w:val="0"/>
    <w:pPr>
      <w:snapToGrid w:val="0"/>
      <w:spacing w:before="0" w:line="320" w:lineRule="exact"/>
      <w:ind w:left="0" w:right="0"/>
      <w:jc w:val="center"/>
    </w:pPr>
    <w:rPr>
      <w:rFonts w:eastAsia="黑体"/>
      <w:color w:val="000000"/>
      <w:szCs w:val="21"/>
    </w:rPr>
  </w:style>
  <w:style w:type="character" w:customStyle="1" w:styleId="238">
    <w:name w:val="表中 Char"/>
    <w:link w:val="239"/>
    <w:autoRedefine/>
    <w:qFormat/>
    <w:uiPriority w:val="0"/>
    <w:rPr>
      <w:kern w:val="2"/>
      <w:sz w:val="21"/>
      <w:szCs w:val="21"/>
      <w:lang w:val="de-DE"/>
    </w:rPr>
  </w:style>
  <w:style w:type="paragraph" w:customStyle="1" w:styleId="239">
    <w:name w:val="表中"/>
    <w:basedOn w:val="1"/>
    <w:link w:val="238"/>
    <w:autoRedefine/>
    <w:qFormat/>
    <w:uiPriority w:val="0"/>
    <w:pPr>
      <w:spacing w:line="360" w:lineRule="exact"/>
      <w:jc w:val="center"/>
    </w:pPr>
    <w:rPr>
      <w:szCs w:val="21"/>
      <w:lang w:val="de-DE"/>
    </w:rPr>
  </w:style>
  <w:style w:type="character" w:customStyle="1" w:styleId="240">
    <w:name w:val="3级节标题 字符"/>
    <w:link w:val="241"/>
    <w:autoRedefine/>
    <w:qFormat/>
    <w:uiPriority w:val="0"/>
    <w:rPr>
      <w:b/>
      <w:kern w:val="2"/>
      <w:sz w:val="28"/>
      <w:szCs w:val="24"/>
    </w:rPr>
  </w:style>
  <w:style w:type="paragraph" w:customStyle="1" w:styleId="241">
    <w:name w:val="3级节标题"/>
    <w:basedOn w:val="1"/>
    <w:link w:val="240"/>
    <w:autoRedefine/>
    <w:qFormat/>
    <w:uiPriority w:val="0"/>
    <w:pPr>
      <w:spacing w:line="560" w:lineRule="exact"/>
      <w:ind w:firstLine="200" w:firstLineChars="200"/>
      <w:outlineLvl w:val="2"/>
    </w:pPr>
    <w:rPr>
      <w:b/>
      <w:sz w:val="28"/>
    </w:rPr>
  </w:style>
  <w:style w:type="paragraph" w:customStyle="1" w:styleId="242">
    <w:name w:val="正文01"/>
    <w:basedOn w:val="1"/>
    <w:autoRedefine/>
    <w:qFormat/>
    <w:uiPriority w:val="0"/>
    <w:pPr>
      <w:spacing w:before="60" w:line="460" w:lineRule="exact"/>
      <w:ind w:firstLine="200" w:firstLineChars="200"/>
    </w:pPr>
    <w:rPr>
      <w:rFonts w:ascii="Arial" w:hAnsi="Arial"/>
      <w:kern w:val="0"/>
      <w:sz w:val="24"/>
    </w:rPr>
  </w:style>
  <w:style w:type="character" w:customStyle="1" w:styleId="243">
    <w:name w:val="表格文字2 Char Char"/>
    <w:link w:val="244"/>
    <w:autoRedefine/>
    <w:qFormat/>
    <w:uiPriority w:val="0"/>
    <w:rPr>
      <w:rFonts w:ascii="宋体"/>
      <w:sz w:val="24"/>
    </w:rPr>
  </w:style>
  <w:style w:type="paragraph" w:customStyle="1" w:styleId="244">
    <w:name w:val="表格文字2"/>
    <w:basedOn w:val="1"/>
    <w:link w:val="243"/>
    <w:autoRedefine/>
    <w:qFormat/>
    <w:uiPriority w:val="0"/>
    <w:pPr>
      <w:adjustRightInd w:val="0"/>
      <w:spacing w:before="60"/>
      <w:jc w:val="center"/>
      <w:textAlignment w:val="baseline"/>
    </w:pPr>
    <w:rPr>
      <w:rFonts w:ascii="宋体"/>
      <w:kern w:val="0"/>
      <w:sz w:val="24"/>
      <w:szCs w:val="20"/>
    </w:rPr>
  </w:style>
  <w:style w:type="character" w:customStyle="1" w:styleId="245">
    <w:name w:val="large1"/>
    <w:autoRedefine/>
    <w:qFormat/>
    <w:uiPriority w:val="0"/>
    <w:rPr>
      <w:rFonts w:hint="eastAsia" w:ascii="宋体" w:hAnsi="宋体" w:eastAsia="宋体"/>
      <w:sz w:val="22"/>
    </w:rPr>
  </w:style>
  <w:style w:type="character" w:customStyle="1" w:styleId="246">
    <w:name w:val="blue"/>
    <w:basedOn w:val="49"/>
    <w:autoRedefine/>
    <w:qFormat/>
    <w:uiPriority w:val="0"/>
  </w:style>
  <w:style w:type="character" w:customStyle="1" w:styleId="247">
    <w:name w:val="页脚 Char Char"/>
    <w:autoRedefine/>
    <w:qFormat/>
    <w:uiPriority w:val="0"/>
    <w:rPr>
      <w:kern w:val="2"/>
      <w:sz w:val="18"/>
    </w:rPr>
  </w:style>
  <w:style w:type="character" w:customStyle="1" w:styleId="248">
    <w:name w:val="正文小四 Char Char"/>
    <w:link w:val="249"/>
    <w:autoRedefine/>
    <w:qFormat/>
    <w:uiPriority w:val="0"/>
    <w:rPr>
      <w:kern w:val="2"/>
      <w:sz w:val="24"/>
    </w:rPr>
  </w:style>
  <w:style w:type="paragraph" w:customStyle="1" w:styleId="249">
    <w:name w:val="正文小四"/>
    <w:basedOn w:val="1"/>
    <w:link w:val="248"/>
    <w:autoRedefine/>
    <w:qFormat/>
    <w:uiPriority w:val="0"/>
    <w:pPr>
      <w:spacing w:line="360" w:lineRule="auto"/>
      <w:ind w:firstLine="200" w:firstLineChars="200"/>
      <w:jc w:val="left"/>
    </w:pPr>
    <w:rPr>
      <w:sz w:val="24"/>
      <w:szCs w:val="20"/>
    </w:rPr>
  </w:style>
  <w:style w:type="character" w:customStyle="1" w:styleId="250">
    <w:name w:val="l17-z105"/>
    <w:basedOn w:val="49"/>
    <w:autoRedefine/>
    <w:qFormat/>
    <w:uiPriority w:val="0"/>
  </w:style>
  <w:style w:type="character" w:customStyle="1" w:styleId="251">
    <w:name w:val="标准正文 Char Char Char"/>
    <w:autoRedefine/>
    <w:qFormat/>
    <w:uiPriority w:val="0"/>
    <w:rPr>
      <w:kern w:val="2"/>
      <w:sz w:val="24"/>
      <w:szCs w:val="22"/>
    </w:rPr>
  </w:style>
  <w:style w:type="character" w:customStyle="1" w:styleId="252">
    <w:name w:val="带编号正文 Char Char"/>
    <w:basedOn w:val="135"/>
    <w:link w:val="253"/>
    <w:autoRedefine/>
    <w:qFormat/>
    <w:uiPriority w:val="0"/>
  </w:style>
  <w:style w:type="paragraph" w:customStyle="1" w:styleId="253">
    <w:name w:val="带编号正文"/>
    <w:basedOn w:val="136"/>
    <w:link w:val="252"/>
    <w:autoRedefine/>
    <w:qFormat/>
    <w:uiPriority w:val="0"/>
    <w:pPr>
      <w:ind w:left="988" w:firstLine="0" w:firstLineChars="0"/>
    </w:pPr>
  </w:style>
  <w:style w:type="character" w:customStyle="1" w:styleId="254">
    <w:name w:val="表格文字2 Char Char Char"/>
    <w:autoRedefine/>
    <w:qFormat/>
    <w:uiPriority w:val="0"/>
    <w:rPr>
      <w:rFonts w:ascii="宋体" w:hAnsi="宋体"/>
      <w:sz w:val="24"/>
    </w:rPr>
  </w:style>
  <w:style w:type="character" w:customStyle="1" w:styleId="255">
    <w:name w:val="报告书正文 Char Char"/>
    <w:link w:val="256"/>
    <w:autoRedefine/>
    <w:qFormat/>
    <w:uiPriority w:val="0"/>
    <w:rPr>
      <w:rFonts w:ascii="宋体"/>
      <w:snapToGrid w:val="0"/>
      <w:sz w:val="24"/>
    </w:rPr>
  </w:style>
  <w:style w:type="paragraph" w:customStyle="1" w:styleId="256">
    <w:name w:val="报告书正文"/>
    <w:basedOn w:val="1"/>
    <w:link w:val="255"/>
    <w:autoRedefine/>
    <w:qFormat/>
    <w:uiPriority w:val="0"/>
    <w:pPr>
      <w:adjustRightInd w:val="0"/>
      <w:snapToGrid w:val="0"/>
      <w:spacing w:line="360" w:lineRule="atLeast"/>
      <w:ind w:firstLine="425"/>
      <w:textAlignment w:val="baseline"/>
    </w:pPr>
    <w:rPr>
      <w:rFonts w:ascii="宋体"/>
      <w:snapToGrid w:val="0"/>
      <w:kern w:val="0"/>
      <w:sz w:val="24"/>
      <w:szCs w:val="20"/>
    </w:rPr>
  </w:style>
  <w:style w:type="paragraph" w:customStyle="1" w:styleId="257">
    <w:name w:val="Body Text 21"/>
    <w:basedOn w:val="1"/>
    <w:autoRedefine/>
    <w:qFormat/>
    <w:uiPriority w:val="0"/>
    <w:pPr>
      <w:autoSpaceDE w:val="0"/>
      <w:autoSpaceDN w:val="0"/>
      <w:adjustRightInd w:val="0"/>
      <w:spacing w:line="480" w:lineRule="exact"/>
      <w:ind w:firstLine="540"/>
      <w:textAlignment w:val="baseline"/>
    </w:pPr>
    <w:rPr>
      <w:rFonts w:ascii="宋体" w:hAnsi="Tms Rmn"/>
      <w:kern w:val="0"/>
      <w:sz w:val="24"/>
      <w:szCs w:val="20"/>
    </w:rPr>
  </w:style>
  <w:style w:type="paragraph" w:customStyle="1" w:styleId="258">
    <w:name w:val="主题"/>
    <w:basedOn w:val="14"/>
    <w:autoRedefine/>
    <w:qFormat/>
    <w:uiPriority w:val="0"/>
    <w:pPr>
      <w:snapToGrid w:val="0"/>
      <w:spacing w:after="120"/>
      <w:ind w:firstLine="0"/>
    </w:pPr>
    <w:rPr>
      <w:rFonts w:ascii="黑体" w:eastAsia="黑体"/>
      <w:spacing w:val="12"/>
      <w:w w:val="90"/>
      <w:sz w:val="32"/>
    </w:rPr>
  </w:style>
  <w:style w:type="paragraph" w:customStyle="1" w:styleId="259">
    <w:name w:val="注"/>
    <w:basedOn w:val="34"/>
    <w:autoRedefine/>
    <w:qFormat/>
    <w:uiPriority w:val="0"/>
    <w:pPr>
      <w:spacing w:beforeLines="50" w:afterLines="100" w:line="240" w:lineRule="exact"/>
      <w:ind w:left="0" w:firstLine="0" w:firstLineChars="0"/>
    </w:pPr>
    <w:rPr>
      <w:sz w:val="21"/>
      <w:szCs w:val="20"/>
    </w:rPr>
  </w:style>
  <w:style w:type="paragraph" w:customStyle="1" w:styleId="260">
    <w:name w:val="Char Char Char2 Char Char Char Char Char Char Char Char Char Char Char Char Char Char Char Char Char Char"/>
    <w:basedOn w:val="1"/>
    <w:autoRedefine/>
    <w:qFormat/>
    <w:uiPriority w:val="0"/>
    <w:pPr>
      <w:autoSpaceDE w:val="0"/>
      <w:autoSpaceDN w:val="0"/>
      <w:adjustRightInd w:val="0"/>
      <w:snapToGrid w:val="0"/>
      <w:spacing w:line="400" w:lineRule="atLeast"/>
      <w:jc w:val="left"/>
      <w:textAlignment w:val="baseline"/>
    </w:pPr>
    <w:rPr>
      <w:rFonts w:ascii="黑体" w:hAnsi="黑体" w:eastAsia="黑体"/>
      <w:b/>
      <w:spacing w:val="10"/>
      <w:kern w:val="0"/>
      <w:sz w:val="28"/>
      <w:szCs w:val="20"/>
    </w:rPr>
  </w:style>
  <w:style w:type="paragraph" w:customStyle="1" w:styleId="261">
    <w:name w:val="样式3"/>
    <w:basedOn w:val="31"/>
    <w:autoRedefine/>
    <w:qFormat/>
    <w:uiPriority w:val="0"/>
    <w:pPr>
      <w:pBdr>
        <w:bottom w:val="thickThinSmallGap" w:color="auto" w:sz="24" w:space="1"/>
      </w:pBdr>
      <w:jc w:val="right"/>
    </w:pPr>
    <w:rPr>
      <w:b/>
      <w:bCs/>
      <w:kern w:val="2"/>
      <w:szCs w:val="18"/>
    </w:rPr>
  </w:style>
  <w:style w:type="paragraph" w:customStyle="1" w:styleId="262">
    <w:name w:val="我的样式（正文）"/>
    <w:basedOn w:val="1"/>
    <w:autoRedefine/>
    <w:qFormat/>
    <w:uiPriority w:val="0"/>
    <w:pPr>
      <w:spacing w:line="440" w:lineRule="exact"/>
    </w:pPr>
    <w:rPr>
      <w:rFonts w:ascii="宋体"/>
      <w:sz w:val="28"/>
      <w:szCs w:val="20"/>
    </w:rPr>
  </w:style>
  <w:style w:type="character" w:customStyle="1" w:styleId="263">
    <w:name w:val="正文文本 2 Char"/>
    <w:basedOn w:val="49"/>
    <w:link w:val="38"/>
    <w:autoRedefine/>
    <w:qFormat/>
    <w:uiPriority w:val="99"/>
    <w:rPr>
      <w:b/>
      <w:kern w:val="2"/>
      <w:sz w:val="30"/>
    </w:rPr>
  </w:style>
  <w:style w:type="paragraph" w:customStyle="1" w:styleId="264">
    <w:name w:val="方正文 无编号"/>
    <w:basedOn w:val="24"/>
    <w:autoRedefine/>
    <w:qFormat/>
    <w:uiPriority w:val="0"/>
    <w:pPr>
      <w:widowControl/>
      <w:spacing w:line="640" w:lineRule="exact"/>
      <w:ind w:firstLine="200" w:firstLineChars="200"/>
    </w:pPr>
    <w:rPr>
      <w:rFonts w:ascii="仿宋_GB2312" w:eastAsia="仿宋_GB2312" w:cs="Courier New"/>
      <w:color w:val="000000"/>
      <w:kern w:val="0"/>
      <w:sz w:val="30"/>
      <w:szCs w:val="21"/>
    </w:rPr>
  </w:style>
  <w:style w:type="paragraph" w:customStyle="1" w:styleId="265">
    <w:name w:val="表文"/>
    <w:basedOn w:val="1"/>
    <w:autoRedefine/>
    <w:qFormat/>
    <w:uiPriority w:val="0"/>
    <w:pPr>
      <w:tabs>
        <w:tab w:val="left" w:pos="1021"/>
      </w:tabs>
      <w:jc w:val="left"/>
    </w:pPr>
    <w:rPr>
      <w:kern w:val="0"/>
      <w:sz w:val="24"/>
      <w:szCs w:val="20"/>
    </w:rPr>
  </w:style>
  <w:style w:type="paragraph" w:customStyle="1" w:styleId="266">
    <w:name w:val="Char Char Char1 Char Char Char Char"/>
    <w:basedOn w:val="1"/>
    <w:autoRedefine/>
    <w:qFormat/>
    <w:uiPriority w:val="0"/>
    <w:pPr>
      <w:adjustRightInd w:val="0"/>
      <w:snapToGrid w:val="0"/>
      <w:spacing w:line="360" w:lineRule="auto"/>
      <w:ind w:firstLine="200" w:firstLineChars="200"/>
    </w:pPr>
    <w:rPr>
      <w:szCs w:val="20"/>
    </w:rPr>
  </w:style>
  <w:style w:type="paragraph" w:customStyle="1" w:styleId="267">
    <w:name w:val="正文标准样式"/>
    <w:basedOn w:val="1"/>
    <w:autoRedefine/>
    <w:qFormat/>
    <w:uiPriority w:val="0"/>
    <w:pPr>
      <w:adjustRightInd w:val="0"/>
      <w:spacing w:line="300" w:lineRule="auto"/>
      <w:ind w:firstLine="482"/>
    </w:pPr>
    <w:rPr>
      <w:kern w:val="0"/>
      <w:sz w:val="24"/>
      <w:szCs w:val="20"/>
    </w:rPr>
  </w:style>
  <w:style w:type="character" w:customStyle="1" w:styleId="268">
    <w:name w:val="正文文本 3 Char"/>
    <w:basedOn w:val="49"/>
    <w:link w:val="17"/>
    <w:autoRedefine/>
    <w:qFormat/>
    <w:uiPriority w:val="0"/>
    <w:rPr>
      <w:kern w:val="2"/>
      <w:sz w:val="28"/>
    </w:rPr>
  </w:style>
  <w:style w:type="paragraph" w:customStyle="1" w:styleId="269">
    <w:name w:val="Char Char Char Char Char Char Char Char Char"/>
    <w:basedOn w:val="1"/>
    <w:autoRedefine/>
    <w:qFormat/>
    <w:uiPriority w:val="0"/>
    <w:rPr>
      <w:szCs w:val="20"/>
    </w:rPr>
  </w:style>
  <w:style w:type="paragraph" w:customStyle="1" w:styleId="270">
    <w:name w:val="标题3 Char Char Char Char"/>
    <w:basedOn w:val="1"/>
    <w:autoRedefine/>
    <w:qFormat/>
    <w:uiPriority w:val="0"/>
    <w:pPr>
      <w:spacing w:afterLines="50" w:line="560" w:lineRule="exact"/>
    </w:pPr>
    <w:rPr>
      <w:szCs w:val="20"/>
    </w:rPr>
  </w:style>
  <w:style w:type="paragraph" w:customStyle="1" w:styleId="271">
    <w:name w:val="报告表正文"/>
    <w:basedOn w:val="1"/>
    <w:autoRedefine/>
    <w:qFormat/>
    <w:uiPriority w:val="0"/>
    <w:pPr>
      <w:adjustRightInd w:val="0"/>
      <w:spacing w:line="312" w:lineRule="auto"/>
      <w:ind w:left="113" w:right="113" w:firstLine="482"/>
      <w:jc w:val="left"/>
      <w:textAlignment w:val="baseline"/>
    </w:pPr>
    <w:rPr>
      <w:kern w:val="0"/>
      <w:sz w:val="24"/>
      <w:szCs w:val="20"/>
    </w:rPr>
  </w:style>
  <w:style w:type="paragraph" w:customStyle="1" w:styleId="272">
    <w:name w:val="文件标题"/>
    <w:basedOn w:val="1"/>
    <w:autoRedefine/>
    <w:qFormat/>
    <w:uiPriority w:val="0"/>
    <w:pPr>
      <w:snapToGrid w:val="0"/>
      <w:jc w:val="center"/>
    </w:pPr>
    <w:rPr>
      <w:rFonts w:eastAsia="黑体"/>
      <w:b/>
      <w:spacing w:val="30"/>
      <w:w w:val="90"/>
      <w:sz w:val="44"/>
      <w:szCs w:val="20"/>
    </w:rPr>
  </w:style>
  <w:style w:type="paragraph" w:customStyle="1" w:styleId="273">
    <w:name w:val="表尾"/>
    <w:basedOn w:val="1"/>
    <w:autoRedefine/>
    <w:qFormat/>
    <w:uiPriority w:val="0"/>
    <w:pPr>
      <w:tabs>
        <w:tab w:val="left" w:pos="1021"/>
      </w:tabs>
      <w:spacing w:line="160" w:lineRule="exact"/>
    </w:pPr>
    <w:rPr>
      <w:sz w:val="10"/>
      <w:szCs w:val="20"/>
    </w:rPr>
  </w:style>
  <w:style w:type="paragraph" w:customStyle="1" w:styleId="274">
    <w:name w:val="样式1"/>
    <w:basedOn w:val="4"/>
    <w:next w:val="18"/>
    <w:autoRedefine/>
    <w:qFormat/>
    <w:uiPriority w:val="0"/>
    <w:pPr>
      <w:keepLines w:val="0"/>
      <w:adjustRightInd w:val="0"/>
      <w:snapToGrid w:val="0"/>
      <w:spacing w:beforeLines="0"/>
      <w:jc w:val="center"/>
      <w:outlineLvl w:val="9"/>
    </w:pPr>
    <w:rPr>
      <w:rFonts w:eastAsia="宋体"/>
      <w:bCs w:val="0"/>
      <w:color w:val="000000"/>
      <w:sz w:val="21"/>
      <w:szCs w:val="21"/>
    </w:rPr>
  </w:style>
  <w:style w:type="paragraph" w:customStyle="1" w:styleId="275">
    <w:name w:val="Char Char Char Char Char Char Char Char Char Char Char Char Char Char Char Char Char Char1 Char Char Char Char"/>
    <w:basedOn w:val="1"/>
    <w:autoRedefine/>
    <w:qFormat/>
    <w:uiPriority w:val="0"/>
    <w:rPr>
      <w:szCs w:val="20"/>
    </w:rPr>
  </w:style>
  <w:style w:type="paragraph" w:customStyle="1" w:styleId="276">
    <w:name w:val="guizs_正文"/>
    <w:basedOn w:val="1"/>
    <w:autoRedefine/>
    <w:qFormat/>
    <w:uiPriority w:val="0"/>
    <w:pPr>
      <w:ind w:firstLine="200" w:firstLineChars="200"/>
      <w:jc w:val="left"/>
    </w:pPr>
    <w:rPr>
      <w:sz w:val="28"/>
      <w:szCs w:val="20"/>
    </w:rPr>
  </w:style>
  <w:style w:type="paragraph" w:customStyle="1" w:styleId="277">
    <w:name w:val="应填表格"/>
    <w:basedOn w:val="1"/>
    <w:autoRedefine/>
    <w:qFormat/>
    <w:uiPriority w:val="0"/>
    <w:pPr>
      <w:adjustRightInd w:val="0"/>
      <w:spacing w:before="40" w:after="40"/>
      <w:jc w:val="left"/>
      <w:textAlignment w:val="baseline"/>
    </w:pPr>
    <w:rPr>
      <w:kern w:val="0"/>
      <w:sz w:val="24"/>
      <w:szCs w:val="20"/>
    </w:rPr>
  </w:style>
  <w:style w:type="paragraph" w:customStyle="1" w:styleId="278">
    <w:name w:val="节标题"/>
    <w:basedOn w:val="1"/>
    <w:next w:val="1"/>
    <w:autoRedefine/>
    <w:qFormat/>
    <w:uiPriority w:val="0"/>
    <w:pPr>
      <w:ind w:left="400" w:leftChars="200" w:hanging="200" w:hangingChars="200"/>
      <w:outlineLvl w:val="1"/>
    </w:pPr>
    <w:rPr>
      <w:rFonts w:ascii="宋体" w:hAnsi="宋体" w:eastAsia="黑体"/>
      <w:sz w:val="28"/>
      <w:szCs w:val="32"/>
    </w:rPr>
  </w:style>
  <w:style w:type="paragraph" w:customStyle="1" w:styleId="279">
    <w:name w:val="a"/>
    <w:basedOn w:val="1"/>
    <w:autoRedefine/>
    <w:qFormat/>
    <w:uiPriority w:val="0"/>
    <w:pPr>
      <w:widowControl/>
      <w:spacing w:before="100" w:beforeAutospacing="1" w:after="100" w:afterAutospacing="1"/>
      <w:jc w:val="left"/>
    </w:pPr>
    <w:rPr>
      <w:rFonts w:ascii="宋体" w:hAnsi="宋体" w:cs="宋体"/>
      <w:color w:val="000000"/>
      <w:kern w:val="0"/>
      <w:sz w:val="24"/>
    </w:rPr>
  </w:style>
  <w:style w:type="paragraph" w:customStyle="1" w:styleId="280">
    <w:name w:val="p17"/>
    <w:basedOn w:val="1"/>
    <w:autoRedefine/>
    <w:qFormat/>
    <w:uiPriority w:val="0"/>
    <w:pPr>
      <w:widowControl/>
      <w:spacing w:line="360" w:lineRule="auto"/>
      <w:ind w:firstLine="420"/>
      <w:jc w:val="left"/>
    </w:pPr>
    <w:rPr>
      <w:kern w:val="0"/>
      <w:sz w:val="24"/>
    </w:rPr>
  </w:style>
  <w:style w:type="paragraph" w:customStyle="1" w:styleId="281">
    <w:name w:val="流程图"/>
    <w:basedOn w:val="1"/>
    <w:autoRedefine/>
    <w:qFormat/>
    <w:uiPriority w:val="0"/>
    <w:pPr>
      <w:tabs>
        <w:tab w:val="center" w:pos="0"/>
      </w:tabs>
    </w:pPr>
    <w:rPr>
      <w:rFonts w:eastAsia="楷体_GB2312"/>
      <w:sz w:val="24"/>
      <w:szCs w:val="20"/>
    </w:rPr>
  </w:style>
  <w:style w:type="paragraph" w:customStyle="1" w:styleId="282">
    <w:name w:val="简单回函地址"/>
    <w:basedOn w:val="1"/>
    <w:autoRedefine/>
    <w:qFormat/>
    <w:uiPriority w:val="0"/>
  </w:style>
  <w:style w:type="paragraph" w:customStyle="1" w:styleId="283">
    <w:name w:val="表中正文小五号"/>
    <w:basedOn w:val="1"/>
    <w:autoRedefine/>
    <w:qFormat/>
    <w:uiPriority w:val="0"/>
    <w:pPr>
      <w:jc w:val="center"/>
    </w:pPr>
    <w:rPr>
      <w:spacing w:val="6"/>
      <w:sz w:val="18"/>
      <w:szCs w:val="20"/>
    </w:rPr>
  </w:style>
  <w:style w:type="paragraph" w:customStyle="1" w:styleId="284">
    <w:name w:val="zxz5"/>
    <w:next w:val="1"/>
    <w:autoRedefine/>
    <w:qFormat/>
    <w:uiPriority w:val="0"/>
    <w:pPr>
      <w:tabs>
        <w:tab w:val="left" w:pos="0"/>
      </w:tabs>
      <w:jc w:val="center"/>
    </w:pPr>
    <w:rPr>
      <w:rFonts w:ascii="宋体" w:hAnsi="宋体" w:eastAsia="Times New Roman" w:cs="宋体"/>
      <w:bCs/>
      <w:kern w:val="2"/>
      <w:sz w:val="18"/>
      <w:szCs w:val="18"/>
      <w:lang w:val="en-US" w:eastAsia="zh-CN" w:bidi="ar-SA"/>
    </w:rPr>
  </w:style>
  <w:style w:type="paragraph" w:customStyle="1" w:styleId="285">
    <w:name w:val="表格式"/>
    <w:basedOn w:val="34"/>
    <w:autoRedefine/>
    <w:qFormat/>
    <w:uiPriority w:val="0"/>
    <w:pPr>
      <w:spacing w:line="400" w:lineRule="exact"/>
      <w:ind w:left="0" w:firstLine="0" w:firstLineChars="0"/>
      <w:jc w:val="center"/>
    </w:pPr>
    <w:rPr>
      <w:rFonts w:ascii="宋体"/>
      <w:sz w:val="21"/>
      <w:szCs w:val="20"/>
    </w:rPr>
  </w:style>
  <w:style w:type="paragraph" w:customStyle="1" w:styleId="286">
    <w:name w:val="Char Char Char Char Char Char Char Char Char1"/>
    <w:basedOn w:val="1"/>
    <w:autoRedefine/>
    <w:qFormat/>
    <w:uiPriority w:val="0"/>
    <w:rPr>
      <w:szCs w:val="20"/>
    </w:rPr>
  </w:style>
  <w:style w:type="paragraph" w:customStyle="1" w:styleId="287">
    <w:name w:val="p15"/>
    <w:basedOn w:val="1"/>
    <w:autoRedefine/>
    <w:qFormat/>
    <w:uiPriority w:val="0"/>
    <w:pPr>
      <w:widowControl/>
      <w:spacing w:line="360" w:lineRule="auto"/>
      <w:ind w:firstLine="420"/>
      <w:jc w:val="left"/>
    </w:pPr>
    <w:rPr>
      <w:kern w:val="0"/>
      <w:sz w:val="24"/>
    </w:rPr>
  </w:style>
  <w:style w:type="paragraph" w:customStyle="1" w:styleId="288">
    <w:name w:val="小表文居中"/>
    <w:basedOn w:val="1"/>
    <w:autoRedefine/>
    <w:qFormat/>
    <w:uiPriority w:val="0"/>
    <w:pPr>
      <w:autoSpaceDE w:val="0"/>
      <w:autoSpaceDN w:val="0"/>
      <w:adjustRightInd w:val="0"/>
      <w:spacing w:before="20"/>
      <w:jc w:val="center"/>
      <w:textAlignment w:val="baseline"/>
    </w:pPr>
    <w:rPr>
      <w:kern w:val="0"/>
      <w:sz w:val="18"/>
      <w:szCs w:val="20"/>
    </w:rPr>
  </w:style>
  <w:style w:type="paragraph" w:customStyle="1" w:styleId="289">
    <w:name w:val="论文正文"/>
    <w:basedOn w:val="14"/>
    <w:autoRedefine/>
    <w:qFormat/>
    <w:uiPriority w:val="0"/>
    <w:pPr>
      <w:widowControl/>
      <w:ind w:firstLine="480" w:firstLineChars="200"/>
      <w:jc w:val="left"/>
    </w:pPr>
    <w:rPr>
      <w:rFonts w:ascii="宋体" w:hAnsi="宋体"/>
      <w:kern w:val="0"/>
      <w:sz w:val="28"/>
      <w:szCs w:val="24"/>
    </w:rPr>
  </w:style>
  <w:style w:type="paragraph" w:customStyle="1" w:styleId="290">
    <w:name w:val="p18"/>
    <w:basedOn w:val="1"/>
    <w:autoRedefine/>
    <w:qFormat/>
    <w:uiPriority w:val="0"/>
    <w:pPr>
      <w:widowControl/>
    </w:pPr>
    <w:rPr>
      <w:rFonts w:ascii="宋体" w:hAnsi="宋体" w:cs="宋体"/>
      <w:kern w:val="0"/>
      <w:szCs w:val="21"/>
    </w:rPr>
  </w:style>
  <w:style w:type="character" w:customStyle="1" w:styleId="291">
    <w:name w:val="15"/>
    <w:autoRedefine/>
    <w:qFormat/>
    <w:uiPriority w:val="0"/>
    <w:rPr>
      <w:rFonts w:hint="default" w:ascii="Times New Roman" w:hAnsi="Times New Roman" w:cs="Times New Roman"/>
      <w:spacing w:val="270"/>
      <w:sz w:val="21"/>
      <w:szCs w:val="21"/>
    </w:rPr>
  </w:style>
  <w:style w:type="paragraph" w:customStyle="1" w:styleId="292">
    <w:name w:val="p20"/>
    <w:basedOn w:val="1"/>
    <w:autoRedefine/>
    <w:qFormat/>
    <w:uiPriority w:val="0"/>
    <w:pPr>
      <w:widowControl/>
      <w:spacing w:line="400" w:lineRule="atLeast"/>
    </w:pPr>
    <w:rPr>
      <w:kern w:val="0"/>
      <w:sz w:val="28"/>
      <w:szCs w:val="28"/>
    </w:rPr>
  </w:style>
  <w:style w:type="character" w:customStyle="1" w:styleId="293">
    <w:name w:val="17"/>
    <w:autoRedefine/>
    <w:qFormat/>
    <w:uiPriority w:val="0"/>
    <w:rPr>
      <w:rFonts w:hint="default" w:ascii="Times New Roman" w:hAnsi="Times New Roman" w:cs="Times New Roman"/>
      <w:spacing w:val="270"/>
      <w:sz w:val="21"/>
      <w:szCs w:val="21"/>
    </w:rPr>
  </w:style>
  <w:style w:type="character" w:customStyle="1" w:styleId="294">
    <w:name w:val="apple-converted-space"/>
    <w:basedOn w:val="49"/>
    <w:autoRedefine/>
    <w:qFormat/>
    <w:uiPriority w:val="0"/>
  </w:style>
  <w:style w:type="paragraph" w:customStyle="1" w:styleId="295">
    <w:name w:val="Char Char Char Char Char Char Char Char Char Char1"/>
    <w:basedOn w:val="1"/>
    <w:autoRedefine/>
    <w:qFormat/>
    <w:uiPriority w:val="0"/>
    <w:pPr>
      <w:widowControl/>
      <w:spacing w:after="160" w:line="240" w:lineRule="exact"/>
      <w:jc w:val="left"/>
    </w:pPr>
    <w:rPr>
      <w:rFonts w:ascii="Verdana" w:hAnsi="Verdana" w:cs="Verdana"/>
      <w:kern w:val="0"/>
      <w:sz w:val="20"/>
      <w:szCs w:val="20"/>
      <w:lang w:eastAsia="en-US"/>
    </w:rPr>
  </w:style>
  <w:style w:type="paragraph" w:customStyle="1" w:styleId="296">
    <w:name w:val="Char11"/>
    <w:basedOn w:val="1"/>
    <w:autoRedefine/>
    <w:qFormat/>
    <w:uiPriority w:val="0"/>
    <w:rPr>
      <w:szCs w:val="20"/>
    </w:rPr>
  </w:style>
  <w:style w:type="paragraph" w:customStyle="1" w:styleId="297">
    <w:name w:val="Char5"/>
    <w:basedOn w:val="1"/>
    <w:autoRedefine/>
    <w:qFormat/>
    <w:uiPriority w:val="0"/>
    <w:pPr>
      <w:snapToGrid w:val="0"/>
      <w:spacing w:line="360" w:lineRule="auto"/>
      <w:ind w:firstLine="529" w:firstLineChars="200"/>
    </w:pPr>
    <w:rPr>
      <w:rFonts w:ascii="宋体" w:hAnsi="宋体"/>
      <w:b/>
    </w:rPr>
  </w:style>
  <w:style w:type="paragraph" w:customStyle="1" w:styleId="298">
    <w:name w:val="表内正文"/>
    <w:basedOn w:val="1"/>
    <w:autoRedefine/>
    <w:qFormat/>
    <w:uiPriority w:val="0"/>
    <w:pPr>
      <w:ind w:firstLine="200" w:firstLineChars="200"/>
    </w:pPr>
    <w:rPr>
      <w:rFonts w:ascii="仿宋_GB2312" w:hAnsi="宋体" w:eastAsia="仿宋_GB2312"/>
      <w:sz w:val="28"/>
    </w:rPr>
  </w:style>
  <w:style w:type="paragraph" w:customStyle="1" w:styleId="299">
    <w:name w:val="5"/>
    <w:basedOn w:val="1"/>
    <w:next w:val="14"/>
    <w:link w:val="300"/>
    <w:autoRedefine/>
    <w:qFormat/>
    <w:uiPriority w:val="0"/>
    <w:pPr>
      <w:ind w:firstLine="420" w:firstLineChars="200"/>
    </w:pPr>
  </w:style>
  <w:style w:type="character" w:customStyle="1" w:styleId="300">
    <w:name w:val="5 Char Char"/>
    <w:link w:val="299"/>
    <w:autoRedefine/>
    <w:qFormat/>
    <w:uiPriority w:val="0"/>
    <w:rPr>
      <w:kern w:val="2"/>
      <w:sz w:val="21"/>
      <w:szCs w:val="24"/>
    </w:rPr>
  </w:style>
  <w:style w:type="character" w:customStyle="1" w:styleId="301">
    <w:name w:val="正文2 Char"/>
    <w:basedOn w:val="49"/>
    <w:autoRedefine/>
    <w:qFormat/>
    <w:locked/>
    <w:uiPriority w:val="0"/>
    <w:rPr>
      <w:rFonts w:ascii="宋体" w:hAnsi="宋体"/>
      <w:kern w:val="2"/>
      <w:sz w:val="24"/>
      <w:szCs w:val="24"/>
    </w:rPr>
  </w:style>
  <w:style w:type="character" w:customStyle="1" w:styleId="302">
    <w:name w:val="正文文本缩进 Char1"/>
    <w:basedOn w:val="49"/>
    <w:autoRedefine/>
    <w:qFormat/>
    <w:locked/>
    <w:uiPriority w:val="0"/>
    <w:rPr>
      <w:kern w:val="2"/>
      <w:sz w:val="30"/>
    </w:rPr>
  </w:style>
  <w:style w:type="paragraph" w:customStyle="1" w:styleId="303">
    <w:name w:val="表格标题"/>
    <w:basedOn w:val="1"/>
    <w:autoRedefine/>
    <w:qFormat/>
    <w:uiPriority w:val="0"/>
    <w:pPr>
      <w:tabs>
        <w:tab w:val="left" w:pos="2340"/>
      </w:tabs>
      <w:snapToGrid w:val="0"/>
      <w:spacing w:beforeLines="100"/>
      <w:jc w:val="center"/>
    </w:pPr>
    <w:rPr>
      <w:sz w:val="28"/>
      <w:szCs w:val="20"/>
    </w:rPr>
  </w:style>
  <w:style w:type="paragraph" w:customStyle="1" w:styleId="304">
    <w:name w:val="朔电正文"/>
    <w:basedOn w:val="1"/>
    <w:link w:val="305"/>
    <w:autoRedefine/>
    <w:qFormat/>
    <w:uiPriority w:val="99"/>
    <w:pPr>
      <w:adjustRightInd w:val="0"/>
      <w:snapToGrid w:val="0"/>
      <w:spacing w:beforeLines="25" w:line="440" w:lineRule="exact"/>
      <w:ind w:firstLine="480" w:firstLineChars="200"/>
    </w:pPr>
    <w:rPr>
      <w:color w:val="000000"/>
      <w:kern w:val="32"/>
      <w:sz w:val="24"/>
    </w:rPr>
  </w:style>
  <w:style w:type="character" w:customStyle="1" w:styleId="305">
    <w:name w:val="朔电正文 Char"/>
    <w:basedOn w:val="49"/>
    <w:link w:val="304"/>
    <w:autoRedefine/>
    <w:qFormat/>
    <w:uiPriority w:val="99"/>
    <w:rPr>
      <w:color w:val="000000"/>
      <w:kern w:val="32"/>
      <w:sz w:val="24"/>
      <w:szCs w:val="24"/>
    </w:rPr>
  </w:style>
  <w:style w:type="paragraph" w:customStyle="1" w:styleId="306">
    <w:name w:val="表格文字小"/>
    <w:basedOn w:val="108"/>
    <w:autoRedefine/>
    <w:qFormat/>
    <w:uiPriority w:val="0"/>
    <w:pPr>
      <w:adjustRightInd/>
      <w:snapToGrid/>
      <w:spacing w:line="400" w:lineRule="exact"/>
    </w:pPr>
    <w:rPr>
      <w:rFonts w:hAnsi="Times New Roman" w:cs="Times New Roman"/>
      <w:bCs w:val="0"/>
      <w:spacing w:val="0"/>
      <w:kern w:val="2"/>
      <w:szCs w:val="20"/>
    </w:rPr>
  </w:style>
  <w:style w:type="paragraph" w:customStyle="1" w:styleId="307">
    <w:name w:val="正文内容"/>
    <w:basedOn w:val="1"/>
    <w:link w:val="308"/>
    <w:autoRedefine/>
    <w:qFormat/>
    <w:uiPriority w:val="0"/>
    <w:pPr>
      <w:spacing w:line="440" w:lineRule="exact"/>
      <w:ind w:firstLine="480" w:firstLineChars="200"/>
    </w:pPr>
    <w:rPr>
      <w:rFonts w:hAnsi="宋体"/>
      <w:color w:val="000000"/>
      <w:sz w:val="24"/>
    </w:rPr>
  </w:style>
  <w:style w:type="character" w:customStyle="1" w:styleId="308">
    <w:name w:val="正文内容 Char"/>
    <w:basedOn w:val="49"/>
    <w:link w:val="307"/>
    <w:autoRedefine/>
    <w:qFormat/>
    <w:uiPriority w:val="0"/>
    <w:rPr>
      <w:rFonts w:hAnsi="宋体"/>
      <w:color w:val="000000"/>
      <w:kern w:val="2"/>
      <w:sz w:val="24"/>
      <w:szCs w:val="24"/>
    </w:rPr>
  </w:style>
  <w:style w:type="character" w:customStyle="1" w:styleId="309">
    <w:name w:val="样式6 Char"/>
    <w:link w:val="310"/>
    <w:autoRedefine/>
    <w:qFormat/>
    <w:uiPriority w:val="0"/>
    <w:rPr>
      <w:rFonts w:ascii="宋体" w:hAnsi="宋体"/>
      <w:color w:val="000000"/>
      <w:kern w:val="6"/>
      <w:sz w:val="24"/>
      <w:szCs w:val="24"/>
      <w:lang w:val="en-GB"/>
    </w:rPr>
  </w:style>
  <w:style w:type="paragraph" w:customStyle="1" w:styleId="310">
    <w:name w:val="样式6"/>
    <w:basedOn w:val="1"/>
    <w:link w:val="309"/>
    <w:autoRedefine/>
    <w:qFormat/>
    <w:uiPriority w:val="0"/>
    <w:pPr>
      <w:spacing w:beforeLines="50" w:afterLines="50" w:line="360" w:lineRule="auto"/>
      <w:ind w:firstLine="480" w:firstLineChars="200"/>
      <w:jc w:val="left"/>
    </w:pPr>
    <w:rPr>
      <w:rFonts w:ascii="宋体" w:hAnsi="宋体"/>
      <w:color w:val="000000"/>
      <w:kern w:val="6"/>
      <w:sz w:val="24"/>
      <w:lang w:val="en-GB"/>
    </w:rPr>
  </w:style>
  <w:style w:type="character" w:customStyle="1" w:styleId="311">
    <w:name w:val="标准正文 Char"/>
    <w:autoRedefine/>
    <w:qFormat/>
    <w:uiPriority w:val="0"/>
    <w:rPr>
      <w:kern w:val="2"/>
      <w:sz w:val="24"/>
      <w:szCs w:val="22"/>
    </w:rPr>
  </w:style>
  <w:style w:type="paragraph" w:customStyle="1" w:styleId="312">
    <w:name w:val="5表标题"/>
    <w:autoRedefine/>
    <w:qFormat/>
    <w:uiPriority w:val="99"/>
    <w:pPr>
      <w:spacing w:line="480" w:lineRule="exact"/>
      <w:jc w:val="center"/>
    </w:pPr>
    <w:rPr>
      <w:rFonts w:ascii="Times New Roman" w:hAnsi="Times New Roman" w:eastAsia="宋体" w:cs="宋体"/>
      <w:b/>
      <w:bCs/>
      <w:kern w:val="2"/>
      <w:sz w:val="21"/>
      <w:szCs w:val="22"/>
      <w:lang w:val="en-US" w:eastAsia="zh-CN" w:bidi="ar-SA"/>
    </w:rPr>
  </w:style>
  <w:style w:type="paragraph" w:customStyle="1" w:styleId="313">
    <w:name w:val="样式 样式 样式 标题 2标题2节½Ú?¨²节标题 + 宋体 四号 段前: 3 磅 段后: 3 磅 行距: 固定值 23 磅 +..."/>
    <w:basedOn w:val="1"/>
    <w:autoRedefine/>
    <w:qFormat/>
    <w:uiPriority w:val="0"/>
    <w:pPr>
      <w:keepNext/>
      <w:keepLines/>
      <w:spacing w:line="480" w:lineRule="exact"/>
      <w:outlineLvl w:val="1"/>
    </w:pPr>
    <w:rPr>
      <w:rFonts w:cs="宋体"/>
      <w:b/>
      <w:bCs/>
      <w:sz w:val="28"/>
      <w:szCs w:val="20"/>
    </w:rPr>
  </w:style>
  <w:style w:type="character" w:customStyle="1" w:styleId="314">
    <w:name w:val="title"/>
    <w:basedOn w:val="49"/>
    <w:autoRedefine/>
    <w:qFormat/>
    <w:uiPriority w:val="0"/>
  </w:style>
  <w:style w:type="character" w:customStyle="1" w:styleId="315">
    <w:name w:val="cat表头 Char Char"/>
    <w:link w:val="316"/>
    <w:autoRedefine/>
    <w:qFormat/>
    <w:uiPriority w:val="0"/>
    <w:rPr>
      <w:sz w:val="21"/>
    </w:rPr>
  </w:style>
  <w:style w:type="paragraph" w:customStyle="1" w:styleId="316">
    <w:name w:val="cat表格"/>
    <w:basedOn w:val="1"/>
    <w:link w:val="315"/>
    <w:autoRedefine/>
    <w:qFormat/>
    <w:uiPriority w:val="0"/>
    <w:pPr>
      <w:spacing w:beforeLines="50"/>
    </w:pPr>
    <w:rPr>
      <w:kern w:val="0"/>
      <w:szCs w:val="20"/>
    </w:rPr>
  </w:style>
  <w:style w:type="paragraph" w:customStyle="1" w:styleId="317">
    <w:name w:val="【表格文字】"/>
    <w:link w:val="318"/>
    <w:autoRedefine/>
    <w:qFormat/>
    <w:uiPriority w:val="0"/>
    <w:pPr>
      <w:jc w:val="center"/>
    </w:pPr>
    <w:rPr>
      <w:rFonts w:ascii="Times New Roman" w:hAnsi="Times New Roman" w:eastAsia="宋体" w:cs="Times New Roman"/>
      <w:sz w:val="21"/>
      <w:lang w:val="en-US" w:eastAsia="zh-CN" w:bidi="ar-SA"/>
    </w:rPr>
  </w:style>
  <w:style w:type="character" w:customStyle="1" w:styleId="318">
    <w:name w:val="【表格文字】 Char"/>
    <w:link w:val="317"/>
    <w:autoRedefine/>
    <w:qFormat/>
    <w:uiPriority w:val="0"/>
    <w:rPr>
      <w:sz w:val="21"/>
      <w:lang w:bidi="ar-SA"/>
    </w:rPr>
  </w:style>
  <w:style w:type="character" w:customStyle="1" w:styleId="319">
    <w:name w:val="CAT正文 Char Char"/>
    <w:link w:val="320"/>
    <w:autoRedefine/>
    <w:qFormat/>
    <w:locked/>
    <w:uiPriority w:val="0"/>
    <w:rPr>
      <w:sz w:val="24"/>
    </w:rPr>
  </w:style>
  <w:style w:type="paragraph" w:customStyle="1" w:styleId="320">
    <w:name w:val="CAT正文"/>
    <w:basedOn w:val="1"/>
    <w:link w:val="319"/>
    <w:autoRedefine/>
    <w:qFormat/>
    <w:uiPriority w:val="0"/>
    <w:pPr>
      <w:spacing w:beforeLines="50" w:line="360" w:lineRule="auto"/>
      <w:ind w:firstLine="560" w:firstLineChars="200"/>
    </w:pPr>
    <w:rPr>
      <w:kern w:val="0"/>
      <w:sz w:val="24"/>
      <w:szCs w:val="20"/>
    </w:rPr>
  </w:style>
  <w:style w:type="character" w:customStyle="1" w:styleId="321">
    <w:name w:val="脚注文本 Char"/>
    <w:basedOn w:val="49"/>
    <w:link w:val="35"/>
    <w:autoRedefine/>
    <w:qFormat/>
    <w:uiPriority w:val="0"/>
    <w:rPr>
      <w:kern w:val="2"/>
      <w:sz w:val="18"/>
      <w:szCs w:val="18"/>
    </w:rPr>
  </w:style>
  <w:style w:type="character" w:customStyle="1" w:styleId="322">
    <w:name w:val="脚注文本 Char1"/>
    <w:basedOn w:val="49"/>
    <w:link w:val="35"/>
    <w:autoRedefine/>
    <w:qFormat/>
    <w:locked/>
    <w:uiPriority w:val="0"/>
    <w:rPr>
      <w:kern w:val="2"/>
      <w:sz w:val="18"/>
      <w:szCs w:val="18"/>
    </w:rPr>
  </w:style>
  <w:style w:type="character" w:customStyle="1" w:styleId="323">
    <w:name w:val="尾注文本 Char"/>
    <w:basedOn w:val="49"/>
    <w:link w:val="28"/>
    <w:autoRedefine/>
    <w:qFormat/>
    <w:uiPriority w:val="99"/>
    <w:rPr>
      <w:kern w:val="2"/>
      <w:sz w:val="21"/>
      <w:szCs w:val="24"/>
    </w:rPr>
  </w:style>
  <w:style w:type="character" w:customStyle="1" w:styleId="324">
    <w:name w:val="尾注文本 Char1"/>
    <w:link w:val="28"/>
    <w:autoRedefine/>
    <w:qFormat/>
    <w:locked/>
    <w:uiPriority w:val="0"/>
    <w:rPr>
      <w:color w:val="000000"/>
      <w:kern w:val="32"/>
      <w:sz w:val="24"/>
    </w:rPr>
  </w:style>
  <w:style w:type="character" w:customStyle="1" w:styleId="325">
    <w:name w:val="标题 Char"/>
    <w:basedOn w:val="49"/>
    <w:link w:val="43"/>
    <w:autoRedefine/>
    <w:qFormat/>
    <w:uiPriority w:val="0"/>
    <w:rPr>
      <w:rFonts w:ascii="Cambria" w:hAnsi="Cambria" w:cs="Times New Roman"/>
      <w:b/>
      <w:bCs/>
      <w:kern w:val="2"/>
      <w:sz w:val="32"/>
      <w:szCs w:val="32"/>
    </w:rPr>
  </w:style>
  <w:style w:type="character" w:customStyle="1" w:styleId="326">
    <w:name w:val="标题 Char1"/>
    <w:basedOn w:val="49"/>
    <w:link w:val="43"/>
    <w:autoRedefine/>
    <w:qFormat/>
    <w:locked/>
    <w:uiPriority w:val="0"/>
    <w:rPr>
      <w:rFonts w:ascii="Cambria" w:hAnsi="Cambria"/>
      <w:b/>
      <w:bCs/>
      <w:kern w:val="2"/>
      <w:sz w:val="32"/>
      <w:szCs w:val="32"/>
    </w:rPr>
  </w:style>
  <w:style w:type="character" w:customStyle="1" w:styleId="327">
    <w:name w:val="副标题 Char"/>
    <w:basedOn w:val="49"/>
    <w:link w:val="33"/>
    <w:autoRedefine/>
    <w:qFormat/>
    <w:uiPriority w:val="11"/>
    <w:rPr>
      <w:rFonts w:ascii="Cambria" w:hAnsi="Cambria" w:cs="Times New Roman"/>
      <w:b/>
      <w:bCs/>
      <w:kern w:val="28"/>
      <w:sz w:val="32"/>
      <w:szCs w:val="32"/>
    </w:rPr>
  </w:style>
  <w:style w:type="character" w:customStyle="1" w:styleId="328">
    <w:name w:val="副标题 Char1"/>
    <w:basedOn w:val="49"/>
    <w:link w:val="33"/>
    <w:autoRedefine/>
    <w:qFormat/>
    <w:locked/>
    <w:uiPriority w:val="11"/>
    <w:rPr>
      <w:rFonts w:ascii="Arial" w:hAnsi="Arial" w:cs="Arial"/>
      <w:b/>
      <w:bCs/>
      <w:kern w:val="28"/>
      <w:sz w:val="32"/>
      <w:szCs w:val="32"/>
    </w:rPr>
  </w:style>
  <w:style w:type="character" w:customStyle="1" w:styleId="329">
    <w:name w:val="正文首行缩进 2 Char"/>
    <w:basedOn w:val="70"/>
    <w:link w:val="46"/>
    <w:autoRedefine/>
    <w:qFormat/>
    <w:uiPriority w:val="0"/>
    <w:rPr>
      <w:kern w:val="2"/>
      <w:sz w:val="21"/>
      <w:szCs w:val="24"/>
    </w:rPr>
  </w:style>
  <w:style w:type="character" w:customStyle="1" w:styleId="330">
    <w:name w:val="正文首行缩进 2 Char1"/>
    <w:basedOn w:val="70"/>
    <w:link w:val="46"/>
    <w:autoRedefine/>
    <w:qFormat/>
    <w:locked/>
    <w:uiPriority w:val="0"/>
    <w:rPr>
      <w:rFonts w:ascii="Calibri" w:hAnsi="Calibri"/>
      <w:b/>
      <w:kern w:val="2"/>
      <w:sz w:val="21"/>
      <w:szCs w:val="22"/>
    </w:rPr>
  </w:style>
  <w:style w:type="character" w:customStyle="1" w:styleId="331">
    <w:name w:val="注释标题 Char"/>
    <w:basedOn w:val="49"/>
    <w:link w:val="12"/>
    <w:autoRedefine/>
    <w:qFormat/>
    <w:uiPriority w:val="99"/>
    <w:rPr>
      <w:kern w:val="2"/>
      <w:sz w:val="21"/>
      <w:szCs w:val="24"/>
    </w:rPr>
  </w:style>
  <w:style w:type="character" w:customStyle="1" w:styleId="332">
    <w:name w:val="注释标题 Char1"/>
    <w:link w:val="12"/>
    <w:autoRedefine/>
    <w:qFormat/>
    <w:locked/>
    <w:uiPriority w:val="0"/>
    <w:rPr>
      <w:kern w:val="2"/>
      <w:sz w:val="21"/>
      <w:szCs w:val="24"/>
    </w:rPr>
  </w:style>
  <w:style w:type="character" w:customStyle="1" w:styleId="333">
    <w:name w:val="无间隔 Char"/>
    <w:link w:val="334"/>
    <w:autoRedefine/>
    <w:qFormat/>
    <w:locked/>
    <w:uiPriority w:val="1"/>
    <w:rPr>
      <w:rFonts w:ascii="Calibri" w:hAnsi="Calibri"/>
      <w:b/>
      <w:sz w:val="22"/>
      <w:szCs w:val="22"/>
      <w:lang w:val="en-US" w:eastAsia="zh-CN" w:bidi="ar-SA"/>
    </w:rPr>
  </w:style>
  <w:style w:type="paragraph" w:styleId="334">
    <w:name w:val="No Spacing"/>
    <w:link w:val="333"/>
    <w:autoRedefine/>
    <w:qFormat/>
    <w:uiPriority w:val="1"/>
    <w:pPr>
      <w:widowControl w:val="0"/>
      <w:jc w:val="both"/>
    </w:pPr>
    <w:rPr>
      <w:rFonts w:ascii="Calibri" w:hAnsi="Calibri" w:eastAsia="宋体" w:cs="Times New Roman"/>
      <w:b/>
      <w:sz w:val="22"/>
      <w:szCs w:val="22"/>
      <w:lang w:val="en-US" w:eastAsia="zh-CN" w:bidi="ar-SA"/>
    </w:rPr>
  </w:style>
  <w:style w:type="character" w:customStyle="1" w:styleId="335">
    <w:name w:val="正文修改 Char"/>
    <w:link w:val="336"/>
    <w:autoRedefine/>
    <w:qFormat/>
    <w:locked/>
    <w:uiPriority w:val="0"/>
    <w:rPr>
      <w:kern w:val="2"/>
      <w:sz w:val="24"/>
      <w:szCs w:val="24"/>
      <w:lang w:val="en-US" w:eastAsia="zh-CN" w:bidi="ar-SA"/>
    </w:rPr>
  </w:style>
  <w:style w:type="paragraph" w:customStyle="1" w:styleId="336">
    <w:name w:val="正文修改"/>
    <w:next w:val="1"/>
    <w:link w:val="335"/>
    <w:autoRedefine/>
    <w:qFormat/>
    <w:uiPriority w:val="0"/>
    <w:pPr>
      <w:adjustRightInd w:val="0"/>
      <w:spacing w:line="360" w:lineRule="auto"/>
      <w:ind w:firstLine="200" w:firstLineChars="200"/>
      <w:jc w:val="both"/>
    </w:pPr>
    <w:rPr>
      <w:rFonts w:ascii="Times New Roman" w:hAnsi="Times New Roman" w:eastAsia="宋体" w:cs="Times New Roman"/>
      <w:kern w:val="2"/>
      <w:sz w:val="24"/>
      <w:szCs w:val="24"/>
      <w:lang w:val="en-US" w:eastAsia="zh-CN" w:bidi="ar-SA"/>
    </w:rPr>
  </w:style>
  <w:style w:type="character" w:customStyle="1" w:styleId="337">
    <w:name w:val="表文字 Char1"/>
    <w:link w:val="338"/>
    <w:autoRedefine/>
    <w:qFormat/>
    <w:locked/>
    <w:uiPriority w:val="0"/>
    <w:rPr>
      <w:kern w:val="2"/>
      <w:sz w:val="21"/>
    </w:rPr>
  </w:style>
  <w:style w:type="paragraph" w:customStyle="1" w:styleId="338">
    <w:name w:val="表文字"/>
    <w:basedOn w:val="1"/>
    <w:link w:val="337"/>
    <w:autoRedefine/>
    <w:qFormat/>
    <w:uiPriority w:val="0"/>
    <w:pPr>
      <w:widowControl/>
      <w:spacing w:line="480" w:lineRule="exact"/>
      <w:jc w:val="center"/>
    </w:pPr>
    <w:rPr>
      <w:szCs w:val="20"/>
    </w:rPr>
  </w:style>
  <w:style w:type="character" w:customStyle="1" w:styleId="339">
    <w:name w:val="表格正文 Char Char"/>
    <w:link w:val="340"/>
    <w:autoRedefine/>
    <w:qFormat/>
    <w:locked/>
    <w:uiPriority w:val="0"/>
    <w:rPr>
      <w:rFonts w:ascii="宋体" w:hAnsi="宋体"/>
      <w:b/>
      <w:kern w:val="2"/>
      <w:sz w:val="24"/>
      <w:lang w:val="en-US" w:eastAsia="zh-CN" w:bidi="ar-SA"/>
    </w:rPr>
  </w:style>
  <w:style w:type="paragraph" w:customStyle="1" w:styleId="340">
    <w:name w:val="表格正文"/>
    <w:link w:val="339"/>
    <w:autoRedefine/>
    <w:qFormat/>
    <w:uiPriority w:val="0"/>
    <w:pPr>
      <w:widowControl w:val="0"/>
      <w:spacing w:line="360" w:lineRule="exact"/>
      <w:jc w:val="center"/>
    </w:pPr>
    <w:rPr>
      <w:rFonts w:ascii="宋体" w:hAnsi="宋体" w:eastAsia="宋体" w:cs="Times New Roman"/>
      <w:b/>
      <w:kern w:val="2"/>
      <w:sz w:val="24"/>
      <w:lang w:val="en-US" w:eastAsia="zh-CN" w:bidi="ar-SA"/>
    </w:rPr>
  </w:style>
  <w:style w:type="character" w:customStyle="1" w:styleId="341">
    <w:name w:val="正文(首行缩进) Char"/>
    <w:link w:val="342"/>
    <w:autoRedefine/>
    <w:qFormat/>
    <w:locked/>
    <w:uiPriority w:val="0"/>
    <w:rPr>
      <w:rFonts w:ascii="Calibri" w:hAnsi="Calibri"/>
      <w:b/>
      <w:snapToGrid w:val="0"/>
      <w:color w:val="000000"/>
      <w:sz w:val="24"/>
      <w:szCs w:val="22"/>
    </w:rPr>
  </w:style>
  <w:style w:type="paragraph" w:customStyle="1" w:styleId="342">
    <w:name w:val="正文(首行缩进)"/>
    <w:basedOn w:val="1"/>
    <w:link w:val="341"/>
    <w:autoRedefine/>
    <w:qFormat/>
    <w:uiPriority w:val="0"/>
    <w:pPr>
      <w:snapToGrid w:val="0"/>
      <w:spacing w:line="360" w:lineRule="auto"/>
      <w:ind w:firstLine="540" w:firstLineChars="225"/>
    </w:pPr>
    <w:rPr>
      <w:rFonts w:ascii="Calibri" w:hAnsi="Calibri"/>
      <w:b/>
      <w:snapToGrid w:val="0"/>
      <w:color w:val="000000"/>
      <w:kern w:val="0"/>
      <w:sz w:val="24"/>
      <w:szCs w:val="22"/>
    </w:rPr>
  </w:style>
  <w:style w:type="character" w:customStyle="1" w:styleId="343">
    <w:name w:val="样式 正文缩进正文（首行缩进两字） Char Char Char Char Char Char Char文本正文缩进 Ch... Char"/>
    <w:link w:val="344"/>
    <w:autoRedefine/>
    <w:qFormat/>
    <w:locked/>
    <w:uiPriority w:val="0"/>
    <w:rPr>
      <w:rFonts w:ascii="宋体" w:hAnsi="宋体"/>
      <w:b/>
      <w:bCs/>
      <w:kern w:val="2"/>
      <w:sz w:val="24"/>
      <w:szCs w:val="24"/>
    </w:rPr>
  </w:style>
  <w:style w:type="paragraph" w:customStyle="1" w:styleId="344">
    <w:name w:val="样式 正文缩进正文（首行缩进两字） Char Char Char Char Char Char Char文本正文缩进 Ch..."/>
    <w:basedOn w:val="14"/>
    <w:link w:val="343"/>
    <w:autoRedefine/>
    <w:qFormat/>
    <w:uiPriority w:val="0"/>
    <w:pPr>
      <w:tabs>
        <w:tab w:val="left" w:pos="1800"/>
      </w:tabs>
      <w:adjustRightInd w:val="0"/>
      <w:snapToGrid w:val="0"/>
      <w:spacing w:line="460" w:lineRule="exact"/>
      <w:ind w:firstLine="200" w:firstLineChars="200"/>
    </w:pPr>
    <w:rPr>
      <w:rFonts w:ascii="宋体" w:hAnsi="宋体"/>
      <w:b/>
      <w:bCs/>
      <w:sz w:val="24"/>
      <w:szCs w:val="24"/>
    </w:rPr>
  </w:style>
  <w:style w:type="character" w:customStyle="1" w:styleId="345">
    <w:name w:val="表格内容5号 Char"/>
    <w:link w:val="346"/>
    <w:autoRedefine/>
    <w:qFormat/>
    <w:locked/>
    <w:uiPriority w:val="0"/>
    <w:rPr>
      <w:kern w:val="2"/>
      <w:sz w:val="21"/>
      <w:szCs w:val="24"/>
      <w:lang w:val="en-US" w:eastAsia="zh-CN" w:bidi="ar-SA"/>
    </w:rPr>
  </w:style>
  <w:style w:type="paragraph" w:customStyle="1" w:styleId="346">
    <w:name w:val="表格内容5号"/>
    <w:link w:val="345"/>
    <w:autoRedefine/>
    <w:qFormat/>
    <w:uiPriority w:val="0"/>
    <w:pPr>
      <w:widowControl w:val="0"/>
      <w:snapToGrid w:val="0"/>
      <w:spacing w:line="300" w:lineRule="atLeast"/>
      <w:jc w:val="center"/>
    </w:pPr>
    <w:rPr>
      <w:rFonts w:ascii="Times New Roman" w:hAnsi="Times New Roman" w:eastAsia="宋体" w:cs="Times New Roman"/>
      <w:kern w:val="2"/>
      <w:sz w:val="21"/>
      <w:szCs w:val="24"/>
      <w:lang w:val="en-US" w:eastAsia="zh-CN" w:bidi="ar-SA"/>
    </w:rPr>
  </w:style>
  <w:style w:type="character" w:customStyle="1" w:styleId="347">
    <w:name w:val="4级标题 Char"/>
    <w:link w:val="348"/>
    <w:autoRedefine/>
    <w:qFormat/>
    <w:locked/>
    <w:uiPriority w:val="0"/>
    <w:rPr>
      <w:rFonts w:ascii="Arial" w:hAnsi="Arial" w:eastAsia="黑体" w:cs="Arial"/>
      <w:b/>
      <w:kern w:val="2"/>
      <w:sz w:val="24"/>
      <w:szCs w:val="24"/>
      <w:lang w:val="en-US" w:eastAsia="zh-CN" w:bidi="ar-SA"/>
    </w:rPr>
  </w:style>
  <w:style w:type="paragraph" w:customStyle="1" w:styleId="348">
    <w:name w:val="4级标题"/>
    <w:next w:val="307"/>
    <w:link w:val="347"/>
    <w:autoRedefine/>
    <w:qFormat/>
    <w:uiPriority w:val="0"/>
    <w:pPr>
      <w:spacing w:line="480" w:lineRule="exact"/>
      <w:ind w:firstLine="880" w:firstLineChars="200"/>
      <w:outlineLvl w:val="3"/>
    </w:pPr>
    <w:rPr>
      <w:rFonts w:ascii="Arial" w:hAnsi="Arial" w:eastAsia="黑体" w:cs="Arial"/>
      <w:b/>
      <w:kern w:val="2"/>
      <w:sz w:val="24"/>
      <w:szCs w:val="24"/>
      <w:lang w:val="en-US" w:eastAsia="zh-CN" w:bidi="ar-SA"/>
    </w:rPr>
  </w:style>
  <w:style w:type="character" w:customStyle="1" w:styleId="349">
    <w:name w:val="图表标题 Char"/>
    <w:link w:val="350"/>
    <w:autoRedefine/>
    <w:qFormat/>
    <w:locked/>
    <w:uiPriority w:val="0"/>
    <w:rPr>
      <w:rFonts w:ascii="楷体_GB2312" w:eastAsia="楷体_GB2312"/>
      <w:kern w:val="2"/>
      <w:szCs w:val="24"/>
      <w:lang w:val="en-US" w:eastAsia="zh-CN" w:bidi="ar-SA"/>
    </w:rPr>
  </w:style>
  <w:style w:type="paragraph" w:customStyle="1" w:styleId="350">
    <w:name w:val="图表标题"/>
    <w:link w:val="349"/>
    <w:autoRedefine/>
    <w:qFormat/>
    <w:uiPriority w:val="0"/>
    <w:pPr>
      <w:snapToGrid w:val="0"/>
      <w:jc w:val="center"/>
    </w:pPr>
    <w:rPr>
      <w:rFonts w:ascii="楷体_GB2312" w:hAnsi="Times New Roman" w:eastAsia="楷体_GB2312" w:cs="Times New Roman"/>
      <w:kern w:val="2"/>
      <w:szCs w:val="24"/>
      <w:lang w:val="en-US" w:eastAsia="zh-CN" w:bidi="ar-SA"/>
    </w:rPr>
  </w:style>
  <w:style w:type="character" w:customStyle="1" w:styleId="351">
    <w:name w:val="a正文排版格式 Char Char"/>
    <w:link w:val="352"/>
    <w:autoRedefine/>
    <w:qFormat/>
    <w:locked/>
    <w:uiPriority w:val="0"/>
    <w:rPr>
      <w:rFonts w:ascii="仿宋_GB2312" w:eastAsia="仿宋_GB2312"/>
      <w:sz w:val="28"/>
      <w:szCs w:val="28"/>
    </w:rPr>
  </w:style>
  <w:style w:type="paragraph" w:customStyle="1" w:styleId="352">
    <w:name w:val="a正文排版格式"/>
    <w:basedOn w:val="1"/>
    <w:link w:val="351"/>
    <w:autoRedefine/>
    <w:qFormat/>
    <w:uiPriority w:val="0"/>
    <w:pPr>
      <w:tabs>
        <w:tab w:val="left" w:pos="2520"/>
      </w:tabs>
      <w:ind w:firstLine="560" w:firstLineChars="200"/>
    </w:pPr>
    <w:rPr>
      <w:rFonts w:ascii="仿宋_GB2312" w:eastAsia="仿宋_GB2312"/>
      <w:kern w:val="0"/>
      <w:sz w:val="28"/>
      <w:szCs w:val="28"/>
    </w:rPr>
  </w:style>
  <w:style w:type="character" w:customStyle="1" w:styleId="353">
    <w:name w:val="二铺正文 Char"/>
    <w:link w:val="354"/>
    <w:autoRedefine/>
    <w:qFormat/>
    <w:locked/>
    <w:uiPriority w:val="0"/>
    <w:rPr>
      <w:rFonts w:ascii="宋体" w:hAnsi="Courier New" w:cs="Courier New"/>
      <w:b/>
      <w:kern w:val="2"/>
      <w:sz w:val="21"/>
      <w:szCs w:val="21"/>
    </w:rPr>
  </w:style>
  <w:style w:type="paragraph" w:customStyle="1" w:styleId="354">
    <w:name w:val="二铺正文"/>
    <w:basedOn w:val="1"/>
    <w:link w:val="353"/>
    <w:autoRedefine/>
    <w:qFormat/>
    <w:uiPriority w:val="0"/>
    <w:pPr>
      <w:spacing w:line="440" w:lineRule="exact"/>
      <w:ind w:firstLine="422" w:firstLineChars="200"/>
      <w:jc w:val="center"/>
    </w:pPr>
    <w:rPr>
      <w:rFonts w:ascii="宋体" w:hAnsi="Courier New"/>
      <w:b/>
      <w:szCs w:val="21"/>
    </w:rPr>
  </w:style>
  <w:style w:type="character" w:customStyle="1" w:styleId="355">
    <w:name w:val="正文28磅 Char Char Char"/>
    <w:link w:val="356"/>
    <w:autoRedefine/>
    <w:qFormat/>
    <w:locked/>
    <w:uiPriority w:val="0"/>
    <w:rPr>
      <w:rFonts w:ascii="宋体" w:hAnsi="宋体" w:cs="宋体"/>
      <w:kern w:val="2"/>
      <w:sz w:val="24"/>
      <w:szCs w:val="28"/>
      <w:lang w:val="en-US" w:eastAsia="zh-CN" w:bidi="ar-SA"/>
    </w:rPr>
  </w:style>
  <w:style w:type="paragraph" w:customStyle="1" w:styleId="356">
    <w:name w:val="正文28磅 Char Char"/>
    <w:link w:val="355"/>
    <w:autoRedefine/>
    <w:qFormat/>
    <w:uiPriority w:val="0"/>
    <w:pPr>
      <w:widowControl w:val="0"/>
      <w:spacing w:line="460" w:lineRule="exact"/>
      <w:ind w:firstLine="480" w:firstLineChars="200"/>
    </w:pPr>
    <w:rPr>
      <w:rFonts w:ascii="宋体" w:hAnsi="宋体" w:eastAsia="宋体" w:cs="宋体"/>
      <w:kern w:val="2"/>
      <w:sz w:val="24"/>
      <w:szCs w:val="28"/>
      <w:lang w:val="en-US" w:eastAsia="zh-CN" w:bidi="ar-SA"/>
    </w:rPr>
  </w:style>
  <w:style w:type="character" w:customStyle="1" w:styleId="357">
    <w:name w:val="样式 (符号) 宋体 小四 首行缩进:  0.85 厘米 行距: 固定值 24 磅 Char"/>
    <w:link w:val="358"/>
    <w:autoRedefine/>
    <w:qFormat/>
    <w:locked/>
    <w:uiPriority w:val="0"/>
    <w:rPr>
      <w:rFonts w:ascii="宋体" w:hAnsi="宋体" w:cs="宋体"/>
      <w:kern w:val="2"/>
      <w:sz w:val="24"/>
    </w:rPr>
  </w:style>
  <w:style w:type="paragraph" w:customStyle="1" w:styleId="358">
    <w:name w:val="样式 (符号) 宋体 小四 首行缩进:  0.85 厘米 行距: 固定值 24 磅"/>
    <w:basedOn w:val="1"/>
    <w:link w:val="357"/>
    <w:autoRedefine/>
    <w:qFormat/>
    <w:uiPriority w:val="0"/>
    <w:pPr>
      <w:spacing w:line="480" w:lineRule="exact"/>
      <w:ind w:firstLine="200" w:firstLineChars="200"/>
    </w:pPr>
    <w:rPr>
      <w:rFonts w:ascii="宋体" w:hAnsi="宋体"/>
      <w:sz w:val="24"/>
      <w:szCs w:val="20"/>
    </w:rPr>
  </w:style>
  <w:style w:type="character" w:customStyle="1" w:styleId="359">
    <w:name w:val="采用正文格式 Char"/>
    <w:link w:val="360"/>
    <w:autoRedefine/>
    <w:qFormat/>
    <w:locked/>
    <w:uiPriority w:val="0"/>
    <w:rPr>
      <w:rFonts w:ascii="宋体" w:hAnsi="宋体" w:cs="宋体"/>
      <w:kern w:val="2"/>
      <w:sz w:val="24"/>
    </w:rPr>
  </w:style>
  <w:style w:type="paragraph" w:customStyle="1" w:styleId="360">
    <w:name w:val="采用正文格式"/>
    <w:basedOn w:val="1"/>
    <w:link w:val="359"/>
    <w:autoRedefine/>
    <w:qFormat/>
    <w:uiPriority w:val="0"/>
    <w:pPr>
      <w:spacing w:line="500" w:lineRule="exact"/>
      <w:ind w:firstLine="200" w:firstLineChars="200"/>
    </w:pPr>
    <w:rPr>
      <w:rFonts w:ascii="宋体" w:hAnsi="宋体"/>
      <w:sz w:val="24"/>
      <w:szCs w:val="20"/>
    </w:rPr>
  </w:style>
  <w:style w:type="character" w:customStyle="1" w:styleId="361">
    <w:name w:val="样式 正文文本缩进 + Char"/>
    <w:link w:val="362"/>
    <w:autoRedefine/>
    <w:qFormat/>
    <w:locked/>
    <w:uiPriority w:val="0"/>
    <w:rPr>
      <w:rFonts w:ascii="宋体" w:hAnsi="宋体"/>
      <w:sz w:val="24"/>
      <w:szCs w:val="21"/>
    </w:rPr>
  </w:style>
  <w:style w:type="paragraph" w:customStyle="1" w:styleId="362">
    <w:name w:val="样式 正文文本缩进 +"/>
    <w:basedOn w:val="19"/>
    <w:link w:val="361"/>
    <w:autoRedefine/>
    <w:qFormat/>
    <w:uiPriority w:val="0"/>
    <w:pPr>
      <w:widowControl/>
      <w:autoSpaceDE w:val="0"/>
      <w:autoSpaceDN w:val="0"/>
      <w:adjustRightInd w:val="0"/>
      <w:snapToGrid w:val="0"/>
      <w:spacing w:after="0" w:line="360" w:lineRule="auto"/>
      <w:ind w:left="0" w:leftChars="0" w:firstLine="192" w:firstLineChars="192"/>
      <w:jc w:val="left"/>
    </w:pPr>
    <w:rPr>
      <w:rFonts w:ascii="宋体" w:hAnsi="宋体"/>
      <w:szCs w:val="21"/>
    </w:rPr>
  </w:style>
  <w:style w:type="character" w:customStyle="1" w:styleId="363">
    <w:name w:val="表头一 Char"/>
    <w:link w:val="364"/>
    <w:autoRedefine/>
    <w:qFormat/>
    <w:locked/>
    <w:uiPriority w:val="0"/>
    <w:rPr>
      <w:rFonts w:ascii="仿宋_GB2312" w:eastAsia="黑体"/>
      <w:b/>
      <w:color w:val="000000"/>
      <w:kern w:val="2"/>
      <w:sz w:val="24"/>
      <w:szCs w:val="28"/>
    </w:rPr>
  </w:style>
  <w:style w:type="paragraph" w:customStyle="1" w:styleId="364">
    <w:name w:val="表头一"/>
    <w:basedOn w:val="1"/>
    <w:link w:val="363"/>
    <w:autoRedefine/>
    <w:qFormat/>
    <w:uiPriority w:val="0"/>
    <w:pPr>
      <w:spacing w:beforeLines="50" w:line="360" w:lineRule="auto"/>
      <w:jc w:val="center"/>
    </w:pPr>
    <w:rPr>
      <w:rFonts w:ascii="仿宋_GB2312" w:eastAsia="黑体"/>
      <w:b/>
      <w:color w:val="000000"/>
      <w:sz w:val="24"/>
      <w:szCs w:val="28"/>
    </w:rPr>
  </w:style>
  <w:style w:type="character" w:customStyle="1" w:styleId="365">
    <w:name w:val="应用正文 Char"/>
    <w:link w:val="366"/>
    <w:autoRedefine/>
    <w:qFormat/>
    <w:locked/>
    <w:uiPriority w:val="0"/>
    <w:rPr>
      <w:rFonts w:ascii="仿宋_GB2312" w:eastAsia="仿宋_GB2312"/>
      <w:kern w:val="2"/>
      <w:sz w:val="28"/>
    </w:rPr>
  </w:style>
  <w:style w:type="paragraph" w:customStyle="1" w:styleId="366">
    <w:name w:val="应用正文"/>
    <w:basedOn w:val="1"/>
    <w:link w:val="365"/>
    <w:autoRedefine/>
    <w:qFormat/>
    <w:uiPriority w:val="0"/>
    <w:pPr>
      <w:spacing w:line="360" w:lineRule="auto"/>
      <w:ind w:firstLine="560" w:firstLineChars="200"/>
    </w:pPr>
    <w:rPr>
      <w:rFonts w:ascii="仿宋_GB2312" w:eastAsia="仿宋_GB2312"/>
      <w:sz w:val="28"/>
      <w:szCs w:val="20"/>
    </w:rPr>
  </w:style>
  <w:style w:type="character" w:customStyle="1" w:styleId="367">
    <w:name w:val="正文文本最新 Char Char Char Char1 Char Char Char Char Char Char1 Char"/>
    <w:link w:val="368"/>
    <w:autoRedefine/>
    <w:qFormat/>
    <w:locked/>
    <w:uiPriority w:val="0"/>
    <w:rPr>
      <w:bCs/>
      <w:kern w:val="2"/>
      <w:sz w:val="28"/>
      <w:szCs w:val="24"/>
    </w:rPr>
  </w:style>
  <w:style w:type="paragraph" w:customStyle="1" w:styleId="368">
    <w:name w:val="正文文本最新 Char Char Char Char1 Char Char Char Char Char Char1"/>
    <w:basedOn w:val="1"/>
    <w:link w:val="367"/>
    <w:autoRedefine/>
    <w:qFormat/>
    <w:uiPriority w:val="0"/>
    <w:pPr>
      <w:spacing w:line="360" w:lineRule="auto"/>
      <w:ind w:firstLine="200" w:firstLineChars="200"/>
    </w:pPr>
    <w:rPr>
      <w:bCs/>
      <w:sz w:val="28"/>
    </w:rPr>
  </w:style>
  <w:style w:type="character" w:customStyle="1" w:styleId="369">
    <w:name w:val="表头常用 字符"/>
    <w:link w:val="370"/>
    <w:autoRedefine/>
    <w:qFormat/>
    <w:locked/>
    <w:uiPriority w:val="0"/>
    <w:rPr>
      <w:rFonts w:ascii="黑体" w:hAnsi="黑体" w:eastAsia="黑体"/>
      <w:kern w:val="2"/>
      <w:sz w:val="21"/>
      <w:szCs w:val="21"/>
    </w:rPr>
  </w:style>
  <w:style w:type="paragraph" w:customStyle="1" w:styleId="370">
    <w:name w:val="表头常用"/>
    <w:basedOn w:val="1"/>
    <w:link w:val="369"/>
    <w:autoRedefine/>
    <w:qFormat/>
    <w:uiPriority w:val="0"/>
    <w:pPr>
      <w:widowControl/>
      <w:spacing w:line="500" w:lineRule="exact"/>
      <w:jc w:val="center"/>
    </w:pPr>
    <w:rPr>
      <w:rFonts w:ascii="黑体" w:hAnsi="黑体" w:eastAsia="黑体"/>
      <w:szCs w:val="21"/>
    </w:rPr>
  </w:style>
  <w:style w:type="paragraph" w:customStyle="1" w:styleId="371">
    <w:name w:val="我的正文"/>
    <w:basedOn w:val="1"/>
    <w:link w:val="374"/>
    <w:autoRedefine/>
    <w:qFormat/>
    <w:uiPriority w:val="0"/>
    <w:pPr>
      <w:spacing w:line="460" w:lineRule="exact"/>
      <w:ind w:firstLine="482"/>
    </w:pPr>
    <w:rPr>
      <w:sz w:val="24"/>
    </w:rPr>
  </w:style>
  <w:style w:type="paragraph" w:customStyle="1" w:styleId="372">
    <w:name w:val="xl29"/>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line="252" w:lineRule="auto"/>
      <w:jc w:val="left"/>
      <w:textAlignment w:val="top"/>
    </w:pPr>
    <w:rPr>
      <w:rFonts w:ascii="Arial Unicode MS" w:hAnsi="Arial Unicode MS" w:eastAsia="Arial Unicode MS" w:cs="Arial Unicode MS"/>
      <w:kern w:val="0"/>
      <w:sz w:val="24"/>
      <w:szCs w:val="22"/>
      <w:lang w:eastAsia="en-US" w:bidi="en-US"/>
    </w:rPr>
  </w:style>
  <w:style w:type="character" w:customStyle="1" w:styleId="373">
    <w:name w:val="电子邮件签名 Char"/>
    <w:basedOn w:val="49"/>
    <w:link w:val="13"/>
    <w:autoRedefine/>
    <w:qFormat/>
    <w:uiPriority w:val="0"/>
    <w:rPr>
      <w:color w:val="000000"/>
      <w:kern w:val="21"/>
      <w:sz w:val="24"/>
      <w:lang w:val="de-DE"/>
    </w:rPr>
  </w:style>
  <w:style w:type="character" w:customStyle="1" w:styleId="374">
    <w:name w:val="我的正文 Char Char"/>
    <w:link w:val="371"/>
    <w:autoRedefine/>
    <w:qFormat/>
    <w:uiPriority w:val="0"/>
    <w:rPr>
      <w:kern w:val="2"/>
      <w:sz w:val="24"/>
      <w:szCs w:val="24"/>
    </w:rPr>
  </w:style>
  <w:style w:type="character" w:customStyle="1" w:styleId="375">
    <w:name w:val="arr"/>
    <w:autoRedefine/>
    <w:qFormat/>
    <w:uiPriority w:val="0"/>
    <w:rPr>
      <w:rFonts w:ascii="Times New Roman" w:hAnsi="Times New Roman" w:eastAsia="宋体" w:cs="Times New Roman"/>
    </w:rPr>
  </w:style>
  <w:style w:type="paragraph" w:customStyle="1" w:styleId="376">
    <w:name w:val="1表格"/>
    <w:autoRedefine/>
    <w:qFormat/>
    <w:uiPriority w:val="0"/>
    <w:pPr>
      <w:widowControl w:val="0"/>
      <w:snapToGrid w:val="0"/>
      <w:jc w:val="center"/>
      <w:outlineLvl w:val="4"/>
    </w:pPr>
    <w:rPr>
      <w:rFonts w:ascii="Times New Roman" w:hAnsi="Times New Roman" w:eastAsia="宋体" w:cs="Times New Roman"/>
      <w:spacing w:val="4"/>
      <w:kern w:val="2"/>
      <w:sz w:val="21"/>
      <w:szCs w:val="24"/>
      <w:lang w:val="en-US" w:eastAsia="zh-CN" w:bidi="ar-SA"/>
    </w:rPr>
  </w:style>
  <w:style w:type="paragraph" w:customStyle="1" w:styleId="377">
    <w:name w:val="Char Char Char3 Char"/>
    <w:basedOn w:val="1"/>
    <w:autoRedefine/>
    <w:qFormat/>
    <w:uiPriority w:val="0"/>
    <w:pPr>
      <w:spacing w:line="360" w:lineRule="auto"/>
      <w:ind w:firstLine="200" w:firstLineChars="200"/>
    </w:pPr>
    <w:rPr>
      <w:szCs w:val="22"/>
    </w:rPr>
  </w:style>
  <w:style w:type="paragraph" w:customStyle="1" w:styleId="378">
    <w:name w:val="Char Char Char Char Char Char Char Char Char Char Char Char Char1"/>
    <w:basedOn w:val="1"/>
    <w:autoRedefine/>
    <w:qFormat/>
    <w:uiPriority w:val="0"/>
    <w:rPr>
      <w:rFonts w:ascii="Tahoma" w:hAnsi="Tahoma"/>
      <w:sz w:val="24"/>
      <w:szCs w:val="20"/>
    </w:rPr>
  </w:style>
  <w:style w:type="character" w:customStyle="1" w:styleId="379">
    <w:name w:val="n08wdg4"/>
    <w:basedOn w:val="49"/>
    <w:autoRedefine/>
    <w:qFormat/>
    <w:uiPriority w:val="0"/>
  </w:style>
  <w:style w:type="character" w:customStyle="1" w:styleId="380">
    <w:name w:val="n94453b"/>
    <w:basedOn w:val="49"/>
    <w:autoRedefine/>
    <w:qFormat/>
    <w:uiPriority w:val="0"/>
  </w:style>
  <w:style w:type="character" w:customStyle="1" w:styleId="381">
    <w:name w:val="ypdn6ou"/>
    <w:basedOn w:val="49"/>
    <w:autoRedefine/>
    <w:qFormat/>
    <w:uiPriority w:val="0"/>
  </w:style>
  <w:style w:type="character" w:customStyle="1" w:styleId="382">
    <w:name w:val="jxw6x6"/>
    <w:basedOn w:val="49"/>
    <w:autoRedefine/>
    <w:qFormat/>
    <w:uiPriority w:val="0"/>
  </w:style>
  <w:style w:type="paragraph" w:customStyle="1" w:styleId="383">
    <w:name w:val="表格名称"/>
    <w:autoRedefine/>
    <w:qFormat/>
    <w:uiPriority w:val="30"/>
    <w:pPr>
      <w:spacing w:line="360" w:lineRule="auto"/>
      <w:jc w:val="center"/>
    </w:pPr>
    <w:rPr>
      <w:rFonts w:ascii="Times New Roman" w:hAnsi="Times New Roman" w:eastAsia="仿宋_GB2312" w:cs="Times New Roman"/>
      <w:b/>
      <w:color w:val="000000"/>
      <w:sz w:val="24"/>
      <w:szCs w:val="21"/>
      <w:lang w:val="en-US" w:eastAsia="zh-CN" w:bidi="ar-SA"/>
    </w:rPr>
  </w:style>
  <w:style w:type="paragraph" w:customStyle="1" w:styleId="384">
    <w:name w:val="WPSOffice手动目录 1"/>
    <w:qFormat/>
    <w:uiPriority w:val="0"/>
    <w:pPr>
      <w:ind w:leftChars="0"/>
    </w:pPr>
    <w:rPr>
      <w:rFonts w:ascii="Times New Roman" w:hAnsi="Times New Roman" w:eastAsia="宋体" w:cs="Times New Roman"/>
      <w:sz w:val="20"/>
      <w:szCs w:val="20"/>
    </w:rPr>
  </w:style>
</w:styles>
</file>

<file path=word/_rels/document.xml.rels><?xml version="1.0" encoding="UTF-8" standalone="yes"?>
<Relationships xmlns="http://schemas.openxmlformats.org/package/2006/relationships"><Relationship Id="rId9" Type="http://schemas.openxmlformats.org/officeDocument/2006/relationships/image" Target="media/image2.jpeg"/><Relationship Id="rId8" Type="http://schemas.openxmlformats.org/officeDocument/2006/relationships/image" Target="media/image1.jpeg"/><Relationship Id="rId7" Type="http://schemas.openxmlformats.org/officeDocument/2006/relationships/theme" Target="theme/theme1.xml"/><Relationship Id="rId6" Type="http://schemas.openxmlformats.org/officeDocument/2006/relationships/footer" Target="footer4.xml"/><Relationship Id="rId58" Type="http://schemas.openxmlformats.org/officeDocument/2006/relationships/fontTable" Target="fontTable.xml"/><Relationship Id="rId57" Type="http://schemas.openxmlformats.org/officeDocument/2006/relationships/customXml" Target="../customXml/item1.xml"/><Relationship Id="rId56" Type="http://schemas.openxmlformats.org/officeDocument/2006/relationships/image" Target="media/image46.png"/><Relationship Id="rId55" Type="http://schemas.openxmlformats.org/officeDocument/2006/relationships/image" Target="media/image45.png"/><Relationship Id="rId54" Type="http://schemas.openxmlformats.org/officeDocument/2006/relationships/image" Target="media/image44.png"/><Relationship Id="rId53" Type="http://schemas.openxmlformats.org/officeDocument/2006/relationships/image" Target="media/image43.png"/><Relationship Id="rId52" Type="http://schemas.openxmlformats.org/officeDocument/2006/relationships/image" Target="media/image42.jpeg"/><Relationship Id="rId51" Type="http://schemas.openxmlformats.org/officeDocument/2006/relationships/image" Target="media/image41.jpeg"/><Relationship Id="rId50" Type="http://schemas.openxmlformats.org/officeDocument/2006/relationships/image" Target="media/image40.jpeg"/><Relationship Id="rId5" Type="http://schemas.openxmlformats.org/officeDocument/2006/relationships/footer" Target="footer3.xml"/><Relationship Id="rId49" Type="http://schemas.openxmlformats.org/officeDocument/2006/relationships/image" Target="media/image39.jpeg"/><Relationship Id="rId48" Type="http://schemas.openxmlformats.org/officeDocument/2006/relationships/image" Target="media/image38.png"/><Relationship Id="rId47" Type="http://schemas.openxmlformats.org/officeDocument/2006/relationships/image" Target="media/image37.png"/><Relationship Id="rId46" Type="http://schemas.openxmlformats.org/officeDocument/2006/relationships/image" Target="media/image36.png"/><Relationship Id="rId45" Type="http://schemas.openxmlformats.org/officeDocument/2006/relationships/image" Target="media/image35.jpeg"/><Relationship Id="rId44" Type="http://schemas.openxmlformats.org/officeDocument/2006/relationships/image" Target="media/image34.jpeg"/><Relationship Id="rId43" Type="http://schemas.openxmlformats.org/officeDocument/2006/relationships/image" Target="media/image33.jpeg"/><Relationship Id="rId42" Type="http://schemas.openxmlformats.org/officeDocument/2006/relationships/image" Target="media/image32.png"/><Relationship Id="rId41" Type="http://schemas.openxmlformats.org/officeDocument/2006/relationships/image" Target="media/image31.png"/><Relationship Id="rId40" Type="http://schemas.openxmlformats.org/officeDocument/2006/relationships/image" Target="media/image30.png"/><Relationship Id="rId4" Type="http://schemas.openxmlformats.org/officeDocument/2006/relationships/footer" Target="footer2.xml"/><Relationship Id="rId39" Type="http://schemas.openxmlformats.org/officeDocument/2006/relationships/image" Target="media/image29.png"/><Relationship Id="rId38" Type="http://schemas.openxmlformats.org/officeDocument/2006/relationships/image" Target="media/image28.png"/><Relationship Id="rId37" Type="http://schemas.openxmlformats.org/officeDocument/2006/relationships/image" Target="media/image27.png"/><Relationship Id="rId36" Type="http://schemas.openxmlformats.org/officeDocument/2006/relationships/image" Target="media/image26.png"/><Relationship Id="rId35" Type="http://schemas.openxmlformats.org/officeDocument/2006/relationships/image" Target="media/image25.png"/><Relationship Id="rId34" Type="http://schemas.openxmlformats.org/officeDocument/2006/relationships/image" Target="media/image24.png"/><Relationship Id="rId33" Type="http://schemas.openxmlformats.org/officeDocument/2006/relationships/image" Target="media/image23.png"/><Relationship Id="rId32" Type="http://schemas.openxmlformats.org/officeDocument/2006/relationships/image" Target="media/image22.png"/><Relationship Id="rId31" Type="http://schemas.openxmlformats.org/officeDocument/2006/relationships/image" Target="media/image21.png"/><Relationship Id="rId30" Type="http://schemas.openxmlformats.org/officeDocument/2006/relationships/image" Target="media/image20.png"/><Relationship Id="rId3" Type="http://schemas.openxmlformats.org/officeDocument/2006/relationships/footer" Target="footer1.xml"/><Relationship Id="rId29" Type="http://schemas.openxmlformats.org/officeDocument/2006/relationships/image" Target="media/image19.png"/><Relationship Id="rId28" Type="http://schemas.openxmlformats.org/officeDocument/2006/relationships/image" Target="media/image18.png"/><Relationship Id="rId27" Type="http://schemas.openxmlformats.org/officeDocument/2006/relationships/image" Target="media/image17.png"/><Relationship Id="rId26" Type="http://schemas.openxmlformats.org/officeDocument/2006/relationships/image" Target="media/image16.png"/><Relationship Id="rId25" Type="http://schemas.openxmlformats.org/officeDocument/2006/relationships/image" Target="media/image15.png"/><Relationship Id="rId24" Type="http://schemas.openxmlformats.org/officeDocument/2006/relationships/image" Target="media/image14.png"/><Relationship Id="rId23" Type="http://schemas.openxmlformats.org/officeDocument/2006/relationships/image" Target="media/image13.jpeg"/><Relationship Id="rId22" Type="http://schemas.openxmlformats.org/officeDocument/2006/relationships/image" Target="media/image12.png"/><Relationship Id="rId21" Type="http://schemas.openxmlformats.org/officeDocument/2006/relationships/hyperlink" Target="http://www.biaozhi.net/eNews/news/200602/0029_0000000909.shtml" TargetMode="External"/><Relationship Id="rId20" Type="http://schemas.openxmlformats.org/officeDocument/2006/relationships/image" Target="media/image11.png"/><Relationship Id="rId2" Type="http://schemas.openxmlformats.org/officeDocument/2006/relationships/settings" Target="settings.xml"/><Relationship Id="rId19" Type="http://schemas.openxmlformats.org/officeDocument/2006/relationships/image" Target="media/image10.png"/><Relationship Id="rId18" Type="http://schemas.openxmlformats.org/officeDocument/2006/relationships/image" Target="media/image9.wmf"/><Relationship Id="rId17" Type="http://schemas.openxmlformats.org/officeDocument/2006/relationships/oleObject" Target="embeddings/oleObject2.bin"/><Relationship Id="rId16" Type="http://schemas.openxmlformats.org/officeDocument/2006/relationships/image" Target="media/image8.wmf"/><Relationship Id="rId15" Type="http://schemas.openxmlformats.org/officeDocument/2006/relationships/oleObject" Target="embeddings/oleObject1.bin"/><Relationship Id="rId14" Type="http://schemas.openxmlformats.org/officeDocument/2006/relationships/image" Target="media/image7.png"/><Relationship Id="rId13" Type="http://schemas.openxmlformats.org/officeDocument/2006/relationships/image" Target="media/image6.jpeg"/><Relationship Id="rId12" Type="http://schemas.openxmlformats.org/officeDocument/2006/relationships/image" Target="media/image5.jpeg"/><Relationship Id="rId11" Type="http://schemas.openxmlformats.org/officeDocument/2006/relationships/image" Target="media/image4.jpeg"/><Relationship Id="rId10" Type="http://schemas.openxmlformats.org/officeDocument/2006/relationships/image" Target="media/image3.jpeg"/><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dsoa\wdzx97.dot"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ops>
  <customShpExts>
    <customShpInfo spid="_x0000_s3073" textRotate="1"/>
    <customShpInfo spid="_x0000_s3078" textRotate="1"/>
    <customShpInfo spid="_x0000_s3079" textRotate="1"/>
    <customShpInfo spid="_x0000_s2070"/>
    <customShpInfo spid="_x0000_s2071"/>
    <customShpInfo spid="_x0000_s2072"/>
    <customShpInfo spid="_x0000_s2074"/>
    <customShpInfo spid="_x0000_s2081"/>
    <customShpInfo spid="_x0000_s2075"/>
    <customShpInfo spid="_x0000_s2077"/>
    <customShpInfo spid="_x0000_s2078"/>
    <customShpInfo spid="_x0000_s2267"/>
    <customShpInfo spid="_x0000_s2092"/>
    <customShpInfo spid="_x0000_s2091"/>
    <customShpInfo spid="_x0000_s2057"/>
    <customShpInfo spid="_x0000_s2056"/>
    <customShpInfo spid="_x0000_s2068"/>
    <customShpInfo spid="_x0000_s2050"/>
    <customShpInfo spid="_x0000_s2114"/>
    <customShpInfo spid="_x0000_s2103"/>
    <customShpInfo spid="_x0000_s2093"/>
    <customShpInfo spid="_x0000_s2096"/>
    <customShpInfo spid="_x0000_s2140"/>
    <customShpInfo spid="_x0000_s2094"/>
    <customShpInfo spid="_x0000_s2095"/>
    <customShpInfo spid="_x0000_s2180"/>
    <customShpInfo spid="_x0000_s2171"/>
    <customShpInfo spid="_x0000_s2164"/>
    <customShpInfo spid="_x0000_s2166"/>
    <customShpInfo spid="_x0000_s2179"/>
    <customShpInfo spid="_x0000_s2167"/>
    <customShpInfo spid="_x0000_s2170"/>
    <customShpInfo spid="_x0000_s2187"/>
    <customShpInfo spid="_x0000_s2188"/>
    <customShpInfo spid="_x0000_s2181"/>
    <customShpInfo spid="_x0000_s2182"/>
    <customShpInfo spid="_x0000_s2185"/>
    <customShpInfo spid="_x0000_s2183"/>
    <customShpInfo spid="_x0000_s2184"/>
    <customShpInfo spid="_x0000_s2196"/>
    <customShpInfo spid="_x0000_s2193"/>
    <customShpInfo spid="_x0000_s2189"/>
    <customShpInfo spid="_x0000_s2190"/>
    <customShpInfo spid="_x0000_s2195"/>
    <customShpInfo spid="_x0000_s2192"/>
    <customShpInfo spid="_x0000_s2191"/>
    <customShpInfo spid="_x0000_s2203"/>
    <customShpInfo spid="_x0000_s2204"/>
    <customShpInfo spid="_x0000_s2197"/>
    <customShpInfo spid="_x0000_s2199"/>
    <customShpInfo spid="_x0000_s2202"/>
    <customShpInfo spid="_x0000_s2200"/>
    <customShpInfo spid="_x0000_s2201"/>
    <customShpInfo spid="_x0000_s2210"/>
    <customShpInfo spid="_x0000_s2209"/>
    <customShpInfo spid="_x0000_s2205"/>
    <customShpInfo spid="_x0000_s2206"/>
    <customShpInfo spid="_x0000_s2211"/>
    <customShpInfo spid="_x0000_s2207"/>
    <customShpInfo spid="_x0000_s2208"/>
    <customShpInfo spid="_x0000_s2212"/>
    <customShpInfo spid="_x0000_s2213"/>
    <customShpInfo spid="_x0000_s2218"/>
    <customShpInfo spid="_x0000_s2217"/>
    <customShpInfo spid="_x0000_s2216"/>
    <customShpInfo spid="_x0000_s2219"/>
    <customShpInfo spid="_x0000_s2220"/>
    <customShpInfo spid="_x0000_s2223"/>
    <customShpInfo spid="_x0000_s2221"/>
    <customShpInfo spid="_x0000_s2222"/>
    <customShpInfo spid="_x0000_s2226"/>
    <customShpInfo spid="_x0000_s2224"/>
    <customShpInfo spid="_x0000_s2225"/>
    <customShpInfo spid="_x0000_s2238"/>
    <customShpInfo spid="_x0000_s2227"/>
    <customShpInfo spid="_x0000_s2236"/>
    <customShpInfo spid="_x0000_s2241"/>
    <customShpInfo spid="_x0000_s2240"/>
    <customShpInfo spid="_x0000_s2239"/>
    <customShpInfo spid="_x0000_s2243"/>
    <customShpInfo spid="_x0000_s2242"/>
    <customShpInfo spid="_x0000_s2245"/>
    <customShpInfo spid="_x0000_s2244"/>
    <customShpInfo spid="_x0000_s2247"/>
    <customShpInfo spid="_x0000_s2248"/>
    <customShpInfo spid="_x0000_s2249"/>
    <customShpInfo spid="_x0000_s2250"/>
    <customShpInfo spid="_x0000_s2251"/>
    <customShpInfo spid="_x0000_s2252"/>
    <customShpInfo spid="_x0000_s2253"/>
    <customShpInfo spid="_x0000_s2254"/>
    <customShpInfo spid="_x0000_s2362"/>
    <customShpInfo spid="_x0000_s2073"/>
    <customShpInfo spid="_x0000_s2599"/>
    <customShpInfo spid="_x0000_s2051"/>
    <customShpInfo spid="_x0000_s2257"/>
    <customShpInfo spid="_x0000_s2258"/>
    <customShpInfo spid="_x0000_s2259"/>
    <customShpInfo spid="_x0000_s2260"/>
    <customShpInfo spid="_x0000_s2261"/>
    <customShpInfo spid="_x0000_s2262"/>
    <customShpInfo spid="_x0000_s2264"/>
    <customShpInfo spid="_x0000_s2265"/>
    <customShpInfo spid="_x0000_s2268"/>
    <customShpInfo spid="_x0000_s2273"/>
    <customShpInfo spid="_x0000_s2275"/>
    <customShpInfo spid="_x0000_s2276"/>
    <customShpInfo spid="_x0000_s2277"/>
    <customShpInfo spid="_x0000_s2278"/>
    <customShpInfo spid="_x0000_s2279"/>
    <customShpInfo spid="_x0000_s2280"/>
    <customShpInfo spid="_x0000_s2282"/>
    <customShpInfo spid="_x0000_s2283"/>
    <customShpInfo spid="_x0000_s2284"/>
    <customShpInfo spid="_x0000_s2285"/>
    <customShpInfo spid="_x0000_s2286"/>
    <customShpInfo spid="_x0000_s2287"/>
    <customShpInfo spid="_x0000_s2288"/>
    <customShpInfo spid="_x0000_s2289"/>
    <customShpInfo spid="_x0000_s2290"/>
    <customShpInfo spid="_x0000_s2291"/>
    <customShpInfo spid="_x0000_s2292"/>
    <customShpInfo spid="_x0000_s2294"/>
    <customShpInfo spid="_x0000_s2295"/>
    <customShpInfo spid="_x0000_s2296"/>
    <customShpInfo spid="_x0000_s2297"/>
    <customShpInfo spid="_x0000_s2298"/>
    <customShpInfo spid="_x0000_s2299"/>
    <customShpInfo spid="_x0000_s2300"/>
    <customShpInfo spid="_x0000_s2301"/>
    <customShpInfo spid="_x0000_s2303"/>
    <customShpInfo spid="_x0000_s2304"/>
    <customShpInfo spid="_x0000_s2305"/>
    <customShpInfo spid="_x0000_s2306"/>
    <customShpInfo spid="_x0000_s2307"/>
    <customShpInfo spid="_x0000_s2308"/>
    <customShpInfo spid="_x0000_s2309"/>
    <customShpInfo spid="_x0000_s2310"/>
    <customShpInfo spid="_x0000_s2311"/>
    <customShpInfo spid="_x0000_s2312"/>
    <customShpInfo spid="_x0000_s2313"/>
    <customShpInfo spid="_x0000_s2314"/>
    <customShpInfo spid="_x0000_s2315"/>
    <customShpInfo spid="_x0000_s2316"/>
    <customShpInfo spid="_x0000_s2318"/>
    <customShpInfo spid="_x0000_s2319"/>
    <customShpInfo spid="_x0000_s2321"/>
    <customShpInfo spid="_x0000_s2322"/>
    <customShpInfo spid="_x0000_s2324"/>
    <customShpInfo spid="_x0000_s2325"/>
    <customShpInfo spid="_x0000_s2326"/>
    <customShpInfo spid="_x0000_s2327"/>
    <customShpInfo spid="_x0000_s2329"/>
    <customShpInfo spid="_x0000_s2330"/>
    <customShpInfo spid="_x0000_s2331"/>
    <customShpInfo spid="_x0000_s2337"/>
    <customShpInfo spid="_x0000_s2338"/>
    <customShpInfo spid="_x0000_s2339"/>
    <customShpInfo spid="_x0000_s2340"/>
    <customShpInfo spid="_x0000_s2341"/>
    <customShpInfo spid="_x0000_s2342"/>
    <customShpInfo spid="_x0000_s2343"/>
    <customShpInfo spid="_x0000_s2344"/>
    <customShpInfo spid="_x0000_s2345"/>
    <customShpInfo spid="_x0000_s2346"/>
    <customShpInfo spid="_x0000_s2347"/>
    <customShpInfo spid="_x0000_s2348"/>
    <customShpInfo spid="_x0000_s2349"/>
    <customShpInfo spid="_x0000_s2350"/>
    <customShpInfo spid="_x0000_s2351"/>
    <customShpInfo spid="_x0000_s2352"/>
    <customShpInfo spid="_x0000_s2353"/>
    <customShpInfo spid="_x0000_s2354"/>
    <customShpInfo spid="_x0000_s2355"/>
    <customShpInfo spid="_x0000_s2356"/>
    <customShpInfo spid="_x0000_s2357"/>
    <customShpInfo spid="_x0000_s2358"/>
    <customShpInfo spid="_x0000_s2359"/>
    <customShpInfo spid="_x0000_s2360"/>
    <customShpInfo spid="_x0000_s2361"/>
    <customShpInfo spid="_x0000_s2600"/>
    <customShpInfo spid="_x0000_s2281"/>
    <customShpInfo spid="_x0000_s2365"/>
    <customShpInfo spid="_x0000_s2377"/>
    <customShpInfo spid="_x0000_s2412"/>
    <customShpInfo spid="_x0000_s2418"/>
    <customShpInfo spid="_x0000_s2427"/>
    <customShpInfo spid="_x0000_s2366"/>
    <customShpInfo spid="_x0000_s2367"/>
    <customShpInfo spid="_x0000_s2368"/>
    <customShpInfo spid="_x0000_s2369"/>
    <customShpInfo spid="_x0000_s2371"/>
    <customShpInfo spid="_x0000_s2370"/>
    <customShpInfo spid="_x0000_s2372"/>
    <customShpInfo spid="_x0000_s2373"/>
    <customShpInfo spid="_x0000_s2374"/>
    <customShpInfo spid="_x0000_s2376"/>
    <customShpInfo spid="_x0000_s2378"/>
    <customShpInfo spid="_x0000_s2380"/>
    <customShpInfo spid="_x0000_s2379"/>
    <customShpInfo spid="_x0000_s2382"/>
    <customShpInfo spid="_x0000_s2381"/>
    <customShpInfo spid="_x0000_s2383"/>
    <customShpInfo spid="_x0000_s2384"/>
    <customShpInfo spid="_x0000_s2386"/>
    <customShpInfo spid="_x0000_s2385"/>
    <customShpInfo spid="_x0000_s2387"/>
    <customShpInfo spid="_x0000_s2388"/>
    <customShpInfo spid="_x0000_s2389"/>
    <customShpInfo spid="_x0000_s2390"/>
    <customShpInfo spid="_x0000_s2391"/>
    <customShpInfo spid="_x0000_s2392"/>
    <customShpInfo spid="_x0000_s2393"/>
    <customShpInfo spid="_x0000_s2395"/>
    <customShpInfo spid="_x0000_s2394"/>
    <customShpInfo spid="_x0000_s2396"/>
    <customShpInfo spid="_x0000_s2397"/>
    <customShpInfo spid="_x0000_s2399"/>
    <customShpInfo spid="_x0000_s2398"/>
    <customShpInfo spid="_x0000_s2401"/>
    <customShpInfo spid="_x0000_s2402"/>
    <customShpInfo spid="_x0000_s2403"/>
    <customShpInfo spid="_x0000_s2404"/>
    <customShpInfo spid="_x0000_s2406"/>
    <customShpInfo spid="_x0000_s2405"/>
    <customShpInfo spid="_x0000_s2407"/>
    <customShpInfo spid="_x0000_s2420"/>
    <customShpInfo spid="_x0000_s2424"/>
    <customShpInfo spid="_x0000_s2413"/>
    <customShpInfo spid="_x0000_s2415"/>
    <customShpInfo spid="_x0000_s2409"/>
    <customShpInfo spid="_x0000_s2414"/>
    <customShpInfo spid="_x0000_s2419"/>
    <customShpInfo spid="_x0000_s2421"/>
    <customShpInfo spid="_x0000_s2425"/>
    <customShpInfo spid="_x0000_s2428"/>
    <customShpInfo spid="_x0000_s2423"/>
    <customShpInfo spid="_x0000_s2431"/>
    <customShpInfo spid="_x0000_s2432"/>
    <customShpInfo spid="_x0000_s2429"/>
    <customShpInfo spid="_x0000_s2430"/>
    <customShpInfo spid="_x0000_s2433"/>
    <customShpInfo spid="_x0000_s2601"/>
    <customShpInfo spid="_x0000_s2119"/>
    <customShpInfo spid="_x0000_s2097"/>
    <customShpInfo spid="_x0000_s2090"/>
    <customShpInfo spid="_x0000_s2089"/>
    <customShpInfo spid="_x0000_s2065"/>
    <customShpInfo spid="_x0000_s2064"/>
    <customShpInfo spid="_x0000_s2120"/>
    <customShpInfo spid="_x0000_s2116"/>
    <customShpInfo spid="_x0000_s2115"/>
    <customShpInfo spid="_x0000_s2165"/>
    <customShpInfo spid="_x0000_s2109"/>
    <customShpInfo spid="_x0000_s2087"/>
    <customShpInfo spid="_x0000_s2088"/>
    <customShpInfo spid="_x0000_s2069"/>
    <customShpInfo spid="_x0000_s2067"/>
    <customShpInfo spid="_x0000_s2066"/>
    <customShpInfo spid="_x0000_s2437"/>
    <customShpInfo spid="_x0000_s2450"/>
    <customShpInfo spid="_x0000_s2438"/>
    <customShpInfo spid="_x0000_s2439"/>
    <customShpInfo spid="_x0000_s2441"/>
    <customShpInfo spid="_x0000_s2442"/>
    <customShpInfo spid="_x0000_s2440"/>
    <customShpInfo spid="_x0000_s2443"/>
    <customShpInfo spid="_x0000_s2445"/>
    <customShpInfo spid="_x0000_s2444"/>
    <customShpInfo spid="_x0000_s2446"/>
    <customShpInfo spid="_x0000_s2447"/>
    <customShpInfo spid="_x0000_s2448"/>
    <customShpInfo spid="_x0000_s2449"/>
    <customShpInfo spid="_x0000_s2451"/>
    <customShpInfo spid="_x0000_s2452"/>
    <customShpInfo spid="_x0000_s2453"/>
    <customShpInfo spid="_x0000_s2454"/>
    <customShpInfo spid="_x0000_s2455"/>
    <customShpInfo spid="_x0000_s2456"/>
    <customShpInfo spid="_x0000_s2457"/>
    <customShpInfo spid="_x0000_s2458"/>
    <customShpInfo spid="_x0000_s2460"/>
    <customShpInfo spid="_x0000_s2459"/>
    <customShpInfo spid="_x0000_s2461"/>
    <customShpInfo spid="_x0000_s2462"/>
    <customShpInfo spid="_x0000_s2464"/>
    <customShpInfo spid="_x0000_s2463"/>
    <customShpInfo spid="_x0000_s2465"/>
    <customShpInfo spid="_x0000_s2466"/>
    <customShpInfo spid="_x0000_s2467"/>
    <customShpInfo spid="_x0000_s2468"/>
    <customShpInfo spid="_x0000_s2470"/>
    <customShpInfo spid="_x0000_s2472"/>
    <customShpInfo spid="_x0000_s2471"/>
    <customShpInfo spid="_x0000_s2477"/>
    <customShpInfo spid="_x0000_s2479"/>
    <customShpInfo spid="_x0000_s2478"/>
    <customShpInfo spid="_x0000_s2480"/>
    <customShpInfo spid="_x0000_s2172"/>
    <customShpInfo spid="_x0000_s2169"/>
    <customShpInfo spid="_x0000_s2173"/>
    <customShpInfo spid="_x0000_s2174"/>
    <customShpInfo spid="_x0000_s2177"/>
    <customShpInfo spid="_x0000_s2482"/>
    <customShpInfo spid="_x0000_s2484"/>
    <customShpInfo spid="_x0000_s2483"/>
    <customShpInfo spid="_x0000_s2485"/>
    <customShpInfo spid="_x0000_s2486"/>
    <customShpInfo spid="_x0000_s2487"/>
    <customShpInfo spid="_x0000_s2488"/>
    <customShpInfo spid="_x0000_s2293"/>
    <customShpInfo spid="_x0000_s2228"/>
    <customShpInfo spid="_x0000_s2229"/>
    <customShpInfo spid="_x0000_s2230"/>
    <customShpInfo spid="_x0000_s2598"/>
    <customShpInfo spid="_x0000_s2231"/>
    <customShpInfo spid="_x0000_s2232"/>
    <customShpInfo spid="_x0000_s2234"/>
    <customShpInfo spid="_x0000_s2235"/>
    <customShpInfo spid="_x0000_s2233"/>
    <customShpInfo spid="_x0000_s2538"/>
    <customShpInfo spid="_x0000_s2237"/>
    <customShpInfo spid="_x0000_s2246"/>
    <customShpInfo spid="_x0000_s2481"/>
    <customShpInfo spid="_x0000_s2058"/>
    <customShpInfo spid="_x0000_s2054"/>
    <customShpInfo spid="_x0000_s2055"/>
    <customShpInfo spid="_x0000_s2596"/>
    <customShpInfo spid="_x0000_s2052"/>
    <customShpInfo spid="_x0000_s2563"/>
    <customShpInfo spid="_x0000_s2597"/>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wdzx97.dot</Template>
  <Company>微软中国</Company>
  <Pages>86</Pages>
  <Words>35404</Words>
  <Characters>39605</Characters>
  <Lines>320</Lines>
  <Paragraphs>90</Paragraphs>
  <TotalTime>27</TotalTime>
  <ScaleCrop>false</ScaleCrop>
  <LinksUpToDate>false</LinksUpToDate>
  <CharactersWithSpaces>40181</CharactersWithSpaces>
  <Application>WPS Office_12.1.0.17857_F1E327BC-269C-435d-A152-05C5408002CA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2023-10-10T00:44:00Z</dcterms:created>
  <dc:creator>lhj</dc:creator>
  <cp:lastModifiedBy>轩</cp:lastModifiedBy>
  <cp:lastPrinted>2024-08-28T02:05:00Z</cp:lastPrinted>
  <dcterms:modified xsi:type="dcterms:W3CDTF">2024-08-30T04:09:27Z</dcterms:modified>
  <dc:title>附件2</dc:title>
  <cp:revision>85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2052-12.1.0.17857</vt:lpwstr>
  </property>
  <property fmtid="{D5CDD505-2E9C-101B-9397-08002B2CF9AE}" pid="3" name="ICV">
    <vt:lpwstr>709ECC82B8604E7D8BDD783BAB70DB44_12</vt:lpwstr>
  </property>
</Properties>
</file>