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附件2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2024年重点项目推进任务分解</w:t>
      </w:r>
    </w:p>
    <w:p>
      <w:pPr>
        <w:spacing w:line="600" w:lineRule="exact"/>
        <w:jc w:val="center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>（动态调整）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一、重点项目推进任务分解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（一）双雁生物医药产业园一期项目，2024年工业投资任务3亿元以上。</w:t>
      </w:r>
      <w:r>
        <w:rPr>
          <w:rFonts w:hint="eastAsia" w:ascii="仿宋_GB2312" w:eastAsia="仿宋_GB2312"/>
          <w:sz w:val="32"/>
          <w:szCs w:val="32"/>
        </w:rPr>
        <w:t>服务保障项目顺利建设，上半年至少完成投资1亿元，前三季度完成投资2亿元，全年完成投资3亿元以上（含设备）。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（二）国药集团威奇达药业新建、续建技改项目，2024年工业投资任务1.5亿元以上。</w:t>
      </w:r>
      <w:r>
        <w:rPr>
          <w:rFonts w:hint="eastAsia" w:ascii="仿宋_GB2312" w:eastAsia="仿宋_GB2312"/>
          <w:sz w:val="32"/>
          <w:szCs w:val="32"/>
        </w:rPr>
        <w:t>及时督促指导企业入库入统，实际发生投资应报尽报，全年完成投资1.5亿元以上。其中5个3000万元以上项目上半年全部入统。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（三）云冈纸业12万吨生活用纸项目，2024年工业投资任务1亿元以上。</w:t>
      </w:r>
      <w:r>
        <w:rPr>
          <w:rFonts w:hint="eastAsia" w:ascii="仿宋_GB2312" w:eastAsia="仿宋_GB2312"/>
          <w:sz w:val="32"/>
          <w:szCs w:val="32"/>
        </w:rPr>
        <w:t>及时督促指导企业入库入统，实际发生投资应报尽报，上半年完成项目入统并完成投资0.4亿元，全年完成投资1亿元以上（含设备）。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（四）同达药业综合固体制剂车间项目，2024年工业投资任务0.8亿元以上。</w:t>
      </w:r>
      <w:r>
        <w:rPr>
          <w:rFonts w:hint="eastAsia" w:ascii="仿宋_GB2312" w:eastAsia="仿宋_GB2312"/>
          <w:sz w:val="32"/>
          <w:szCs w:val="32"/>
        </w:rPr>
        <w:t>及时督促指导企业入库入统，实际发生投资应报尽报，上半年完成投资0.4亿元，全年完成投资0.8亿元以上（含设备）。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（五）振东泰盛原料药建设项目，2024年工业投资任务0.5亿元以上。</w:t>
      </w:r>
      <w:r>
        <w:rPr>
          <w:rFonts w:hint="eastAsia" w:ascii="仿宋_GB2312" w:eastAsia="仿宋_GB2312"/>
          <w:sz w:val="32"/>
          <w:szCs w:val="32"/>
        </w:rPr>
        <w:t>及时督促指导企业入库入统，实际发生投资应报尽报，上半年完成项目入统，全年完成投资0.5亿元以上。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（六）普恒制药扩建项目，2024年工业投资任务0.6亿元以上。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1.确保产业基金投资2024年7月到位，企业可以使用。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（责任单位：创新发展部、华睿产投公司）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2.服务保障项目顺利开工建设，三季度完成项目入统，全年完成投资0.6亿元以上。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（责任单位：现代医药产业招商服务中心）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（七）海博思创储能项目，2024年工业投资任务6亿元以上。</w:t>
      </w:r>
      <w:r>
        <w:rPr>
          <w:rFonts w:hint="eastAsia" w:ascii="仿宋_GB2312" w:eastAsia="仿宋_GB2312"/>
          <w:sz w:val="32"/>
          <w:szCs w:val="32"/>
        </w:rPr>
        <w:t>项目建设周期3个月，为使项目2024年能基本建成，最迟</w:t>
      </w:r>
      <w:r>
        <w:rPr>
          <w:rFonts w:hint="eastAsia" w:ascii="仿宋_GB2312" w:eastAsia="仿宋_GB2312"/>
          <w:color w:val="auto"/>
          <w:sz w:val="32"/>
          <w:szCs w:val="32"/>
        </w:rPr>
        <w:t>2024年</w:t>
      </w:r>
      <w:r>
        <w:rPr>
          <w:rFonts w:ascii="仿宋_GB2312" w:eastAsia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月上旬开工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加快开展土地组卷报批工作，2024年6月20日前完成用地预审，</w:t>
      </w:r>
      <w:r>
        <w:rPr>
          <w:rFonts w:hint="eastAsia" w:ascii="仿宋_GB2312" w:eastAsia="仿宋_GB2312"/>
          <w:color w:val="auto"/>
          <w:sz w:val="32"/>
          <w:szCs w:val="32"/>
        </w:rPr>
        <w:t>8月底完成土地报批，9月</w:t>
      </w:r>
      <w:r>
        <w:rPr>
          <w:rFonts w:ascii="仿宋_GB2312" w:eastAsia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日前土地挂牌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（责任单位：规划和自然资源分局）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帮助企业于2024年6月30日前纳入省能源局入库名录。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（责任单位：经济运行与安全监管部）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督促和帮助企业于2024年8月30日前完成国网省公司接入系统批复及施工图等评审。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（责任单位：经济运行与安全监管部、装备制造及大数据产业招商服务中心）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督促企业于2024年9月20日前完成设计、总包、监理等招标及合同签订工作，</w:t>
      </w:r>
      <w:r>
        <w:rPr>
          <w:rFonts w:ascii="仿宋_GB2312" w:eastAsia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日前拿地并实质性开工，</w:t>
      </w:r>
      <w:r>
        <w:rPr>
          <w:rFonts w:hint="eastAsia" w:ascii="仿宋_GB2312" w:eastAsia="仿宋_GB2312"/>
          <w:sz w:val="32"/>
          <w:szCs w:val="32"/>
        </w:rPr>
        <w:t>确保10月20日前达到投资入统要求并提交入统资料，全年完成投资6亿元以上。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（责任单位：装备制造及大数据产业招商服务中心）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（八）海博、国瑞、阳光3个储能装备制造项目，2024年工业投资任务1亿元以上（设备）。及时督促企业设备开票，指导企业投资入统，实际发生投资应报尽报，9月30日前累计开票1亿元以上（设备）。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（责任单位：装备制造及大数据产业招商服务中心）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（九）森铭智谷入驻3个项目，2024年工业投资任务3亿元以上（设备）。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2024年6月底前完成对3个项目厂房装修项目招标控制价的评审，并协调达成一致意见。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（责任单位：财政运营部）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2024年8月底前完成标准化厂房消防升级改造并完成验收。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（责任单位：经发投）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督促项目方2024年8月底前完成标准化厂房洁净车间装修改造施工，且设备进场安装。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（责任单位：新材料新能源产业招商服务中心）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督促项目方9月中旬现场达到统计入库要求，签订的设备购置合同金额超过立项总投资的1/3以上，9月20日前向统计中心提交入统资料，10月底前累计开具设备发票1亿元，11月底前累计开具设备发票2亿元，12月底前累计开具设备发票3亿元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（责任单位：新材料新能源产业招商服务中心）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中科同德项目，2024工业投资任务1.5亿元以上（设备）。督促项目方在2024年6月底前达到投资入统条件，指导项目方在7月20日前提交投资入统资料，9月30日前累计开具设备发票0.5亿元以上，12月底前累计开具设备发票1.5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（责任单位：现代服务业招商服务中心）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（十一）云州电力智慧能源调控中心项目，2024年工业投资任务0.7亿元以上。为了使项目在今年能形成有效数据支撑，项目最迟2024年9月底开工。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财政征拆资金于2024年6月上旬拨付到位。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（责任单位：财政运营部）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征拆工作于2024年6月下旬全部完成。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（责任单位：建设管理部）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2024年6月底</w:t>
      </w:r>
      <w:r>
        <w:rPr>
          <w:rFonts w:hint="eastAsia" w:ascii="仿宋_GB2312" w:eastAsia="仿宋_GB2312"/>
          <w:color w:val="auto"/>
          <w:sz w:val="32"/>
          <w:szCs w:val="32"/>
        </w:rPr>
        <w:t>在拆迁完成后土地挂牌。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（责任单位：规划和自然资源分局）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协调项目单位规范办理立项手续，确保项目能计入工业投资。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（责任单位：现代服务业招商服务中心）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督促项目方拿地后加紧办理工程规划许可证、施工许可证等手续，最迟于2024年9月下旬开工，2024年10月20日前达到投资入统要求并提交入统资料，全年完成投资0.7亿元以上（含土地）。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（责任单位：现代服务业招商服务中心）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嘉源生物扩建项目，2024年工业投资任务2亿元以上。服务保障项目顺利建设，督促和帮助企业于2024年5月30日前完成项目立项备案，于2024年6月10日前提交投资入统资料，实际发生投资应报尽报，全年完成投资2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（责任单位：通航及纺织产业招商服务中心）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（十三）御东污水厂改扩建二期项目，2024年工业投资任务1亿元以上。于2024年5月30日前完成立项备案，于2024年6月10日前按要求提交投资入统资料。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（责任单位：大同市御东污水处理有限责任公司）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（十四）蒸汽和供热管道项目，2024年工业投资任务4.5亿元以上。协调建设单位规范办理立项手续，确保项目能计入工业投资，加紧组织施工，确保10月底前完成投资3.5亿元，全年完成投资4.5亿元以上。</w:t>
      </w:r>
      <w:r>
        <w:rPr>
          <w:rFonts w:hint="eastAsia" w:ascii="仿宋_GB2312" w:eastAsia="仿宋_GB2312"/>
          <w:b/>
          <w:bCs/>
          <w:sz w:val="32"/>
          <w:szCs w:val="32"/>
        </w:rPr>
        <w:t>（责任单位：建设管理部）</w:t>
      </w:r>
    </w:p>
    <w:p>
      <w:pPr>
        <w:pStyle w:val="2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二、其它重点任务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（一）学习考察广灵在土地调规上的做法，研究破解同达药业扩建项目用地的问题，2024年6月30日前形成结论方案。</w:t>
      </w:r>
      <w:r>
        <w:rPr>
          <w:rFonts w:hint="eastAsia" w:ascii="仿宋_GB2312" w:hAnsi="仿宋_GB2312" w:eastAsia="仿宋_GB2312" w:cs="仿宋_GB2312"/>
          <w:b/>
          <w:bCs/>
        </w:rPr>
        <w:t>（责任单位：规划和自然资源分局）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（二）在增量配网范围外，摸底本部、医药园区、二医药园区、通航园区、纺织园区现有企业（包括御东污水厂）2024-2025年建设屋顶分布式光伏的需求意愿、屋顶条件和投资能力，2024年6月30日前形成结论方案。</w:t>
      </w:r>
      <w:r>
        <w:rPr>
          <w:rFonts w:hint="eastAsia" w:ascii="仿宋_GB2312" w:hAnsi="仿宋_GB2312" w:eastAsia="仿宋_GB2312" w:cs="仿宋_GB2312"/>
          <w:b/>
          <w:bCs/>
        </w:rPr>
        <w:t>（责任单位：华睿集团）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（三）继续推动北魏雕塑产业园项目南区的建设，进一步对接企业，2024年6月30日前明确企业今年的计划。</w:t>
      </w:r>
      <w:r>
        <w:rPr>
          <w:rFonts w:hint="eastAsia" w:ascii="仿宋_GB2312" w:hAnsi="仿宋_GB2312" w:eastAsia="仿宋_GB2312" w:cs="仿宋_GB2312"/>
          <w:b/>
          <w:bCs/>
        </w:rPr>
        <w:t>（责任单位：现代服务业招商服务中心）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（四）各产业招商服务中心要关注能给今年投资做贡献的短平快项目，2024年6月30日前完成摸底梳理。</w:t>
      </w:r>
      <w:r>
        <w:rPr>
          <w:rFonts w:hint="eastAsia" w:ascii="仿宋_GB2312" w:hAnsi="仿宋_GB2312" w:eastAsia="仿宋_GB2312" w:cs="仿宋_GB2312"/>
          <w:b/>
          <w:bCs/>
        </w:rPr>
        <w:t>（责任单位：各产业招商服务中心）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（五）关于云泉中水厂配套输水管线工程的投资计入经开区事宜，由通航及纺织产业招商服务中心分析可行性并对接推进。</w:t>
      </w:r>
      <w:r>
        <w:rPr>
          <w:rFonts w:hint="eastAsia" w:ascii="仿宋_GB2312" w:hAnsi="仿宋_GB2312" w:eastAsia="仿宋_GB2312" w:cs="仿宋_GB2312"/>
          <w:b/>
          <w:bCs/>
        </w:rPr>
        <w:t>（责任单位：通航及纺织产业招商服务中心）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ODIxNjcwOTFjMmRjY2JiMDU3ZTJjMmRkMmUyNmQifQ=="/>
    <w:docVar w:name="KSO_WPS_MARK_KEY" w:val="1fd2d220-83f4-4bca-91a5-de104a765e52"/>
  </w:docVars>
  <w:rsids>
    <w:rsidRoot w:val="0006485D"/>
    <w:rsid w:val="0006485D"/>
    <w:rsid w:val="001D5E82"/>
    <w:rsid w:val="001E752E"/>
    <w:rsid w:val="00384742"/>
    <w:rsid w:val="0084019D"/>
    <w:rsid w:val="00874430"/>
    <w:rsid w:val="009B4B05"/>
    <w:rsid w:val="00C047AF"/>
    <w:rsid w:val="00D0154A"/>
    <w:rsid w:val="00DB64D6"/>
    <w:rsid w:val="00E832C9"/>
    <w:rsid w:val="07556617"/>
    <w:rsid w:val="15A85EC8"/>
    <w:rsid w:val="1DE1641B"/>
    <w:rsid w:val="259F04D4"/>
    <w:rsid w:val="27C9113F"/>
    <w:rsid w:val="374A7C3A"/>
    <w:rsid w:val="4EBB341A"/>
    <w:rsid w:val="531D2F6F"/>
    <w:rsid w:val="54A159E1"/>
    <w:rsid w:val="5FF34ED0"/>
    <w:rsid w:val="60F12834"/>
    <w:rsid w:val="66976C44"/>
    <w:rsid w:val="EEC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qFormat/>
    <w:uiPriority w:val="0"/>
    <w:pPr>
      <w:spacing w:after="0"/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2546</Words>
  <Characters>258</Characters>
  <Lines>2</Lines>
  <Paragraphs>5</Paragraphs>
  <TotalTime>28</TotalTime>
  <ScaleCrop>false</ScaleCrop>
  <LinksUpToDate>false</LinksUpToDate>
  <CharactersWithSpaces>2799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2024-05-24T20:54:00Z</dcterms:created>
  <dc:creator>联想</dc:creator>
  <cp:lastModifiedBy>huawei</cp:lastModifiedBy>
  <cp:lastPrinted>2024-05-23T11:30:00Z</cp:lastPrinted>
  <dcterms:modified xsi:type="dcterms:W3CDTF">2024-05-30T10:34:08Z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208058E9F0294166BD6CD52EEA9ECC19_13</vt:lpwstr>
  </property>
</Properties>
</file>