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仿宋_GB2312"/>
          <w:color w:val="auto"/>
          <w:sz w:val="36"/>
          <w:szCs w:val="36"/>
        </w:rPr>
      </w:pPr>
      <w:bookmarkStart w:id="0" w:name="_Hlk57883707"/>
    </w:p>
    <w:p>
      <w:pPr>
        <w:rPr>
          <w:rFonts w:cs="仿宋_GB2312"/>
          <w:color w:val="auto"/>
          <w:sz w:val="36"/>
          <w:szCs w:val="36"/>
        </w:rPr>
      </w:pPr>
    </w:p>
    <w:bookmarkEnd w:id="0"/>
    <w:p>
      <w:pPr>
        <w:adjustRightInd w:val="0"/>
        <w:snapToGrid w:val="0"/>
        <w:jc w:val="center"/>
        <w:outlineLvl w:val="0"/>
        <w:rPr>
          <w:b/>
          <w:color w:val="auto"/>
          <w:sz w:val="72"/>
          <w:szCs w:val="72"/>
        </w:rPr>
      </w:pPr>
    </w:p>
    <w:p>
      <w:pPr>
        <w:adjustRightInd w:val="0"/>
        <w:snapToGrid w:val="0"/>
        <w:jc w:val="center"/>
        <w:outlineLvl w:val="0"/>
        <w:rPr>
          <w:b/>
          <w:color w:val="auto"/>
          <w:sz w:val="52"/>
          <w:szCs w:val="52"/>
        </w:rPr>
      </w:pPr>
      <w:r>
        <w:rPr>
          <w:rFonts w:hint="eastAsia"/>
          <w:b/>
          <w:color w:val="auto"/>
          <w:sz w:val="52"/>
          <w:szCs w:val="52"/>
        </w:rPr>
        <w:t>建设项目环境影响报告表</w:t>
      </w:r>
    </w:p>
    <w:p>
      <w:pPr>
        <w:adjustRightInd w:val="0"/>
        <w:snapToGrid w:val="0"/>
        <w:spacing w:before="192" w:beforeLines="80"/>
        <w:jc w:val="center"/>
        <w:rPr>
          <w:b/>
          <w:color w:val="auto"/>
          <w:sz w:val="52"/>
          <w:szCs w:val="52"/>
        </w:rPr>
      </w:pPr>
      <w:r>
        <w:rPr>
          <w:rFonts w:hint="eastAsia"/>
          <w:b/>
          <w:color w:val="auto"/>
          <w:sz w:val="52"/>
          <w:szCs w:val="52"/>
        </w:rPr>
        <w:t>（污染影响类）</w:t>
      </w:r>
    </w:p>
    <w:p>
      <w:pPr>
        <w:jc w:val="center"/>
        <w:rPr>
          <w:color w:val="auto"/>
          <w:sz w:val="52"/>
          <w:szCs w:val="52"/>
        </w:rPr>
      </w:pPr>
      <w:bookmarkStart w:id="1" w:name="_Hlk57883728"/>
    </w:p>
    <w:p>
      <w:pPr>
        <w:ind w:firstLine="1040"/>
        <w:rPr>
          <w:color w:val="auto"/>
          <w:sz w:val="44"/>
          <w:szCs w:val="44"/>
        </w:rPr>
      </w:pPr>
    </w:p>
    <w:p>
      <w:pPr>
        <w:ind w:firstLine="1040"/>
        <w:rPr>
          <w:color w:val="auto"/>
          <w:sz w:val="44"/>
          <w:szCs w:val="44"/>
        </w:rPr>
      </w:pPr>
    </w:p>
    <w:p>
      <w:pPr>
        <w:spacing w:line="360" w:lineRule="auto"/>
        <w:ind w:firstLine="1040"/>
        <w:rPr>
          <w:color w:val="auto"/>
          <w:sz w:val="44"/>
          <w:szCs w:val="44"/>
        </w:rPr>
      </w:pPr>
    </w:p>
    <w:p>
      <w:pPr>
        <w:pStyle w:val="2"/>
        <w:ind w:firstLine="880"/>
        <w:rPr>
          <w:color w:val="auto"/>
          <w:sz w:val="44"/>
          <w:szCs w:val="44"/>
        </w:rPr>
      </w:pPr>
    </w:p>
    <w:p>
      <w:pPr>
        <w:pStyle w:val="2"/>
        <w:ind w:firstLine="880"/>
        <w:rPr>
          <w:color w:val="auto"/>
          <w:sz w:val="44"/>
          <w:szCs w:val="44"/>
        </w:rPr>
      </w:pPr>
    </w:p>
    <w:p>
      <w:pPr>
        <w:pStyle w:val="2"/>
        <w:ind w:firstLine="880"/>
        <w:rPr>
          <w:color w:val="auto"/>
          <w:sz w:val="44"/>
          <w:szCs w:val="44"/>
          <w:u w:val="single"/>
        </w:rPr>
      </w:pPr>
      <w:r>
        <w:rPr>
          <w:rFonts w:hint="eastAsia"/>
          <w:color w:val="auto"/>
          <w:sz w:val="44"/>
          <w:szCs w:val="44"/>
        </w:rPr>
        <w:t xml:space="preserve"> </w:t>
      </w:r>
    </w:p>
    <w:bookmarkEnd w:id="1"/>
    <w:p>
      <w:pPr>
        <w:adjustRightInd w:val="0"/>
        <w:snapToGrid w:val="0"/>
        <w:spacing w:line="360" w:lineRule="auto"/>
        <w:ind w:firstLine="643" w:firstLineChars="200"/>
        <w:rPr>
          <w:rFonts w:hint="eastAsia"/>
          <w:b/>
          <w:bCs/>
          <w:color w:val="auto"/>
          <w:sz w:val="32"/>
          <w:szCs w:val="32"/>
          <w:u w:val="single"/>
          <w:lang w:val="en-US" w:eastAsia="zh-CN"/>
        </w:rPr>
      </w:pPr>
      <w:r>
        <w:rPr>
          <w:rFonts w:hint="eastAsia"/>
          <w:b/>
          <w:bCs/>
          <w:color w:val="auto"/>
          <w:sz w:val="32"/>
          <w:szCs w:val="32"/>
        </w:rPr>
        <w:t>项目名称：</w:t>
      </w:r>
      <w:r>
        <w:rPr>
          <w:rFonts w:hint="eastAsia"/>
          <w:b/>
          <w:bCs/>
          <w:color w:val="auto"/>
          <w:sz w:val="32"/>
          <w:szCs w:val="32"/>
          <w:u w:val="single"/>
        </w:rPr>
        <w:t>年产3万吨直径600m</w:t>
      </w:r>
      <w:r>
        <w:rPr>
          <w:rFonts w:hint="eastAsia"/>
          <w:b/>
          <w:bCs/>
          <w:color w:val="auto"/>
          <w:sz w:val="32"/>
          <w:szCs w:val="32"/>
          <w:u w:val="single"/>
          <w:lang w:val="en-US" w:eastAsia="zh-CN"/>
        </w:rPr>
        <w:t>m</w:t>
      </w:r>
    </w:p>
    <w:p>
      <w:pPr>
        <w:adjustRightInd w:val="0"/>
        <w:snapToGrid w:val="0"/>
        <w:spacing w:line="360" w:lineRule="auto"/>
        <w:ind w:firstLine="2249" w:firstLineChars="700"/>
        <w:rPr>
          <w:rFonts w:hint="eastAsia"/>
          <w:b/>
          <w:bCs/>
          <w:color w:val="auto"/>
          <w:sz w:val="32"/>
          <w:szCs w:val="32"/>
          <w:u w:val="single"/>
        </w:rPr>
      </w:pPr>
      <w:r>
        <w:rPr>
          <w:rFonts w:hint="eastAsia"/>
          <w:b/>
          <w:bCs/>
          <w:color w:val="auto"/>
          <w:sz w:val="32"/>
          <w:szCs w:val="32"/>
          <w:u w:val="single"/>
        </w:rPr>
        <w:t>及以上超高功率电极项目</w:t>
      </w:r>
    </w:p>
    <w:p>
      <w:pPr>
        <w:adjustRightInd w:val="0"/>
        <w:snapToGrid w:val="0"/>
        <w:spacing w:line="360" w:lineRule="auto"/>
        <w:ind w:firstLine="643" w:firstLineChars="200"/>
        <w:rPr>
          <w:color w:val="auto"/>
          <w:sz w:val="32"/>
          <w:szCs w:val="32"/>
          <w:u w:val="single"/>
        </w:rPr>
      </w:pPr>
      <w:r>
        <w:rPr>
          <w:rFonts w:hint="eastAsia"/>
          <w:b/>
          <w:bCs/>
          <w:color w:val="auto"/>
          <w:sz w:val="32"/>
          <w:szCs w:val="32"/>
        </w:rPr>
        <w:t>建设单位（盖章）：</w:t>
      </w:r>
      <w:r>
        <w:rPr>
          <w:rFonts w:hint="eastAsia"/>
          <w:b/>
          <w:bCs/>
          <w:color w:val="auto"/>
          <w:sz w:val="32"/>
          <w:szCs w:val="32"/>
          <w:u w:val="single"/>
        </w:rPr>
        <w:t>优沃特科技（山西）有限公司</w:t>
      </w:r>
    </w:p>
    <w:p>
      <w:pPr>
        <w:adjustRightInd w:val="0"/>
        <w:snapToGrid w:val="0"/>
        <w:spacing w:line="360" w:lineRule="auto"/>
        <w:ind w:firstLine="643" w:firstLineChars="200"/>
        <w:rPr>
          <w:b/>
          <w:bCs/>
          <w:color w:val="auto"/>
          <w:sz w:val="32"/>
          <w:szCs w:val="32"/>
          <w:u w:val="single"/>
        </w:rPr>
      </w:pPr>
      <w:r>
        <w:rPr>
          <w:rFonts w:hint="eastAsia"/>
          <w:b/>
          <w:bCs/>
          <w:color w:val="auto"/>
          <w:sz w:val="32"/>
          <w:szCs w:val="32"/>
        </w:rPr>
        <w:t>编制日期：</w:t>
      </w:r>
      <w:r>
        <w:rPr>
          <w:rFonts w:hint="eastAsia"/>
          <w:b/>
          <w:bCs/>
          <w:color w:val="auto"/>
          <w:sz w:val="32"/>
          <w:szCs w:val="32"/>
          <w:u w:val="single"/>
        </w:rPr>
        <w:t xml:space="preserve"> 2021年</w:t>
      </w:r>
      <w:r>
        <w:rPr>
          <w:rFonts w:hint="eastAsia"/>
          <w:b/>
          <w:bCs/>
          <w:color w:val="auto"/>
          <w:sz w:val="32"/>
          <w:szCs w:val="32"/>
          <w:u w:val="single"/>
          <w:lang w:val="en-US" w:eastAsia="zh-CN"/>
        </w:rPr>
        <w:t>12</w:t>
      </w:r>
      <w:r>
        <w:rPr>
          <w:rFonts w:hint="eastAsia"/>
          <w:b/>
          <w:bCs/>
          <w:color w:val="auto"/>
          <w:sz w:val="32"/>
          <w:szCs w:val="32"/>
          <w:u w:val="single"/>
        </w:rPr>
        <w:t xml:space="preserve">月 </w:t>
      </w:r>
    </w:p>
    <w:p>
      <w:pPr>
        <w:adjustRightInd w:val="0"/>
        <w:snapToGrid w:val="0"/>
        <w:spacing w:line="288" w:lineRule="auto"/>
        <w:ind w:firstLine="1040"/>
        <w:rPr>
          <w:color w:val="auto"/>
          <w:sz w:val="36"/>
          <w:szCs w:val="36"/>
          <w:u w:val="single"/>
        </w:rPr>
      </w:pPr>
    </w:p>
    <w:p>
      <w:pPr>
        <w:pStyle w:val="2"/>
        <w:ind w:firstLine="720"/>
        <w:rPr>
          <w:color w:val="auto"/>
          <w:sz w:val="36"/>
          <w:szCs w:val="36"/>
        </w:rPr>
      </w:pPr>
    </w:p>
    <w:p>
      <w:pPr>
        <w:pStyle w:val="2"/>
        <w:ind w:firstLine="720"/>
        <w:rPr>
          <w:color w:val="auto"/>
          <w:sz w:val="36"/>
          <w:szCs w:val="36"/>
        </w:rPr>
      </w:pPr>
    </w:p>
    <w:p>
      <w:pPr>
        <w:adjustRightInd w:val="0"/>
        <w:snapToGrid w:val="0"/>
        <w:spacing w:line="288" w:lineRule="auto"/>
        <w:jc w:val="center"/>
        <w:rPr>
          <w:b/>
          <w:bCs/>
          <w:color w:val="auto"/>
          <w:sz w:val="36"/>
          <w:szCs w:val="36"/>
        </w:rPr>
      </w:pPr>
      <w:r>
        <w:rPr>
          <w:rFonts w:hint="eastAsia"/>
          <w:b/>
          <w:bCs/>
          <w:color w:val="auto"/>
          <w:sz w:val="36"/>
          <w:szCs w:val="36"/>
        </w:rPr>
        <w:t>中华人民共和国生态环境部制</w:t>
      </w:r>
    </w:p>
    <w:p>
      <w:pPr>
        <w:adjustRightInd w:val="0"/>
        <w:snapToGrid w:val="0"/>
        <w:spacing w:line="288" w:lineRule="auto"/>
        <w:ind w:firstLine="1040"/>
        <w:rPr>
          <w:color w:val="auto"/>
          <w:sz w:val="36"/>
          <w:szCs w:val="36"/>
        </w:rPr>
      </w:pPr>
    </w:p>
    <w:p>
      <w:pPr>
        <w:pStyle w:val="2"/>
        <w:rPr>
          <w:color w:val="auto"/>
          <w:sz w:val="36"/>
          <w:szCs w:val="36"/>
        </w:rPr>
      </w:pPr>
    </w:p>
    <w:p>
      <w:pPr>
        <w:rPr>
          <w:rFonts w:hint="eastAsia" w:eastAsia="宋体"/>
          <w:color w:val="auto"/>
          <w:sz w:val="36"/>
          <w:szCs w:val="36"/>
          <w:lang w:eastAsia="zh-CN"/>
        </w:rPr>
      </w:pPr>
      <w:r>
        <w:rPr>
          <w:rFonts w:hint="eastAsia" w:eastAsia="宋体"/>
          <w:color w:val="auto"/>
          <w:sz w:val="36"/>
          <w:szCs w:val="36"/>
          <w:lang w:eastAsia="zh-CN"/>
        </w:rPr>
        <w:drawing>
          <wp:inline distT="0" distB="0" distL="114300" distR="114300">
            <wp:extent cx="5554980" cy="8508365"/>
            <wp:effectExtent l="0" t="0" r="7620" b="6985"/>
            <wp:docPr id="9" name="图片 9" descr="f3c4c0a3871a1640773cbfdbdc57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3c4c0a3871a1640773cbfdbdc575f5"/>
                    <pic:cNvPicPr>
                      <a:picLocks noChangeAspect="1"/>
                    </pic:cNvPicPr>
                  </pic:nvPicPr>
                  <pic:blipFill>
                    <a:blip r:embed="rId8"/>
                    <a:stretch>
                      <a:fillRect/>
                    </a:stretch>
                  </pic:blipFill>
                  <pic:spPr>
                    <a:xfrm>
                      <a:off x="0" y="0"/>
                      <a:ext cx="5554980" cy="8508365"/>
                    </a:xfrm>
                    <a:prstGeom prst="rect">
                      <a:avLst/>
                    </a:prstGeom>
                  </pic:spPr>
                </pic:pic>
              </a:graphicData>
            </a:graphic>
          </wp:inline>
        </w:drawing>
      </w:r>
    </w:p>
    <w:p>
      <w:pPr>
        <w:pStyle w:val="2"/>
        <w:ind w:left="0" w:leftChars="0" w:firstLine="0" w:firstLineChars="0"/>
        <w:rPr>
          <w:color w:val="auto"/>
          <w:sz w:val="36"/>
          <w:szCs w:val="36"/>
        </w:rPr>
      </w:pPr>
      <w:r>
        <w:drawing>
          <wp:inline distT="0" distB="0" distL="114300" distR="114300">
            <wp:extent cx="5756910" cy="8140065"/>
            <wp:effectExtent l="0" t="0" r="15240"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756910" cy="8140065"/>
                    </a:xfrm>
                    <a:prstGeom prst="rect">
                      <a:avLst/>
                    </a:prstGeom>
                    <a:noFill/>
                    <a:ln>
                      <a:noFill/>
                    </a:ln>
                  </pic:spPr>
                </pic:pic>
              </a:graphicData>
            </a:graphic>
          </wp:inline>
        </w:drawing>
      </w:r>
    </w:p>
    <w:p>
      <w:p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2"/>
        <w:ind w:left="0" w:leftChars="0" w:firstLine="0" w:firstLineChars="0"/>
      </w:pPr>
      <w:r>
        <w:drawing>
          <wp:inline distT="0" distB="0" distL="114300" distR="114300">
            <wp:extent cx="8521700" cy="5497830"/>
            <wp:effectExtent l="0" t="0" r="1270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8521700" cy="5497830"/>
                    </a:xfrm>
                    <a:prstGeom prst="rect">
                      <a:avLst/>
                    </a:prstGeom>
                    <a:noFill/>
                    <a:ln>
                      <a:noFill/>
                    </a:ln>
                  </pic:spPr>
                </pic:pic>
              </a:graphicData>
            </a:graphic>
          </wp:inline>
        </w:drawing>
      </w:r>
    </w:p>
    <w:p>
      <w:r>
        <w:drawing>
          <wp:inline distT="0" distB="0" distL="114300" distR="114300">
            <wp:extent cx="8524240" cy="5026660"/>
            <wp:effectExtent l="0" t="0" r="10160"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8524240" cy="5026660"/>
                    </a:xfrm>
                    <a:prstGeom prst="rect">
                      <a:avLst/>
                    </a:prstGeom>
                    <a:noFill/>
                    <a:ln>
                      <a:noFill/>
                    </a:ln>
                  </pic:spPr>
                </pic:pic>
              </a:graphicData>
            </a:graphic>
          </wp:inline>
        </w:drawing>
      </w:r>
    </w:p>
    <w:p>
      <w:pPr>
        <w:pStyle w:val="2"/>
      </w:pPr>
    </w:p>
    <w:p/>
    <w:p>
      <w:pPr>
        <w:pStyle w:val="2"/>
      </w:pPr>
    </w:p>
    <w:p/>
    <w:p>
      <w:pPr>
        <w:pStyle w:val="2"/>
        <w:sectPr>
          <w:pgSz w:w="16838" w:h="11906" w:orient="landscape"/>
          <w:pgMar w:top="1531" w:right="1701" w:bottom="1531" w:left="1701" w:header="851" w:footer="1077" w:gutter="0"/>
          <w:paperSrc/>
          <w:pgBorders>
            <w:top w:val="none" w:sz="0" w:space="0"/>
            <w:left w:val="none" w:sz="0" w:space="0"/>
            <w:bottom w:val="none" w:sz="0" w:space="0"/>
            <w:right w:val="none" w:sz="0" w:space="0"/>
          </w:pgBorders>
          <w:pgNumType w:start="21"/>
          <w:cols w:space="0" w:num="1"/>
          <w:rtlGutter w:val="0"/>
          <w:docGrid w:linePitch="312" w:charSpace="0"/>
        </w:sectPr>
      </w:pPr>
      <w:r>
        <w:drawing>
          <wp:inline distT="0" distB="0" distL="114300" distR="114300">
            <wp:extent cx="7439660" cy="5165725"/>
            <wp:effectExtent l="0" t="0" r="8890" b="1587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tretch>
                      <a:fillRect/>
                    </a:stretch>
                  </pic:blipFill>
                  <pic:spPr>
                    <a:xfrm>
                      <a:off x="0" y="0"/>
                      <a:ext cx="7439660" cy="5165725"/>
                    </a:xfrm>
                    <a:prstGeom prst="rect">
                      <a:avLst/>
                    </a:prstGeom>
                    <a:noFill/>
                    <a:ln>
                      <a:noFill/>
                    </a:ln>
                  </pic:spPr>
                </pic:pic>
              </a:graphicData>
            </a:graphic>
          </wp:inline>
        </w:drawing>
      </w:r>
    </w:p>
    <w:p>
      <w:pPr>
        <w:pStyle w:val="18"/>
        <w:jc w:val="center"/>
        <w:outlineLvl w:val="0"/>
        <w:rPr>
          <w:rFonts w:ascii="Times New Roman" w:hAnsi="Times New Roman"/>
          <w:snapToGrid w:val="0"/>
          <w:color w:val="auto"/>
          <w:sz w:val="30"/>
          <w:szCs w:val="30"/>
        </w:rPr>
      </w:pPr>
      <w:r>
        <w:rPr>
          <w:rFonts w:hint="eastAsia" w:ascii="Times New Roman" w:hAnsi="Times New Roman"/>
          <w:b/>
          <w:bCs/>
          <w:snapToGrid w:val="0"/>
          <w:color w:val="auto"/>
          <w:sz w:val="30"/>
          <w:szCs w:val="30"/>
        </w:rPr>
        <w:t>一、建设项目基本情况</w:t>
      </w:r>
    </w:p>
    <w:tbl>
      <w:tblPr>
        <w:tblStyle w:val="21"/>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36"/>
        <w:gridCol w:w="2651"/>
        <w:gridCol w:w="1688"/>
        <w:gridCol w:w="7"/>
        <w:gridCol w:w="2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建设项目名称</w:t>
            </w:r>
          </w:p>
        </w:tc>
        <w:tc>
          <w:tcPr>
            <w:tcW w:w="4017" w:type="pct"/>
            <w:gridSpan w:val="4"/>
            <w:vAlign w:val="center"/>
          </w:tcPr>
          <w:p>
            <w:pPr>
              <w:adjustRightInd w:val="0"/>
              <w:snapToGrid w:val="0"/>
              <w:jc w:val="center"/>
              <w:rPr>
                <w:rFonts w:cs="宋体"/>
                <w:color w:val="auto"/>
                <w:sz w:val="24"/>
              </w:rPr>
            </w:pPr>
            <w:r>
              <w:rPr>
                <w:rFonts w:hint="eastAsia" w:cs="宋体"/>
                <w:color w:val="auto"/>
                <w:sz w:val="24"/>
              </w:rPr>
              <w:t>年产3万吨直径600mm及以上超高功率电极项目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项目代码</w:t>
            </w:r>
          </w:p>
        </w:tc>
        <w:tc>
          <w:tcPr>
            <w:tcW w:w="4017" w:type="pct"/>
            <w:gridSpan w:val="4"/>
            <w:vAlign w:val="center"/>
          </w:tcPr>
          <w:p>
            <w:pPr>
              <w:adjustRightInd w:val="0"/>
              <w:snapToGrid w:val="0"/>
              <w:jc w:val="center"/>
              <w:rPr>
                <w:rFonts w:cs="宋体"/>
                <w:color w:val="auto"/>
                <w:sz w:val="24"/>
              </w:rPr>
            </w:pPr>
            <w:r>
              <w:rPr>
                <w:rFonts w:hint="eastAsia" w:cs="宋体"/>
                <w:color w:val="auto"/>
                <w:sz w:val="24"/>
              </w:rPr>
              <w:t>2017-140251-89-01-485695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建设单位联系人</w:t>
            </w:r>
          </w:p>
        </w:tc>
        <w:tc>
          <w:tcPr>
            <w:tcW w:w="1591" w:type="pct"/>
            <w:vAlign w:val="center"/>
          </w:tcPr>
          <w:p>
            <w:pPr>
              <w:adjustRightInd w:val="0"/>
              <w:snapToGrid w:val="0"/>
              <w:jc w:val="center"/>
              <w:rPr>
                <w:rFonts w:cs="宋体"/>
                <w:color w:val="auto"/>
                <w:sz w:val="24"/>
              </w:rPr>
            </w:pPr>
            <w:r>
              <w:rPr>
                <w:rFonts w:hint="eastAsia" w:cs="宋体"/>
                <w:color w:val="auto"/>
                <w:sz w:val="24"/>
              </w:rPr>
              <w:t>王惠箴</w:t>
            </w:r>
          </w:p>
        </w:tc>
        <w:tc>
          <w:tcPr>
            <w:tcW w:w="1017" w:type="pct"/>
            <w:gridSpan w:val="2"/>
            <w:vAlign w:val="center"/>
          </w:tcPr>
          <w:p>
            <w:pPr>
              <w:adjustRightInd w:val="0"/>
              <w:snapToGrid w:val="0"/>
              <w:jc w:val="center"/>
              <w:rPr>
                <w:rFonts w:cs="宋体"/>
                <w:color w:val="auto"/>
                <w:sz w:val="24"/>
              </w:rPr>
            </w:pPr>
            <w:r>
              <w:rPr>
                <w:rFonts w:hint="eastAsia" w:cs="宋体"/>
                <w:color w:val="auto"/>
                <w:sz w:val="24"/>
              </w:rPr>
              <w:t>联系方式</w:t>
            </w:r>
          </w:p>
        </w:tc>
        <w:tc>
          <w:tcPr>
            <w:tcW w:w="1408" w:type="pct"/>
            <w:vAlign w:val="center"/>
          </w:tcPr>
          <w:p>
            <w:pPr>
              <w:adjustRightInd w:val="0"/>
              <w:snapToGrid w:val="0"/>
              <w:jc w:val="center"/>
              <w:rPr>
                <w:rFonts w:cs="宋体"/>
                <w:color w:val="auto"/>
                <w:sz w:val="24"/>
              </w:rPr>
            </w:pPr>
            <w:r>
              <w:rPr>
                <w:rFonts w:hint="eastAsia" w:cs="宋体"/>
                <w:color w:val="auto"/>
                <w:sz w:val="24"/>
              </w:rPr>
              <w:t>18635230271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建设地点</w:t>
            </w:r>
          </w:p>
        </w:tc>
        <w:tc>
          <w:tcPr>
            <w:tcW w:w="4017" w:type="pct"/>
            <w:gridSpan w:val="4"/>
            <w:vAlign w:val="center"/>
          </w:tcPr>
          <w:p>
            <w:pPr>
              <w:adjustRightInd w:val="0"/>
              <w:snapToGrid w:val="0"/>
              <w:jc w:val="center"/>
              <w:rPr>
                <w:rFonts w:cs="宋体"/>
                <w:color w:val="auto"/>
                <w:sz w:val="24"/>
              </w:rPr>
            </w:pPr>
            <w:r>
              <w:rPr>
                <w:rFonts w:hint="eastAsia" w:cs="宋体"/>
                <w:color w:val="auto"/>
                <w:sz w:val="24"/>
              </w:rPr>
              <w:t>大同</w:t>
            </w:r>
            <w:r>
              <w:rPr>
                <w:rFonts w:hint="eastAsia" w:cs="宋体"/>
                <w:color w:val="auto"/>
                <w:sz w:val="24"/>
                <w:u w:val="single"/>
              </w:rPr>
              <w:t>市</w:t>
            </w:r>
            <w:r>
              <w:rPr>
                <w:rFonts w:hint="eastAsia" w:cs="宋体"/>
                <w:color w:val="auto"/>
                <w:sz w:val="24"/>
              </w:rPr>
              <w:t>大同经开区高新技术产业园常家堡村</w:t>
            </w:r>
            <w:r>
              <w:rPr>
                <w:rFonts w:hint="eastAsia" w:cs="宋体"/>
                <w:color w:val="auto"/>
                <w:sz w:val="24"/>
                <w:u w:val="single"/>
              </w:rPr>
              <w:t>西</w:t>
            </w:r>
            <w:r>
              <w:rPr>
                <w:rFonts w:hint="eastAsia" w:cs="宋体"/>
                <w:color w:val="auto"/>
                <w:sz w:val="24"/>
                <w:lang w:val="en-US" w:eastAsia="zh-CN"/>
              </w:rPr>
              <w:t>1.2</w:t>
            </w:r>
            <w:r>
              <w:rPr>
                <w:rFonts w:hint="eastAsia" w:cs="宋体"/>
                <w:color w:val="auto"/>
                <w:sz w:val="24"/>
              </w:rPr>
              <w:t>km处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地理坐标</w:t>
            </w:r>
          </w:p>
        </w:tc>
        <w:tc>
          <w:tcPr>
            <w:tcW w:w="4017" w:type="pct"/>
            <w:gridSpan w:val="4"/>
            <w:vAlign w:val="center"/>
          </w:tcPr>
          <w:p>
            <w:pPr>
              <w:adjustRightInd w:val="0"/>
              <w:snapToGrid w:val="0"/>
              <w:jc w:val="center"/>
              <w:rPr>
                <w:rFonts w:cs="宋体"/>
                <w:color w:val="auto"/>
                <w:sz w:val="24"/>
              </w:rPr>
            </w:pPr>
            <w:r>
              <w:rPr>
                <w:rFonts w:hint="eastAsia" w:cs="宋体"/>
                <w:color w:val="auto"/>
                <w:sz w:val="24"/>
                <w:u w:val="single"/>
              </w:rPr>
              <w:t>113</w:t>
            </w:r>
            <w:r>
              <w:rPr>
                <w:rFonts w:hint="eastAsia" w:cs="宋体"/>
                <w:color w:val="auto"/>
                <w:sz w:val="24"/>
              </w:rPr>
              <w:t>度</w:t>
            </w:r>
            <w:r>
              <w:rPr>
                <w:rFonts w:hint="eastAsia" w:cs="宋体"/>
                <w:color w:val="auto"/>
                <w:sz w:val="24"/>
                <w:u w:val="single"/>
                <w:lang w:val="en-US" w:eastAsia="zh-CN"/>
              </w:rPr>
              <w:t>27</w:t>
            </w:r>
            <w:r>
              <w:rPr>
                <w:rFonts w:hint="eastAsia" w:cs="宋体"/>
                <w:color w:val="auto"/>
                <w:sz w:val="24"/>
              </w:rPr>
              <w:t>分</w:t>
            </w:r>
            <w:r>
              <w:rPr>
                <w:rFonts w:hint="eastAsia" w:cs="宋体"/>
                <w:color w:val="auto"/>
                <w:sz w:val="24"/>
                <w:u w:val="single"/>
                <w:lang w:val="en-US" w:eastAsia="zh-CN"/>
              </w:rPr>
              <w:t>47.571</w:t>
            </w:r>
            <w:r>
              <w:rPr>
                <w:rFonts w:hint="eastAsia" w:cs="宋体"/>
                <w:color w:val="auto"/>
                <w:sz w:val="24"/>
              </w:rPr>
              <w:t>秒，</w:t>
            </w:r>
            <w:r>
              <w:rPr>
                <w:rFonts w:hint="eastAsia" w:cs="宋体"/>
                <w:color w:val="auto"/>
                <w:sz w:val="24"/>
                <w:u w:val="single"/>
              </w:rPr>
              <w:t>39</w:t>
            </w:r>
            <w:r>
              <w:rPr>
                <w:rFonts w:hint="eastAsia" w:cs="宋体"/>
                <w:color w:val="auto"/>
                <w:sz w:val="24"/>
              </w:rPr>
              <w:t>度</w:t>
            </w:r>
            <w:r>
              <w:rPr>
                <w:rFonts w:hint="eastAsia" w:cs="宋体"/>
                <w:color w:val="auto"/>
                <w:sz w:val="24"/>
                <w:u w:val="single"/>
              </w:rPr>
              <w:t>53</w:t>
            </w:r>
            <w:r>
              <w:rPr>
                <w:rFonts w:hint="eastAsia" w:cs="宋体"/>
                <w:color w:val="auto"/>
                <w:sz w:val="24"/>
              </w:rPr>
              <w:t>分</w:t>
            </w:r>
            <w:r>
              <w:rPr>
                <w:rFonts w:hint="eastAsia" w:cs="宋体"/>
                <w:color w:val="auto"/>
                <w:sz w:val="24"/>
                <w:u w:val="single"/>
                <w:lang w:val="en-US" w:eastAsia="zh-CN"/>
              </w:rPr>
              <w:t>4.872</w:t>
            </w:r>
            <w:r>
              <w:rPr>
                <w:rFonts w:hint="eastAsia" w:cs="宋体"/>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国民经济</w:t>
            </w:r>
          </w:p>
          <w:p>
            <w:pPr>
              <w:adjustRightInd w:val="0"/>
              <w:snapToGrid w:val="0"/>
              <w:jc w:val="center"/>
              <w:rPr>
                <w:rFonts w:cs="宋体"/>
                <w:color w:val="auto"/>
                <w:sz w:val="24"/>
              </w:rPr>
            </w:pPr>
            <w:r>
              <w:rPr>
                <w:rFonts w:hint="eastAsia" w:cs="宋体"/>
                <w:color w:val="auto"/>
                <w:sz w:val="24"/>
              </w:rPr>
              <w:t>行业类别</w:t>
            </w:r>
          </w:p>
        </w:tc>
        <w:tc>
          <w:tcPr>
            <w:tcW w:w="1591" w:type="pct"/>
            <w:vAlign w:val="center"/>
          </w:tcPr>
          <w:p>
            <w:pPr>
              <w:adjustRightInd w:val="0"/>
              <w:snapToGrid w:val="0"/>
              <w:jc w:val="center"/>
              <w:rPr>
                <w:rFonts w:cs="宋体"/>
                <w:color w:val="auto"/>
                <w:sz w:val="24"/>
              </w:rPr>
            </w:pPr>
            <w:r>
              <w:rPr>
                <w:rFonts w:hint="eastAsia" w:cs="宋体"/>
                <w:color w:val="auto"/>
                <w:sz w:val="24"/>
              </w:rPr>
              <w:t>309 石墨及其他非金属矿物制品制造</w:t>
            </w:r>
          </w:p>
        </w:tc>
        <w:tc>
          <w:tcPr>
            <w:tcW w:w="1013" w:type="pct"/>
            <w:vAlign w:val="center"/>
          </w:tcPr>
          <w:p>
            <w:pPr>
              <w:adjustRightInd w:val="0"/>
              <w:snapToGrid w:val="0"/>
              <w:jc w:val="center"/>
              <w:rPr>
                <w:rFonts w:cs="宋体"/>
                <w:color w:val="auto"/>
                <w:sz w:val="24"/>
              </w:rPr>
            </w:pPr>
            <w:r>
              <w:rPr>
                <w:rFonts w:hint="eastAsia" w:cs="宋体"/>
                <w:color w:val="auto"/>
                <w:sz w:val="24"/>
              </w:rPr>
              <w:t>建设项目</w:t>
            </w:r>
          </w:p>
          <w:p>
            <w:pPr>
              <w:adjustRightInd w:val="0"/>
              <w:snapToGrid w:val="0"/>
              <w:jc w:val="center"/>
              <w:rPr>
                <w:rFonts w:cs="宋体"/>
                <w:color w:val="auto"/>
                <w:sz w:val="24"/>
              </w:rPr>
            </w:pPr>
            <w:r>
              <w:rPr>
                <w:rFonts w:hint="eastAsia" w:cs="宋体"/>
                <w:color w:val="auto"/>
                <w:sz w:val="24"/>
              </w:rPr>
              <w:t>行业类别</w:t>
            </w:r>
          </w:p>
        </w:tc>
        <w:tc>
          <w:tcPr>
            <w:tcW w:w="1413" w:type="pct"/>
            <w:gridSpan w:val="2"/>
            <w:vAlign w:val="center"/>
          </w:tcPr>
          <w:p>
            <w:pPr>
              <w:adjustRightInd w:val="0"/>
              <w:snapToGrid w:val="0"/>
              <w:jc w:val="center"/>
              <w:rPr>
                <w:rFonts w:cs="宋体"/>
                <w:color w:val="auto"/>
                <w:sz w:val="24"/>
              </w:rPr>
            </w:pPr>
            <w:r>
              <w:rPr>
                <w:rFonts w:hint="eastAsia" w:cs="宋体"/>
                <w:color w:val="auto"/>
                <w:sz w:val="24"/>
              </w:rPr>
              <w:t>二十七、非金属矿物制品业 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建设性质</w:t>
            </w:r>
          </w:p>
        </w:tc>
        <w:tc>
          <w:tcPr>
            <w:tcW w:w="1591" w:type="pct"/>
            <w:vAlign w:val="center"/>
          </w:tcPr>
          <w:p>
            <w:pPr>
              <w:adjustRightInd w:val="0"/>
              <w:snapToGrid w:val="0"/>
              <w:jc w:val="left"/>
              <w:rPr>
                <w:rFonts w:cs="宋体"/>
                <w:color w:val="auto"/>
                <w:sz w:val="24"/>
              </w:rPr>
            </w:pPr>
            <w:r>
              <w:rPr>
                <w:rFonts w:hint="eastAsia" w:cs="宋体"/>
                <w:color w:val="auto"/>
                <w:sz w:val="24"/>
              </w:rPr>
              <w:t>☑新建（迁建）</w:t>
            </w:r>
          </w:p>
          <w:p>
            <w:pPr>
              <w:adjustRightInd w:val="0"/>
              <w:snapToGrid w:val="0"/>
              <w:jc w:val="left"/>
              <w:rPr>
                <w:rFonts w:cs="宋体"/>
                <w:color w:val="auto"/>
                <w:sz w:val="24"/>
              </w:rPr>
            </w:pPr>
            <w:r>
              <w:rPr>
                <w:rFonts w:hint="eastAsia" w:cs="宋体"/>
                <w:color w:val="auto"/>
                <w:sz w:val="24"/>
              </w:rPr>
              <w:t>□改建</w:t>
            </w:r>
          </w:p>
          <w:p>
            <w:pPr>
              <w:adjustRightInd w:val="0"/>
              <w:snapToGrid w:val="0"/>
              <w:jc w:val="left"/>
              <w:rPr>
                <w:rFonts w:cs="宋体"/>
                <w:color w:val="auto"/>
                <w:sz w:val="24"/>
              </w:rPr>
            </w:pPr>
            <w:r>
              <w:rPr>
                <w:rFonts w:hint="eastAsia" w:cs="宋体"/>
                <w:color w:val="auto"/>
                <w:sz w:val="24"/>
              </w:rPr>
              <w:t>□扩建</w:t>
            </w:r>
          </w:p>
          <w:p>
            <w:pPr>
              <w:adjustRightInd w:val="0"/>
              <w:snapToGrid w:val="0"/>
              <w:jc w:val="left"/>
              <w:rPr>
                <w:rFonts w:cs="宋体"/>
                <w:color w:val="auto"/>
                <w:sz w:val="24"/>
              </w:rPr>
            </w:pPr>
            <w:r>
              <w:rPr>
                <w:rFonts w:hint="eastAsia" w:cs="宋体"/>
                <w:color w:val="auto"/>
                <w:sz w:val="24"/>
              </w:rPr>
              <w:t>□技术改造</w:t>
            </w:r>
          </w:p>
        </w:tc>
        <w:tc>
          <w:tcPr>
            <w:tcW w:w="1013" w:type="pct"/>
            <w:vAlign w:val="center"/>
          </w:tcPr>
          <w:p>
            <w:pPr>
              <w:adjustRightInd w:val="0"/>
              <w:snapToGrid w:val="0"/>
              <w:jc w:val="center"/>
              <w:rPr>
                <w:rFonts w:cs="宋体"/>
                <w:color w:val="auto"/>
                <w:sz w:val="24"/>
              </w:rPr>
            </w:pPr>
            <w:r>
              <w:rPr>
                <w:rFonts w:hint="eastAsia" w:cs="宋体"/>
                <w:color w:val="auto"/>
                <w:sz w:val="24"/>
              </w:rPr>
              <w:t>建设项目</w:t>
            </w:r>
          </w:p>
          <w:p>
            <w:pPr>
              <w:adjustRightInd w:val="0"/>
              <w:snapToGrid w:val="0"/>
              <w:jc w:val="center"/>
              <w:rPr>
                <w:rFonts w:cs="宋体"/>
                <w:color w:val="auto"/>
                <w:sz w:val="24"/>
              </w:rPr>
            </w:pPr>
            <w:r>
              <w:rPr>
                <w:rFonts w:hint="eastAsia" w:cs="宋体"/>
                <w:color w:val="auto"/>
                <w:sz w:val="24"/>
              </w:rPr>
              <w:t>申报情形</w:t>
            </w:r>
          </w:p>
        </w:tc>
        <w:tc>
          <w:tcPr>
            <w:tcW w:w="1413" w:type="pct"/>
            <w:gridSpan w:val="2"/>
            <w:vAlign w:val="center"/>
          </w:tcPr>
          <w:p>
            <w:pPr>
              <w:adjustRightInd w:val="0"/>
              <w:snapToGrid w:val="0"/>
              <w:jc w:val="left"/>
              <w:rPr>
                <w:rFonts w:cs="宋体"/>
                <w:color w:val="auto"/>
                <w:sz w:val="24"/>
              </w:rPr>
            </w:pPr>
            <w:r>
              <w:rPr>
                <w:rFonts w:hint="eastAsia" w:cs="宋体"/>
                <w:color w:val="auto"/>
                <w:sz w:val="24"/>
              </w:rPr>
              <w:sym w:font="Wingdings 2" w:char="0052"/>
            </w:r>
            <w:r>
              <w:rPr>
                <w:rFonts w:hint="eastAsia" w:cs="宋体"/>
                <w:color w:val="auto"/>
                <w:sz w:val="24"/>
              </w:rPr>
              <w:t>首次申报项目</w:t>
            </w:r>
          </w:p>
          <w:p>
            <w:pPr>
              <w:adjustRightInd w:val="0"/>
              <w:snapToGrid w:val="0"/>
              <w:jc w:val="left"/>
              <w:rPr>
                <w:rFonts w:cs="宋体"/>
                <w:color w:val="auto"/>
                <w:sz w:val="24"/>
              </w:rPr>
            </w:pPr>
            <w:r>
              <w:rPr>
                <w:rFonts w:hint="eastAsia" w:cs="宋体"/>
                <w:color w:val="auto"/>
                <w:sz w:val="24"/>
              </w:rPr>
              <w:t>□不予批准后再次申报项目</w:t>
            </w:r>
          </w:p>
          <w:p>
            <w:pPr>
              <w:adjustRightInd w:val="0"/>
              <w:snapToGrid w:val="0"/>
              <w:jc w:val="left"/>
              <w:rPr>
                <w:rFonts w:cs="宋体"/>
                <w:color w:val="auto"/>
                <w:sz w:val="24"/>
              </w:rPr>
            </w:pPr>
            <w:r>
              <w:rPr>
                <w:rFonts w:hint="eastAsia" w:cs="宋体"/>
                <w:color w:val="auto"/>
                <w:sz w:val="24"/>
              </w:rPr>
              <w:t>□超五年重新审核项目</w:t>
            </w:r>
          </w:p>
          <w:p>
            <w:pPr>
              <w:adjustRightInd w:val="0"/>
              <w:snapToGrid w:val="0"/>
              <w:rPr>
                <w:rFonts w:cs="宋体"/>
                <w:color w:val="auto"/>
                <w:sz w:val="24"/>
              </w:rPr>
            </w:pPr>
            <w:r>
              <w:rPr>
                <w:rFonts w:hint="eastAsia" w:cs="宋体"/>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项目审批（核准</w:t>
            </w:r>
            <w:r>
              <w:rPr>
                <w:rFonts w:cs="宋体"/>
                <w:color w:val="auto"/>
                <w:sz w:val="24"/>
              </w:rPr>
              <w:t>/</w:t>
            </w:r>
          </w:p>
          <w:p>
            <w:pPr>
              <w:adjustRightInd w:val="0"/>
              <w:snapToGrid w:val="0"/>
              <w:jc w:val="center"/>
              <w:rPr>
                <w:rFonts w:cs="宋体"/>
                <w:color w:val="auto"/>
                <w:sz w:val="24"/>
              </w:rPr>
            </w:pPr>
            <w:r>
              <w:rPr>
                <w:rFonts w:hint="eastAsia" w:cs="宋体"/>
                <w:color w:val="auto"/>
                <w:sz w:val="24"/>
              </w:rPr>
              <w:t>备案）部门（选填）</w:t>
            </w:r>
          </w:p>
        </w:tc>
        <w:tc>
          <w:tcPr>
            <w:tcW w:w="1591" w:type="pct"/>
            <w:vAlign w:val="center"/>
          </w:tcPr>
          <w:p>
            <w:pPr>
              <w:adjustRightInd w:val="0"/>
              <w:snapToGrid w:val="0"/>
              <w:jc w:val="center"/>
              <w:rPr>
                <w:rFonts w:cs="宋体"/>
                <w:color w:val="auto"/>
                <w:sz w:val="24"/>
              </w:rPr>
            </w:pPr>
            <w:r>
              <w:rPr>
                <w:rFonts w:hint="eastAsia" w:cs="宋体"/>
                <w:color w:val="auto"/>
                <w:sz w:val="24"/>
              </w:rPr>
              <w:t>大同经济技术开发区行政审批局</w:t>
            </w:r>
          </w:p>
        </w:tc>
        <w:tc>
          <w:tcPr>
            <w:tcW w:w="1013" w:type="pct"/>
            <w:vAlign w:val="center"/>
          </w:tcPr>
          <w:p>
            <w:pPr>
              <w:adjustRightInd w:val="0"/>
              <w:snapToGrid w:val="0"/>
              <w:jc w:val="center"/>
              <w:rPr>
                <w:rFonts w:cs="宋体"/>
                <w:color w:val="auto"/>
                <w:sz w:val="24"/>
              </w:rPr>
            </w:pPr>
            <w:r>
              <w:rPr>
                <w:rFonts w:hint="eastAsia" w:cs="宋体"/>
                <w:color w:val="auto"/>
                <w:sz w:val="24"/>
              </w:rPr>
              <w:t>项目审批（核准</w:t>
            </w:r>
            <w:r>
              <w:rPr>
                <w:rFonts w:cs="宋体"/>
                <w:color w:val="auto"/>
                <w:sz w:val="24"/>
              </w:rPr>
              <w:t>/</w:t>
            </w:r>
          </w:p>
          <w:p>
            <w:pPr>
              <w:adjustRightInd w:val="0"/>
              <w:snapToGrid w:val="0"/>
              <w:jc w:val="center"/>
              <w:rPr>
                <w:rFonts w:cs="宋体"/>
                <w:color w:val="auto"/>
                <w:sz w:val="24"/>
              </w:rPr>
            </w:pPr>
            <w:r>
              <w:rPr>
                <w:rFonts w:hint="eastAsia" w:cs="宋体"/>
                <w:color w:val="auto"/>
                <w:sz w:val="24"/>
              </w:rPr>
              <w:t>备案）文号（选填）</w:t>
            </w:r>
          </w:p>
        </w:tc>
        <w:tc>
          <w:tcPr>
            <w:tcW w:w="1413" w:type="pct"/>
            <w:gridSpan w:val="2"/>
            <w:vAlign w:val="center"/>
          </w:tcPr>
          <w:p>
            <w:pPr>
              <w:adjustRightInd w:val="0"/>
              <w:snapToGrid w:val="0"/>
              <w:jc w:val="center"/>
              <w:rPr>
                <w:rFonts w:hint="eastAsia" w:cs="宋体"/>
                <w:color w:val="auto"/>
                <w:sz w:val="24"/>
              </w:rPr>
            </w:pPr>
            <w:r>
              <w:rPr>
                <w:rFonts w:hint="eastAsia" w:cs="宋体"/>
                <w:color w:val="auto"/>
                <w:sz w:val="24"/>
              </w:rPr>
              <w:t>同开审批函[2021]</w:t>
            </w:r>
          </w:p>
          <w:p>
            <w:pPr>
              <w:adjustRightInd w:val="0"/>
              <w:snapToGrid w:val="0"/>
              <w:jc w:val="center"/>
              <w:rPr>
                <w:rFonts w:cs="宋体"/>
                <w:color w:val="auto"/>
                <w:sz w:val="24"/>
              </w:rPr>
            </w:pPr>
            <w:r>
              <w:rPr>
                <w:rFonts w:hint="eastAsia" w:cs="宋体"/>
                <w:color w:val="auto"/>
                <w:sz w:val="24"/>
              </w:rPr>
              <w:t>40号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总投资（万元）</w:t>
            </w:r>
          </w:p>
        </w:tc>
        <w:tc>
          <w:tcPr>
            <w:tcW w:w="1591" w:type="pct"/>
            <w:vAlign w:val="center"/>
          </w:tcPr>
          <w:p>
            <w:pPr>
              <w:adjustRightInd w:val="0"/>
              <w:snapToGrid w:val="0"/>
              <w:jc w:val="center"/>
              <w:rPr>
                <w:rFonts w:cs="宋体"/>
                <w:color w:val="auto"/>
                <w:sz w:val="24"/>
              </w:rPr>
            </w:pPr>
            <w:r>
              <w:rPr>
                <w:rFonts w:hint="eastAsia" w:cs="宋体"/>
                <w:color w:val="auto"/>
                <w:sz w:val="24"/>
              </w:rPr>
              <w:t>45100</w:t>
            </w:r>
          </w:p>
        </w:tc>
        <w:tc>
          <w:tcPr>
            <w:tcW w:w="1013"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环保投资（万元）</w:t>
            </w:r>
          </w:p>
        </w:tc>
        <w:tc>
          <w:tcPr>
            <w:tcW w:w="1413" w:type="pct"/>
            <w:gridSpan w:val="2"/>
            <w:vAlign w:val="center"/>
          </w:tcPr>
          <w:p>
            <w:pPr>
              <w:adjustRightInd w:val="0"/>
              <w:snapToGrid w:val="0"/>
              <w:jc w:val="center"/>
              <w:rPr>
                <w:rFonts w:cs="宋体"/>
                <w:color w:val="auto"/>
                <w:sz w:val="24"/>
              </w:rPr>
            </w:pPr>
            <w:r>
              <w:rPr>
                <w:rFonts w:hint="eastAsia" w:cs="宋体"/>
                <w:color w:val="auto"/>
                <w:sz w:val="24"/>
              </w:rPr>
              <w:t>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环保投资占比（</w:t>
            </w:r>
            <w:r>
              <w:rPr>
                <w:rFonts w:cs="宋体"/>
                <w:color w:val="auto"/>
                <w:sz w:val="24"/>
              </w:rPr>
              <w:t>%</w:t>
            </w:r>
            <w:r>
              <w:rPr>
                <w:rFonts w:hint="eastAsia" w:cs="宋体"/>
                <w:color w:val="auto"/>
                <w:sz w:val="24"/>
              </w:rPr>
              <w:t>）</w:t>
            </w:r>
          </w:p>
        </w:tc>
        <w:tc>
          <w:tcPr>
            <w:tcW w:w="1591" w:type="pct"/>
            <w:vAlign w:val="center"/>
          </w:tcPr>
          <w:p>
            <w:pPr>
              <w:adjustRightInd w:val="0"/>
              <w:snapToGrid w:val="0"/>
              <w:jc w:val="center"/>
              <w:rPr>
                <w:rFonts w:cs="宋体"/>
                <w:color w:val="auto"/>
                <w:sz w:val="24"/>
              </w:rPr>
            </w:pPr>
            <w:r>
              <w:rPr>
                <w:rFonts w:hint="eastAsia" w:cs="宋体"/>
                <w:color w:val="auto"/>
                <w:sz w:val="24"/>
              </w:rPr>
              <w:t>1.80</w:t>
            </w:r>
          </w:p>
        </w:tc>
        <w:tc>
          <w:tcPr>
            <w:tcW w:w="1013"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施工工期</w:t>
            </w:r>
          </w:p>
        </w:tc>
        <w:tc>
          <w:tcPr>
            <w:tcW w:w="1413" w:type="pct"/>
            <w:gridSpan w:val="2"/>
            <w:vAlign w:val="center"/>
          </w:tcPr>
          <w:p>
            <w:pPr>
              <w:adjustRightInd w:val="0"/>
              <w:snapToGrid w:val="0"/>
              <w:jc w:val="center"/>
              <w:rPr>
                <w:rFonts w:cs="宋体"/>
                <w:color w:val="auto"/>
                <w:sz w:val="24"/>
              </w:rPr>
            </w:pPr>
            <w:r>
              <w:rPr>
                <w:rFonts w:hint="eastAsia" w:cs="宋体"/>
                <w:color w:val="auto"/>
                <w:sz w:val="24"/>
              </w:rPr>
              <w:t>36个月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982"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是否开工建设</w:t>
            </w:r>
          </w:p>
        </w:tc>
        <w:tc>
          <w:tcPr>
            <w:tcW w:w="1591" w:type="pct"/>
            <w:vAlign w:val="center"/>
          </w:tcPr>
          <w:p>
            <w:pPr>
              <w:adjustRightInd w:val="0"/>
              <w:snapToGrid w:val="0"/>
              <w:jc w:val="left"/>
              <w:rPr>
                <w:rFonts w:cs="宋体"/>
                <w:color w:val="auto"/>
                <w:sz w:val="24"/>
              </w:rPr>
            </w:pPr>
            <w:r>
              <w:rPr>
                <w:rFonts w:hint="eastAsia" w:cs="宋体"/>
                <w:color w:val="auto"/>
                <w:sz w:val="24"/>
              </w:rPr>
              <w:sym w:font="Wingdings 2" w:char="0052"/>
            </w:r>
            <w:r>
              <w:rPr>
                <w:rFonts w:hint="eastAsia" w:cs="宋体"/>
                <w:color w:val="auto"/>
                <w:sz w:val="24"/>
              </w:rPr>
              <w:t>否</w:t>
            </w:r>
          </w:p>
          <w:p>
            <w:pPr>
              <w:adjustRightInd w:val="0"/>
              <w:snapToGrid w:val="0"/>
              <w:jc w:val="left"/>
              <w:rPr>
                <w:rFonts w:cs="宋体"/>
                <w:color w:val="auto"/>
                <w:sz w:val="24"/>
              </w:rPr>
            </w:pPr>
            <w:r>
              <w:rPr>
                <w:rFonts w:hint="eastAsia" w:cs="宋体"/>
                <w:color w:val="auto"/>
                <w:sz w:val="24"/>
              </w:rPr>
              <w:sym w:font="Wingdings 2" w:char="00A3"/>
            </w:r>
            <w:r>
              <w:rPr>
                <w:rFonts w:hint="eastAsia" w:cs="宋体"/>
                <w:color w:val="auto"/>
                <w:sz w:val="24"/>
              </w:rPr>
              <w:t>是</w:t>
            </w:r>
          </w:p>
        </w:tc>
        <w:tc>
          <w:tcPr>
            <w:tcW w:w="1013" w:type="pct"/>
            <w:tcMar>
              <w:top w:w="16" w:type="dxa"/>
              <w:left w:w="16" w:type="dxa"/>
              <w:right w:w="16" w:type="dxa"/>
            </w:tcMar>
            <w:vAlign w:val="center"/>
          </w:tcPr>
          <w:p>
            <w:pPr>
              <w:adjustRightInd w:val="0"/>
              <w:snapToGrid w:val="0"/>
              <w:jc w:val="center"/>
              <w:rPr>
                <w:rFonts w:cs="宋体"/>
                <w:color w:val="auto"/>
                <w:sz w:val="24"/>
              </w:rPr>
            </w:pPr>
            <w:r>
              <w:rPr>
                <w:rFonts w:hint="eastAsia" w:cs="宋体"/>
                <w:color w:val="auto"/>
                <w:sz w:val="24"/>
              </w:rPr>
              <w:t>用地面积（</w:t>
            </w:r>
            <w:r>
              <w:rPr>
                <w:rFonts w:cs="宋体"/>
                <w:color w:val="auto"/>
                <w:sz w:val="24"/>
              </w:rPr>
              <w:t>m</w:t>
            </w:r>
            <w:r>
              <w:rPr>
                <w:rFonts w:cs="宋体"/>
                <w:color w:val="auto"/>
                <w:sz w:val="24"/>
                <w:vertAlign w:val="superscript"/>
              </w:rPr>
              <w:t>2</w:t>
            </w:r>
            <w:r>
              <w:rPr>
                <w:rFonts w:hint="eastAsia" w:cs="宋体"/>
                <w:color w:val="auto"/>
                <w:sz w:val="24"/>
              </w:rPr>
              <w:t>）</w:t>
            </w:r>
          </w:p>
        </w:tc>
        <w:tc>
          <w:tcPr>
            <w:tcW w:w="1413" w:type="pct"/>
            <w:gridSpan w:val="2"/>
            <w:vAlign w:val="center"/>
          </w:tcPr>
          <w:p>
            <w:pPr>
              <w:adjustRightInd w:val="0"/>
              <w:snapToGrid w:val="0"/>
              <w:jc w:val="center"/>
              <w:rPr>
                <w:rFonts w:hint="default" w:eastAsia="宋体" w:cs="宋体"/>
                <w:color w:val="auto"/>
                <w:sz w:val="24"/>
                <w:lang w:val="en-US" w:eastAsia="zh-CN"/>
              </w:rPr>
            </w:pPr>
            <w:r>
              <w:rPr>
                <w:rFonts w:hint="eastAsia" w:cs="宋体"/>
                <w:color w:val="auto"/>
                <w:sz w:val="24"/>
                <w:lang w:val="en-US" w:eastAsia="zh-CN"/>
              </w:rPr>
              <w:t>74550.5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982" w:type="pct"/>
            <w:tcMar>
              <w:top w:w="16" w:type="dxa"/>
              <w:left w:w="16" w:type="dxa"/>
              <w:right w:w="16" w:type="dxa"/>
            </w:tcMar>
            <w:vAlign w:val="center"/>
          </w:tcPr>
          <w:p>
            <w:pPr>
              <w:autoSpaceDE w:val="0"/>
              <w:autoSpaceDN w:val="0"/>
              <w:adjustRightInd w:val="0"/>
              <w:snapToGrid w:val="0"/>
              <w:jc w:val="center"/>
              <w:rPr>
                <w:rFonts w:cs="宋体"/>
                <w:color w:val="auto"/>
                <w:kern w:val="0"/>
                <w:sz w:val="24"/>
              </w:rPr>
            </w:pPr>
            <w:r>
              <w:rPr>
                <w:rFonts w:hint="eastAsia" w:cs="宋体"/>
                <w:color w:val="auto"/>
                <w:kern w:val="0"/>
                <w:sz w:val="24"/>
              </w:rPr>
              <w:t>专项评价设置</w:t>
            </w:r>
          </w:p>
          <w:p>
            <w:pPr>
              <w:autoSpaceDE w:val="0"/>
              <w:autoSpaceDN w:val="0"/>
              <w:adjustRightInd w:val="0"/>
              <w:snapToGrid w:val="0"/>
              <w:jc w:val="center"/>
              <w:rPr>
                <w:rFonts w:cs="宋体"/>
                <w:color w:val="auto"/>
                <w:kern w:val="0"/>
                <w:sz w:val="24"/>
              </w:rPr>
            </w:pPr>
            <w:r>
              <w:rPr>
                <w:rFonts w:hint="eastAsia" w:cs="宋体"/>
                <w:color w:val="auto"/>
                <w:kern w:val="0"/>
                <w:sz w:val="24"/>
              </w:rPr>
              <w:t>情况</w:t>
            </w:r>
          </w:p>
        </w:tc>
        <w:tc>
          <w:tcPr>
            <w:tcW w:w="4017" w:type="pct"/>
            <w:gridSpan w:val="4"/>
            <w:tcMar>
              <w:top w:w="16" w:type="dxa"/>
              <w:left w:w="16" w:type="dxa"/>
              <w:right w:w="16" w:type="dxa"/>
            </w:tcMar>
            <w:vAlign w:val="center"/>
          </w:tcPr>
          <w:p>
            <w:pPr>
              <w:autoSpaceDE w:val="0"/>
              <w:autoSpaceDN w:val="0"/>
              <w:adjustRightInd w:val="0"/>
              <w:snapToGrid w:val="0"/>
              <w:jc w:val="center"/>
              <w:rPr>
                <w:rFonts w:hint="default" w:eastAsia="宋体" w:cs="宋体"/>
                <w:color w:val="auto"/>
                <w:kern w:val="0"/>
                <w:sz w:val="24"/>
                <w:lang w:val="en-US" w:eastAsia="zh-CN"/>
              </w:rPr>
            </w:pPr>
            <w:r>
              <w:rPr>
                <w:rFonts w:hint="eastAsia" w:cs="宋体"/>
                <w:color w:val="auto"/>
                <w:kern w:val="0"/>
                <w:sz w:val="24"/>
                <w:lang w:val="en-US" w:eastAsia="zh-CN"/>
              </w:rPr>
              <w:t>项目厂界外500m范围内没有环境空气敏感目标，因此不开展大气环境影响专项评价；项目无废水直接外排，因此不开展地表水专项评价；项目有毒有害和易燃易爆危险物质存储量未超过临界量，因此不开展环境风险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2" w:type="pct"/>
            <w:tcMar>
              <w:top w:w="16" w:type="dxa"/>
              <w:left w:w="16" w:type="dxa"/>
              <w:right w:w="16" w:type="dxa"/>
            </w:tcMar>
            <w:vAlign w:val="center"/>
          </w:tcPr>
          <w:p>
            <w:pPr>
              <w:pStyle w:val="2"/>
              <w:spacing w:after="0"/>
              <w:ind w:left="0" w:leftChars="0" w:firstLine="0" w:firstLineChars="0"/>
              <w:jc w:val="center"/>
              <w:rPr>
                <w:rFonts w:cs="宋体"/>
                <w:color w:val="auto"/>
                <w:sz w:val="24"/>
              </w:rPr>
            </w:pPr>
            <w:r>
              <w:rPr>
                <w:rFonts w:hint="eastAsia" w:cs="宋体"/>
                <w:color w:val="auto"/>
                <w:sz w:val="24"/>
              </w:rPr>
              <w:t>规划情况</w:t>
            </w:r>
          </w:p>
        </w:tc>
        <w:tc>
          <w:tcPr>
            <w:tcW w:w="4017" w:type="pct"/>
            <w:gridSpan w:val="4"/>
            <w:tcMar>
              <w:top w:w="16" w:type="dxa"/>
              <w:left w:w="16" w:type="dxa"/>
              <w:right w:w="16" w:type="dxa"/>
            </w:tcMar>
            <w:vAlign w:val="center"/>
          </w:tcPr>
          <w:p>
            <w:pPr>
              <w:pStyle w:val="2"/>
              <w:spacing w:after="0"/>
              <w:ind w:left="42" w:leftChars="20" w:right="42" w:rightChars="20" w:firstLine="0" w:firstLineChars="0"/>
              <w:jc w:val="center"/>
              <w:rPr>
                <w:rFonts w:hint="default" w:eastAsia="宋体" w:cs="宋体"/>
                <w:color w:val="auto"/>
                <w:sz w:val="24"/>
                <w:lang w:val="en-US" w:eastAsia="zh-CN"/>
              </w:rPr>
            </w:pPr>
            <w:r>
              <w:rPr>
                <w:rFonts w:hint="eastAsia" w:cs="宋体"/>
                <w:color w:val="auto"/>
                <w:sz w:val="24"/>
                <w:lang w:val="en-US" w:eastAsia="zh-CN"/>
              </w:rPr>
              <w:t>项目厂址位于大同市医药工业园区，规划名称为大同市医药工业园区发展规划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982" w:type="pct"/>
            <w:tcMar>
              <w:top w:w="16" w:type="dxa"/>
              <w:left w:w="16" w:type="dxa"/>
              <w:right w:w="16" w:type="dxa"/>
            </w:tcMar>
            <w:vAlign w:val="center"/>
          </w:tcPr>
          <w:p>
            <w:pPr>
              <w:autoSpaceDE w:val="0"/>
              <w:autoSpaceDN w:val="0"/>
              <w:adjustRightInd w:val="0"/>
              <w:snapToGrid w:val="0"/>
              <w:jc w:val="center"/>
              <w:rPr>
                <w:rFonts w:cs="宋体"/>
                <w:color w:val="auto"/>
                <w:sz w:val="24"/>
              </w:rPr>
            </w:pPr>
            <w:r>
              <w:rPr>
                <w:rFonts w:hint="eastAsia" w:cs="宋体"/>
                <w:color w:val="auto"/>
                <w:sz w:val="24"/>
              </w:rPr>
              <w:t>规划环境影响</w:t>
            </w:r>
          </w:p>
          <w:p>
            <w:pPr>
              <w:autoSpaceDE w:val="0"/>
              <w:autoSpaceDN w:val="0"/>
              <w:adjustRightInd w:val="0"/>
              <w:snapToGrid w:val="0"/>
              <w:jc w:val="center"/>
              <w:rPr>
                <w:rFonts w:cs="宋体"/>
                <w:color w:val="auto"/>
                <w:kern w:val="0"/>
                <w:sz w:val="24"/>
              </w:rPr>
            </w:pPr>
            <w:r>
              <w:rPr>
                <w:rFonts w:hint="eastAsia" w:cs="宋体"/>
                <w:color w:val="auto"/>
                <w:sz w:val="24"/>
              </w:rPr>
              <w:t>评价情况</w:t>
            </w:r>
          </w:p>
        </w:tc>
        <w:tc>
          <w:tcPr>
            <w:tcW w:w="4017" w:type="pct"/>
            <w:gridSpan w:val="4"/>
            <w:tcMar>
              <w:top w:w="16" w:type="dxa"/>
              <w:left w:w="16" w:type="dxa"/>
              <w:right w:w="16" w:type="dxa"/>
            </w:tcMar>
            <w:vAlign w:val="center"/>
          </w:tcPr>
          <w:p>
            <w:pPr>
              <w:adjustRightInd w:val="0"/>
              <w:snapToGrid w:val="0"/>
              <w:spacing w:line="240" w:lineRule="auto"/>
              <w:jc w:val="center"/>
              <w:rPr>
                <w:rFonts w:cs="宋体"/>
                <w:color w:val="auto"/>
                <w:kern w:val="0"/>
                <w:sz w:val="24"/>
              </w:rPr>
            </w:pPr>
            <w:r>
              <w:rPr>
                <w:rFonts w:cs="宋体"/>
                <w:color w:val="auto"/>
                <w:kern w:val="0"/>
                <w:sz w:val="24"/>
              </w:rPr>
              <w:t>《大同市医药工业园区发展规划环境影响报告书》由山西省生态环境研究中心编制完成。2012年，原山西省环境保护厅以晋环函</w:t>
            </w:r>
            <w:r>
              <w:rPr>
                <w:rFonts w:hint="eastAsia" w:cs="宋体"/>
                <w:color w:val="auto"/>
                <w:kern w:val="0"/>
                <w:sz w:val="24"/>
              </w:rPr>
              <w:t>〔</w:t>
            </w:r>
            <w:r>
              <w:rPr>
                <w:rFonts w:cs="宋体"/>
                <w:color w:val="auto"/>
                <w:kern w:val="0"/>
                <w:sz w:val="24"/>
              </w:rPr>
              <w:t>2012</w:t>
            </w:r>
            <w:r>
              <w:rPr>
                <w:rFonts w:hint="eastAsia" w:cs="宋体"/>
                <w:color w:val="auto"/>
                <w:kern w:val="0"/>
                <w:sz w:val="24"/>
              </w:rPr>
              <w:t>〕</w:t>
            </w:r>
            <w:r>
              <w:rPr>
                <w:rFonts w:cs="宋体"/>
                <w:color w:val="auto"/>
                <w:kern w:val="0"/>
                <w:sz w:val="24"/>
              </w:rPr>
              <w:t>683号文</w:t>
            </w:r>
            <w:r>
              <w:rPr>
                <w:rFonts w:hint="eastAsia" w:cs="宋体"/>
                <w:color w:val="auto"/>
                <w:kern w:val="0"/>
                <w:sz w:val="24"/>
              </w:rPr>
              <w:t>出具</w:t>
            </w:r>
            <w:r>
              <w:rPr>
                <w:rFonts w:cs="宋体"/>
                <w:color w:val="auto"/>
                <w:kern w:val="0"/>
                <w:sz w:val="24"/>
              </w:rPr>
              <w:t>了《大同市医药工业园区发展规划环境影响报告书》的审查意见。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735" w:hRule="atLeast"/>
          <w:jc w:val="center"/>
        </w:trPr>
        <w:tc>
          <w:tcPr>
            <w:tcW w:w="982" w:type="pct"/>
            <w:tcMar>
              <w:top w:w="16" w:type="dxa"/>
              <w:left w:w="16" w:type="dxa"/>
              <w:right w:w="16" w:type="dxa"/>
            </w:tcMar>
            <w:vAlign w:val="center"/>
          </w:tcPr>
          <w:p>
            <w:pPr>
              <w:autoSpaceDE w:val="0"/>
              <w:autoSpaceDN w:val="0"/>
              <w:adjustRightInd w:val="0"/>
              <w:snapToGrid w:val="0"/>
              <w:jc w:val="center"/>
              <w:rPr>
                <w:rFonts w:cs="宋体"/>
                <w:color w:val="auto"/>
                <w:kern w:val="0"/>
                <w:sz w:val="24"/>
              </w:rPr>
            </w:pPr>
            <w:r>
              <w:rPr>
                <w:rFonts w:hint="eastAsia" w:cs="宋体"/>
                <w:color w:val="auto"/>
                <w:kern w:val="0"/>
                <w:sz w:val="24"/>
              </w:rPr>
              <w:t>规划及</w:t>
            </w:r>
            <w:r>
              <w:rPr>
                <w:rFonts w:hint="eastAsia" w:cs="宋体"/>
                <w:color w:val="auto"/>
                <w:sz w:val="24"/>
              </w:rPr>
              <w:t>规划环境影响评价</w:t>
            </w:r>
            <w:r>
              <w:rPr>
                <w:rFonts w:hint="eastAsia" w:cs="宋体"/>
                <w:color w:val="auto"/>
                <w:kern w:val="0"/>
                <w:sz w:val="24"/>
              </w:rPr>
              <w:t>符合性分析</w:t>
            </w:r>
          </w:p>
        </w:tc>
        <w:tc>
          <w:tcPr>
            <w:tcW w:w="4017" w:type="pct"/>
            <w:gridSpan w:val="4"/>
            <w:tcMar>
              <w:top w:w="16" w:type="dxa"/>
              <w:left w:w="16" w:type="dxa"/>
              <w:right w:w="16" w:type="dxa"/>
            </w:tcMar>
            <w:vAlign w:val="top"/>
          </w:tcPr>
          <w:p>
            <w:pPr>
              <w:adjustRightInd w:val="0"/>
              <w:snapToGrid w:val="0"/>
              <w:spacing w:line="360" w:lineRule="auto"/>
              <w:jc w:val="both"/>
              <w:rPr>
                <w:rFonts w:hint="eastAsia" w:cs="宋体"/>
                <w:color w:val="auto"/>
                <w:kern w:val="0"/>
                <w:sz w:val="24"/>
                <w:lang w:val="en-US" w:eastAsia="zh-CN"/>
              </w:rPr>
            </w:pPr>
            <w:r>
              <w:rPr>
                <w:rFonts w:hint="eastAsia" w:cs="宋体"/>
                <w:color w:val="auto"/>
                <w:kern w:val="0"/>
                <w:sz w:val="24"/>
                <w:lang w:val="en-US" w:eastAsia="zh-CN"/>
              </w:rPr>
              <w:t>（1</w:t>
            </w:r>
            <w:r>
              <w:rPr>
                <w:rFonts w:hint="eastAsia" w:cs="宋体"/>
                <w:color w:val="auto"/>
                <w:kern w:val="0"/>
                <w:sz w:val="24"/>
                <w:lang w:eastAsia="zh-CN"/>
              </w:rPr>
              <w:t>）</w:t>
            </w:r>
            <w:r>
              <w:rPr>
                <w:rFonts w:hint="eastAsia" w:cs="宋体"/>
                <w:color w:val="auto"/>
                <w:kern w:val="0"/>
                <w:sz w:val="24"/>
                <w:lang w:val="en-US" w:eastAsia="zh-CN"/>
              </w:rPr>
              <w:t>项目与大同医药工业园区发展规划符合性分析</w:t>
            </w:r>
          </w:p>
          <w:p>
            <w:pPr>
              <w:adjustRightInd w:val="0"/>
              <w:snapToGrid w:val="0"/>
              <w:spacing w:line="360" w:lineRule="auto"/>
              <w:jc w:val="both"/>
              <w:rPr>
                <w:rFonts w:hint="default" w:cs="宋体"/>
                <w:color w:val="auto"/>
                <w:kern w:val="0"/>
                <w:sz w:val="24"/>
                <w:lang w:val="en-US" w:eastAsia="zh-CN"/>
              </w:rPr>
            </w:pPr>
            <w:r>
              <w:rPr>
                <w:rFonts w:hint="eastAsia" w:cs="宋体"/>
                <w:color w:val="auto"/>
                <w:kern w:val="0"/>
                <w:sz w:val="24"/>
                <w:lang w:val="en-US" w:eastAsia="zh-CN"/>
              </w:rPr>
              <w:t xml:space="preserve">    项目占地性质为工业用地，用地规划属于非医药工业用地。目前，建设单位已经与大同经济技术开发区投资促进部签订了园区入区合同。</w:t>
            </w:r>
          </w:p>
          <w:p>
            <w:pPr>
              <w:pStyle w:val="2"/>
              <w:ind w:left="0" w:leftChars="0" w:firstLine="480" w:firstLineChars="200"/>
              <w:jc w:val="both"/>
              <w:rPr>
                <w:rFonts w:hint="eastAsia" w:cs="宋体"/>
                <w:color w:val="auto"/>
                <w:kern w:val="0"/>
                <w:sz w:val="24"/>
                <w:lang w:val="en-US" w:eastAsia="zh-CN"/>
              </w:rPr>
            </w:pPr>
            <w:r>
              <w:rPr>
                <w:rFonts w:hint="eastAsia" w:cs="宋体"/>
                <w:color w:val="auto"/>
                <w:kern w:val="0"/>
                <w:sz w:val="24"/>
                <w:lang w:val="en-US" w:eastAsia="zh-CN"/>
              </w:rPr>
              <w:t>项目与大同医药工业园区相对位置关系如附图1所示。</w:t>
            </w:r>
          </w:p>
          <w:p>
            <w:pPr>
              <w:pStyle w:val="2"/>
              <w:ind w:left="0" w:leftChars="0" w:firstLine="0" w:firstLineChars="0"/>
              <w:jc w:val="both"/>
              <w:rPr>
                <w:rFonts w:hint="default"/>
                <w:color w:val="auto"/>
                <w:lang w:val="en-US" w:eastAsia="zh-CN"/>
              </w:rPr>
            </w:pPr>
            <w:r>
              <w:rPr>
                <w:rFonts w:hint="eastAsia" w:cs="宋体"/>
                <w:color w:val="auto"/>
                <w:kern w:val="0"/>
                <w:sz w:val="24"/>
                <w:lang w:val="en-US" w:eastAsia="zh-CN"/>
              </w:rPr>
              <w:t xml:space="preserve">    项目与大同市医药工业园区发展规划符合性分析如表1所示。</w:t>
            </w:r>
          </w:p>
          <w:p>
            <w:pPr>
              <w:adjustRightInd w:val="0"/>
              <w:snapToGrid w:val="0"/>
              <w:spacing w:line="240" w:lineRule="auto"/>
              <w:jc w:val="both"/>
              <w:rPr>
                <w:rFonts w:hint="default" w:cs="宋体"/>
                <w:b/>
                <w:bCs/>
                <w:color w:val="auto"/>
                <w:kern w:val="0"/>
                <w:sz w:val="24"/>
                <w:lang w:val="en-US" w:eastAsia="zh-CN"/>
              </w:rPr>
            </w:pPr>
            <w:r>
              <w:rPr>
                <w:rFonts w:hint="eastAsia" w:cs="宋体"/>
                <w:b/>
                <w:bCs/>
                <w:color w:val="auto"/>
                <w:kern w:val="0"/>
                <w:sz w:val="24"/>
                <w:lang w:val="en-US" w:eastAsia="zh-CN"/>
              </w:rPr>
              <w:t>表1 项目与大同市医药工业园区发展规划符合性分析一览表</w:t>
            </w:r>
          </w:p>
          <w:tbl>
            <w:tblPr>
              <w:tblStyle w:val="21"/>
              <w:tblW w:w="49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
              <w:gridCol w:w="2292"/>
              <w:gridCol w:w="2912"/>
              <w:gridCol w:w="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2103" w:type="pct"/>
                  <w:gridSpan w:val="2"/>
                  <w:tcBorders>
                    <w:tl2br w:val="nil"/>
                    <w:tr2bl w:val="nil"/>
                  </w:tcBorders>
                  <w:vAlign w:val="center"/>
                </w:tcPr>
                <w:p>
                  <w:pPr>
                    <w:pStyle w:val="47"/>
                    <w:spacing w:line="240" w:lineRule="auto"/>
                    <w:jc w:val="both"/>
                    <w:rPr>
                      <w:rFonts w:hint="eastAsia" w:ascii="宋体" w:hAnsi="宋体" w:eastAsia="宋体" w:cs="宋体"/>
                      <w:b/>
                      <w:color w:val="auto"/>
                      <w:sz w:val="21"/>
                      <w:szCs w:val="21"/>
                    </w:rPr>
                  </w:pPr>
                  <w:r>
                    <w:rPr>
                      <w:rFonts w:hint="eastAsia" w:ascii="宋体" w:hAnsi="宋体" w:eastAsia="宋体" w:cs="宋体"/>
                      <w:b/>
                      <w:color w:val="auto"/>
                      <w:sz w:val="21"/>
                      <w:szCs w:val="21"/>
                    </w:rPr>
                    <w:t>规划要素</w:t>
                  </w:r>
                </w:p>
              </w:tc>
              <w:tc>
                <w:tcPr>
                  <w:tcW w:w="2220" w:type="pct"/>
                  <w:tcBorders>
                    <w:tl2br w:val="nil"/>
                    <w:tr2bl w:val="nil"/>
                  </w:tcBorders>
                  <w:vAlign w:val="center"/>
                </w:tcPr>
                <w:p>
                  <w:pPr>
                    <w:spacing w:line="240" w:lineRule="auto"/>
                    <w:jc w:val="both"/>
                    <w:rPr>
                      <w:rFonts w:hint="eastAsia" w:ascii="宋体" w:hAnsi="宋体" w:eastAsia="宋体" w:cs="宋体"/>
                      <w:b/>
                      <w:color w:val="auto"/>
                      <w:sz w:val="21"/>
                      <w:szCs w:val="21"/>
                    </w:rPr>
                  </w:pPr>
                  <w:r>
                    <w:rPr>
                      <w:rFonts w:hint="eastAsia" w:ascii="宋体" w:hAnsi="宋体" w:eastAsia="宋体" w:cs="宋体"/>
                      <w:b/>
                      <w:color w:val="auto"/>
                      <w:sz w:val="21"/>
                      <w:szCs w:val="21"/>
                    </w:rPr>
                    <w:t>本项目具体情况</w:t>
                  </w:r>
                </w:p>
              </w:tc>
              <w:tc>
                <w:tcPr>
                  <w:tcW w:w="676" w:type="pct"/>
                  <w:tcBorders>
                    <w:tl2br w:val="nil"/>
                    <w:tr2bl w:val="nil"/>
                  </w:tcBorders>
                  <w:vAlign w:val="center"/>
                </w:tcPr>
                <w:p>
                  <w:pPr>
                    <w:spacing w:line="240" w:lineRule="auto"/>
                    <w:jc w:val="both"/>
                    <w:rPr>
                      <w:rFonts w:hint="eastAsia" w:ascii="宋体" w:hAnsi="宋体" w:eastAsia="宋体" w:cs="宋体"/>
                      <w:b/>
                      <w:color w:val="auto"/>
                      <w:sz w:val="21"/>
                      <w:szCs w:val="21"/>
                    </w:rPr>
                  </w:pPr>
                  <w:r>
                    <w:rPr>
                      <w:rFonts w:hint="eastAsia" w:ascii="宋体" w:hAnsi="宋体" w:eastAsia="宋体" w:cs="宋体"/>
                      <w:b/>
                      <w:color w:val="auto"/>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56"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产业布局</w:t>
                  </w:r>
                </w:p>
              </w:tc>
              <w:tc>
                <w:tcPr>
                  <w:tcW w:w="1747"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将原规划中南部20个地块的用地性质由成品药工业用地（16个地块）和供热用地（4个地块）调整为非医药工业用地</w:t>
                  </w:r>
                </w:p>
              </w:tc>
              <w:tc>
                <w:tcPr>
                  <w:tcW w:w="2220"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本项目用地为工业用地，用地规划为非医药工业用地</w:t>
                  </w:r>
                </w:p>
              </w:tc>
              <w:tc>
                <w:tcPr>
                  <w:tcW w:w="676"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56"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产业结构</w:t>
                  </w:r>
                </w:p>
              </w:tc>
              <w:tc>
                <w:tcPr>
                  <w:tcW w:w="1747"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形成以生物制药为支柱，资源深加工、食品加工、汽车销售保养、交通运输等多元化的产业格局</w:t>
                  </w:r>
                </w:p>
              </w:tc>
              <w:tc>
                <w:tcPr>
                  <w:tcW w:w="2220" w:type="pct"/>
                  <w:tcBorders>
                    <w:tl2br w:val="nil"/>
                    <w:tr2bl w:val="nil"/>
                  </w:tcBorders>
                  <w:vAlign w:val="center"/>
                </w:tcPr>
                <w:p>
                  <w:pPr>
                    <w:pStyle w:val="47"/>
                    <w:spacing w:line="240" w:lineRule="auto"/>
                    <w:jc w:val="both"/>
                    <w:rPr>
                      <w:rFonts w:hint="default" w:ascii="宋体" w:hAnsi="宋体" w:eastAsia="宋体" w:cs="宋体"/>
                      <w:color w:val="auto"/>
                      <w:sz w:val="21"/>
                      <w:szCs w:val="21"/>
                      <w:lang w:val="en-US" w:eastAsia="zh-CN"/>
                    </w:rPr>
                  </w:pPr>
                  <w:r>
                    <w:rPr>
                      <w:rFonts w:hint="eastAsia" w:cs="宋体"/>
                      <w:color w:val="auto"/>
                      <w:sz w:val="21"/>
                      <w:szCs w:val="21"/>
                      <w:lang w:val="en-US" w:eastAsia="zh-CN"/>
                    </w:rPr>
                    <w:t>项目以针状焦、煅后石油焦和沥青为原料生产石墨电极，属于资源深加工类产业。</w:t>
                  </w:r>
                </w:p>
              </w:tc>
              <w:tc>
                <w:tcPr>
                  <w:tcW w:w="676"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宋体"/>
                <w:color w:val="auto"/>
                <w:kern w:val="0"/>
                <w:sz w:val="24"/>
                <w:lang w:val="en-US" w:eastAsia="zh-CN"/>
              </w:rPr>
            </w:pPr>
            <w:r>
              <w:rPr>
                <w:rFonts w:hint="eastAsia" w:cs="宋体"/>
                <w:color w:val="auto"/>
                <w:kern w:val="0"/>
                <w:sz w:val="24"/>
                <w:lang w:val="en-US" w:eastAsia="zh-CN"/>
              </w:rPr>
              <w:t xml:space="preserve">  （2）规划环评及审查意见的符合性分析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宋体"/>
                <w:color w:val="auto"/>
                <w:kern w:val="0"/>
                <w:sz w:val="24"/>
                <w:lang w:val="en-US" w:eastAsia="zh-CN"/>
              </w:rPr>
            </w:pPr>
            <w:r>
              <w:rPr>
                <w:rFonts w:hint="eastAsia" w:cs="宋体"/>
                <w:color w:val="auto"/>
                <w:kern w:val="0"/>
                <w:sz w:val="24"/>
                <w:lang w:val="en-US" w:eastAsia="zh-CN"/>
              </w:rPr>
              <w:t>项目与“《大同市医药工业园区发展规划环境影响报告书》审查意见”（晋环函[2012]683号）的符合性分析如表2所示。</w:t>
            </w:r>
          </w:p>
          <w:p>
            <w:pPr>
              <w:spacing w:line="480" w:lineRule="atLeast"/>
              <w:jc w:val="both"/>
              <w:rPr>
                <w:rFonts w:hint="eastAsia" w:cs="宋体"/>
                <w:b/>
                <w:bCs/>
                <w:color w:val="auto"/>
                <w:kern w:val="0"/>
                <w:sz w:val="24"/>
                <w:lang w:val="en-US" w:eastAsia="zh-CN"/>
              </w:rPr>
            </w:pPr>
            <w:r>
              <w:rPr>
                <w:rFonts w:hint="eastAsia" w:cs="宋体"/>
                <w:color w:val="auto"/>
                <w:kern w:val="0"/>
                <w:sz w:val="24"/>
                <w:lang w:val="en-US" w:eastAsia="zh-CN"/>
              </w:rPr>
              <w:t xml:space="preserve"> </w:t>
            </w:r>
            <w:r>
              <w:rPr>
                <w:rFonts w:hint="eastAsia" w:cs="宋体"/>
                <w:b/>
                <w:bCs/>
                <w:color w:val="auto"/>
                <w:kern w:val="0"/>
                <w:sz w:val="24"/>
                <w:lang w:val="en-US" w:eastAsia="zh-CN"/>
              </w:rPr>
              <w:t xml:space="preserve">   表2 项目与规划环评审查意见符合性一览表</w:t>
            </w:r>
          </w:p>
          <w:tbl>
            <w:tblPr>
              <w:tblStyle w:val="21"/>
              <w:tblW w:w="49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05"/>
              <w:gridCol w:w="2179"/>
              <w:gridCol w:w="6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blHeader/>
                <w:jc w:val="center"/>
              </w:trPr>
              <w:tc>
                <w:tcPr>
                  <w:tcW w:w="2824" w:type="pct"/>
                  <w:tcBorders>
                    <w:tl2br w:val="nil"/>
                    <w:tr2bl w:val="nil"/>
                  </w:tcBorders>
                  <w:vAlign w:val="center"/>
                </w:tcPr>
                <w:p>
                  <w:pPr>
                    <w:pStyle w:val="47"/>
                    <w:spacing w:line="240" w:lineRule="auto"/>
                    <w:jc w:val="both"/>
                    <w:rPr>
                      <w:rFonts w:hint="eastAsia" w:ascii="宋体" w:hAnsi="宋体" w:eastAsia="宋体" w:cs="宋体"/>
                      <w:b/>
                      <w:color w:val="auto"/>
                      <w:sz w:val="21"/>
                      <w:szCs w:val="21"/>
                    </w:rPr>
                  </w:pPr>
                  <w:r>
                    <w:rPr>
                      <w:rFonts w:hint="eastAsia" w:ascii="宋体" w:hAnsi="宋体" w:eastAsia="宋体" w:cs="宋体"/>
                      <w:b/>
                      <w:color w:val="auto"/>
                      <w:sz w:val="21"/>
                      <w:szCs w:val="21"/>
                    </w:rPr>
                    <w:t>审查意见</w:t>
                  </w:r>
                </w:p>
              </w:tc>
              <w:tc>
                <w:tcPr>
                  <w:tcW w:w="1661" w:type="pct"/>
                  <w:tcBorders>
                    <w:tl2br w:val="nil"/>
                    <w:tr2bl w:val="nil"/>
                  </w:tcBorders>
                  <w:vAlign w:val="center"/>
                </w:tcPr>
                <w:p>
                  <w:pPr>
                    <w:spacing w:line="240" w:lineRule="auto"/>
                    <w:jc w:val="both"/>
                    <w:rPr>
                      <w:rFonts w:hint="eastAsia" w:ascii="宋体" w:hAnsi="宋体" w:eastAsia="宋体" w:cs="宋体"/>
                      <w:b/>
                      <w:color w:val="auto"/>
                      <w:sz w:val="21"/>
                      <w:szCs w:val="21"/>
                    </w:rPr>
                  </w:pPr>
                  <w:r>
                    <w:rPr>
                      <w:rFonts w:hint="eastAsia" w:ascii="宋体" w:hAnsi="宋体" w:eastAsia="宋体" w:cs="宋体"/>
                      <w:b/>
                      <w:color w:val="auto"/>
                      <w:sz w:val="21"/>
                      <w:szCs w:val="21"/>
                    </w:rPr>
                    <w:t>本项目具体情况</w:t>
                  </w:r>
                </w:p>
              </w:tc>
              <w:tc>
                <w:tcPr>
                  <w:tcW w:w="514" w:type="pct"/>
                  <w:tcBorders>
                    <w:tl2br w:val="nil"/>
                    <w:tr2bl w:val="nil"/>
                  </w:tcBorders>
                  <w:vAlign w:val="center"/>
                </w:tcPr>
                <w:p>
                  <w:pPr>
                    <w:spacing w:line="240" w:lineRule="auto"/>
                    <w:jc w:val="both"/>
                    <w:rPr>
                      <w:rFonts w:hint="eastAsia" w:ascii="宋体" w:hAnsi="宋体" w:eastAsia="宋体" w:cs="宋体"/>
                      <w:b/>
                      <w:color w:val="auto"/>
                      <w:sz w:val="21"/>
                      <w:szCs w:val="21"/>
                    </w:rPr>
                  </w:pPr>
                  <w:r>
                    <w:rPr>
                      <w:rFonts w:hint="eastAsia" w:ascii="宋体" w:hAnsi="宋体" w:eastAsia="宋体" w:cs="宋体"/>
                      <w:b/>
                      <w:color w:val="auto"/>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5" w:hRule="atLeast"/>
                <w:jc w:val="center"/>
              </w:trPr>
              <w:tc>
                <w:tcPr>
                  <w:tcW w:w="2824"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合理规划医药工业园区用地布局和开发时序，处理好园区服务居住区建设、村庄搬迁、周边环境敏感目标保护与医药项目建设的关系，入区医药项目应严格执行大气环境防护距离、卫生防护距离、风险防范距离等相关规定</w:t>
                  </w:r>
                </w:p>
              </w:tc>
              <w:tc>
                <w:tcPr>
                  <w:tcW w:w="1661" w:type="pct"/>
                  <w:tcBorders>
                    <w:tl2br w:val="nil"/>
                    <w:tr2bl w:val="nil"/>
                  </w:tcBorders>
                  <w:vAlign w:val="center"/>
                </w:tcPr>
                <w:p>
                  <w:pPr>
                    <w:pStyle w:val="47"/>
                    <w:spacing w:line="24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项目用地为工业用地，用地规划为非医药工业用地</w:t>
                  </w:r>
                  <w:r>
                    <w:rPr>
                      <w:rFonts w:hint="eastAsia" w:cs="宋体"/>
                      <w:color w:val="auto"/>
                      <w:sz w:val="21"/>
                      <w:szCs w:val="21"/>
                      <w:lang w:eastAsia="zh-CN"/>
                    </w:rPr>
                    <w:t>。</w:t>
                  </w:r>
                  <w:r>
                    <w:rPr>
                      <w:rFonts w:hint="eastAsia" w:cs="宋体"/>
                      <w:color w:val="auto"/>
                      <w:sz w:val="21"/>
                      <w:szCs w:val="21"/>
                      <w:lang w:val="en-US" w:eastAsia="zh-CN"/>
                    </w:rPr>
                    <w:t>项目不设大气环境影响评价专题，不设置大气环境防护距离和卫生防护距离。</w:t>
                  </w:r>
                </w:p>
              </w:tc>
              <w:tc>
                <w:tcPr>
                  <w:tcW w:w="514"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4" w:hRule="atLeast"/>
                <w:jc w:val="center"/>
              </w:trPr>
              <w:tc>
                <w:tcPr>
                  <w:tcW w:w="2824"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全面推行节水措施，强化医药废水治理及回用，切实保护桑干河流域水环境。园区供水由市政统一供水，水源为引黄水，禁止私自开采当地地下水。医药工业园区废水治理应采取“企业废水处理一园区集中污水处理一事故池”的三级处理系统，园区集中污水处理厂出水水质达《城镇污水处理厂污染物排放标准》(GB18918-2002)一级A排放标准回用或外排。加快完善园区中水处理及回用系统建设，拓展中水回用方向，最大限度的回用中水</w:t>
                  </w:r>
                </w:p>
              </w:tc>
              <w:tc>
                <w:tcPr>
                  <w:tcW w:w="1661" w:type="pct"/>
                  <w:tcBorders>
                    <w:tl2br w:val="nil"/>
                    <w:tr2bl w:val="nil"/>
                  </w:tcBorders>
                  <w:vAlign w:val="center"/>
                </w:tcPr>
                <w:p>
                  <w:pPr>
                    <w:spacing w:line="240" w:lineRule="auto"/>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本项目用水由开发区统一供给，生产废水经处理后回用，生活污水排入御东污水处理厂</w:t>
                  </w:r>
                  <w:r>
                    <w:rPr>
                      <w:rFonts w:hint="eastAsia" w:ascii="宋体" w:hAnsi="宋体" w:cs="宋体"/>
                      <w:color w:val="auto"/>
                      <w:sz w:val="21"/>
                      <w:szCs w:val="21"/>
                      <w:lang w:eastAsia="zh-CN"/>
                    </w:rPr>
                    <w:t>。</w:t>
                  </w:r>
                </w:p>
              </w:tc>
              <w:tc>
                <w:tcPr>
                  <w:tcW w:w="514"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2824" w:type="pct"/>
                  <w:tcBorders>
                    <w:tl2br w:val="nil"/>
                    <w:tr2bl w:val="nil"/>
                  </w:tcBorders>
                  <w:vAlign w:val="center"/>
                </w:tcPr>
                <w:p>
                  <w:pPr>
                    <w:pStyle w:val="47"/>
                    <w:spacing w:line="240" w:lineRule="auto"/>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园区应积极推进天然气等清洁能源作为医药企业动力燃料，须实施集中供热、供气。对医药企业排放的发酵废气、溶媒回收尾气、污水处理臭气等废气需采用高效的收集和净化处理技术，确保污染物达标排放</w:t>
                  </w:r>
                  <w:r>
                    <w:rPr>
                      <w:rFonts w:hint="eastAsia" w:cs="宋体"/>
                      <w:color w:val="auto"/>
                      <w:sz w:val="21"/>
                      <w:szCs w:val="21"/>
                      <w:lang w:eastAsia="zh-CN"/>
                    </w:rPr>
                    <w:t>。</w:t>
                  </w:r>
                </w:p>
              </w:tc>
              <w:tc>
                <w:tcPr>
                  <w:tcW w:w="1661" w:type="pct"/>
                  <w:tcBorders>
                    <w:tl2br w:val="nil"/>
                    <w:tr2bl w:val="nil"/>
                  </w:tcBorders>
                  <w:vAlign w:val="center"/>
                </w:tcPr>
                <w:p>
                  <w:pPr>
                    <w:spacing w:line="240" w:lineRule="auto"/>
                    <w:jc w:val="both"/>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项目导热油炉使用天然气作为燃料。项目废气污染物采取严格污染防治措施，能够实现达标排放。</w:t>
                  </w:r>
                </w:p>
              </w:tc>
              <w:tc>
                <w:tcPr>
                  <w:tcW w:w="514"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24"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按照“减量化、资源化和无害化” 的原则，分期分步统筹考虑医药企业固体废物的综合利用和安全处置。医药企业生产过程产生的部分母液及反应基或培养基废物、蒸馏残渣、脱色过滤物、废活性炭等危险废物，应严格按照国家有关危险废物处置要求进行安全处置。锅炉炉灰渣、污水处理污泥及中药残渣等经鉴别后分别按危险废物或一般工业固废的处置要求进行安全处置。生活垃圾纳入大同市城市生活垃圾处置系统</w:t>
                  </w:r>
                </w:p>
              </w:tc>
              <w:tc>
                <w:tcPr>
                  <w:tcW w:w="1661" w:type="pct"/>
                  <w:tcBorders>
                    <w:tl2br w:val="nil"/>
                    <w:tr2bl w:val="nil"/>
                  </w:tcBorders>
                  <w:vAlign w:val="center"/>
                </w:tcPr>
                <w:p>
                  <w:pPr>
                    <w:spacing w:line="240" w:lineRule="auto"/>
                    <w:jc w:val="both"/>
                    <w:rPr>
                      <w:rFonts w:hint="default" w:ascii="宋体" w:hAnsi="宋体" w:eastAsia="宋体" w:cs="宋体"/>
                      <w:color w:val="auto"/>
                      <w:sz w:val="21"/>
                      <w:szCs w:val="21"/>
                      <w:lang w:val="en-US" w:eastAsia="zh-CN"/>
                    </w:rPr>
                  </w:pPr>
                  <w:r>
                    <w:rPr>
                      <w:rFonts w:hint="eastAsia" w:ascii="宋体" w:hAnsi="宋体" w:eastAsia="宋体" w:cs="宋体"/>
                      <w:color w:val="auto"/>
                      <w:kern w:val="0"/>
                      <w:sz w:val="21"/>
                      <w:szCs w:val="21"/>
                    </w:rPr>
                    <w:t>本项目生产过程中产生的危险废物</w:t>
                  </w:r>
                  <w:r>
                    <w:rPr>
                      <w:rFonts w:hint="eastAsia" w:ascii="宋体" w:hAnsi="宋体" w:cs="宋体"/>
                      <w:color w:val="auto"/>
                      <w:kern w:val="0"/>
                      <w:sz w:val="21"/>
                      <w:szCs w:val="21"/>
                      <w:lang w:val="en-US" w:eastAsia="zh-CN"/>
                    </w:rPr>
                    <w:t>部分回用于生产，部分</w:t>
                  </w:r>
                  <w:r>
                    <w:rPr>
                      <w:rFonts w:hint="eastAsia" w:ascii="宋体" w:hAnsi="宋体" w:eastAsia="宋体" w:cs="宋体"/>
                      <w:color w:val="auto"/>
                      <w:kern w:val="0"/>
                      <w:sz w:val="21"/>
                      <w:szCs w:val="21"/>
                    </w:rPr>
                    <w:t>委托有资质的单位处置，危险废物贮存过程中采取了“防风、防雨、防晒、防渗漏”措施。</w:t>
                  </w:r>
                  <w:r>
                    <w:rPr>
                      <w:rFonts w:hint="eastAsia" w:ascii="宋体" w:hAnsi="宋体" w:eastAsia="宋体" w:cs="宋体"/>
                      <w:color w:val="auto"/>
                      <w:sz w:val="21"/>
                      <w:szCs w:val="21"/>
                    </w:rPr>
                    <w:t>生活垃圾交由环卫部门处置</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一般工业固体废物回用或外售，实现综合利用。</w:t>
                  </w:r>
                </w:p>
              </w:tc>
              <w:tc>
                <w:tcPr>
                  <w:tcW w:w="514"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3" w:hRule="atLeast"/>
                <w:jc w:val="center"/>
              </w:trPr>
              <w:tc>
                <w:tcPr>
                  <w:tcW w:w="2824"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科学划分医药工业园区声环境功能区，按照规划功能布局企业和配套研发、商贸设施，重点关注园区物流、人流等交通运输对区域产生的噪声影响，优化园区内外物流线路，完善主干道路两侧的绿化隔离带，加强交通噪声控制管理，有效控制交通噪声污染</w:t>
                  </w:r>
                </w:p>
              </w:tc>
              <w:tc>
                <w:tcPr>
                  <w:tcW w:w="1661" w:type="pct"/>
                  <w:tcBorders>
                    <w:tl2br w:val="nil"/>
                    <w:tr2bl w:val="nil"/>
                  </w:tcBorders>
                  <w:vAlign w:val="center"/>
                </w:tcPr>
                <w:p>
                  <w:pPr>
                    <w:pStyle w:val="47"/>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经预测，厂界噪声满足《工业企业厂界环境噪声排放标准》（GB12348-2008）中</w:t>
                  </w:r>
                  <w:r>
                    <w:rPr>
                      <w:rFonts w:hint="eastAsia" w:cs="宋体"/>
                      <w:color w:val="auto"/>
                      <w:sz w:val="21"/>
                      <w:szCs w:val="21"/>
                      <w:lang w:val="en-US" w:eastAsia="zh-CN"/>
                    </w:rPr>
                    <w:t>3</w:t>
                  </w:r>
                  <w:r>
                    <w:rPr>
                      <w:rFonts w:hint="eastAsia" w:ascii="宋体" w:hAnsi="宋体" w:eastAsia="宋体" w:cs="宋体"/>
                      <w:color w:val="auto"/>
                      <w:sz w:val="21"/>
                      <w:szCs w:val="21"/>
                    </w:rPr>
                    <w:t>类标准要求</w:t>
                  </w:r>
                  <w:r>
                    <w:rPr>
                      <w:rFonts w:hint="eastAsia" w:cs="宋体"/>
                      <w:color w:val="auto"/>
                      <w:sz w:val="21"/>
                      <w:szCs w:val="21"/>
                      <w:lang w:val="en-US" w:eastAsia="zh-CN"/>
                    </w:rPr>
                    <w:t>.</w:t>
                  </w:r>
                </w:p>
              </w:tc>
              <w:tc>
                <w:tcPr>
                  <w:tcW w:w="514"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0" w:hRule="atLeast"/>
                <w:jc w:val="center"/>
              </w:trPr>
              <w:tc>
                <w:tcPr>
                  <w:tcW w:w="2824" w:type="pct"/>
                  <w:tcBorders>
                    <w:tl2br w:val="nil"/>
                    <w:tr2bl w:val="nil"/>
                  </w:tcBorders>
                  <w:vAlign w:val="center"/>
                </w:tcPr>
                <w:p>
                  <w:pPr>
                    <w:pStyle w:val="47"/>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强化环境风险防范，确保区域环境安全。制定有效的企业和园区层面风险防范措施，设立环境风险应急管理机构，完善园区风险管理和风险防范体系。入区医药企业应设置足够容量、经防渗处理的医药废水事故池，同时应结合桑干河流域水环境综合整治和景观建设要求，确保下游桑干河和册田水库、桑干河省级自然保护区的功能保护要求</w:t>
                  </w:r>
                </w:p>
              </w:tc>
              <w:tc>
                <w:tcPr>
                  <w:tcW w:w="1661" w:type="pct"/>
                  <w:tcBorders>
                    <w:tl2br w:val="nil"/>
                    <w:tr2bl w:val="nil"/>
                  </w:tcBorders>
                  <w:vAlign w:val="center"/>
                </w:tcPr>
                <w:p>
                  <w:pPr>
                    <w:pStyle w:val="47"/>
                    <w:spacing w:line="240" w:lineRule="auto"/>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企业拟设置</w:t>
                  </w:r>
                  <w:r>
                    <w:rPr>
                      <w:rFonts w:hint="eastAsia" w:cs="宋体"/>
                      <w:color w:val="auto"/>
                      <w:sz w:val="21"/>
                      <w:szCs w:val="21"/>
                      <w:lang w:val="en-US" w:eastAsia="zh-CN"/>
                    </w:rPr>
                    <w:t>865</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的</w:t>
                  </w:r>
                  <w:r>
                    <w:rPr>
                      <w:rFonts w:hint="eastAsia" w:cs="宋体"/>
                      <w:color w:val="auto"/>
                      <w:sz w:val="21"/>
                      <w:szCs w:val="21"/>
                      <w:lang w:val="en-US" w:eastAsia="zh-CN"/>
                    </w:rPr>
                    <w:t>初期</w:t>
                  </w:r>
                  <w:r>
                    <w:rPr>
                      <w:rFonts w:hint="eastAsia" w:ascii="宋体" w:hAnsi="宋体" w:eastAsia="宋体" w:cs="宋体"/>
                      <w:color w:val="auto"/>
                      <w:sz w:val="21"/>
                      <w:szCs w:val="21"/>
                    </w:rPr>
                    <w:t>雨水收集池，并落实环评提出的风险防范措施、突发环境事件应急预案，并建立风险排查、监管、应急防范机制</w:t>
                  </w:r>
                  <w:r>
                    <w:rPr>
                      <w:rFonts w:hint="eastAsia" w:cs="宋体"/>
                      <w:color w:val="auto"/>
                      <w:sz w:val="21"/>
                      <w:szCs w:val="21"/>
                      <w:lang w:eastAsia="zh-CN"/>
                    </w:rPr>
                    <w:t>。</w:t>
                  </w:r>
                </w:p>
              </w:tc>
              <w:tc>
                <w:tcPr>
                  <w:tcW w:w="514" w:type="pct"/>
                  <w:tcBorders>
                    <w:tl2br w:val="nil"/>
                    <w:tr2bl w:val="nil"/>
                  </w:tcBorders>
                  <w:vAlign w:val="center"/>
                </w:tcPr>
                <w:p>
                  <w:pPr>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bl>
          <w:p>
            <w:pPr>
              <w:pStyle w:val="2"/>
              <w:ind w:left="0" w:leftChars="0" w:firstLine="0" w:firstLineChars="0"/>
              <w:jc w:val="both"/>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30" w:hRule="atLeast"/>
          <w:jc w:val="center"/>
        </w:trPr>
        <w:tc>
          <w:tcPr>
            <w:tcW w:w="982" w:type="pct"/>
            <w:tcMar>
              <w:top w:w="17" w:type="dxa"/>
              <w:left w:w="17" w:type="dxa"/>
              <w:right w:w="17" w:type="dxa"/>
            </w:tcMar>
            <w:vAlign w:val="center"/>
          </w:tcPr>
          <w:p>
            <w:pPr>
              <w:autoSpaceDE w:val="0"/>
              <w:autoSpaceDN w:val="0"/>
              <w:adjustRightInd w:val="0"/>
              <w:snapToGrid w:val="0"/>
              <w:jc w:val="center"/>
              <w:rPr>
                <w:rFonts w:cs="宋体"/>
                <w:color w:val="auto"/>
                <w:kern w:val="0"/>
                <w:sz w:val="24"/>
              </w:rPr>
            </w:pPr>
            <w:bookmarkStart w:id="2" w:name="_Hlk56690880"/>
            <w:r>
              <w:rPr>
                <w:rFonts w:hint="eastAsia" w:cs="宋体"/>
                <w:color w:val="auto"/>
                <w:kern w:val="0"/>
                <w:sz w:val="24"/>
              </w:rPr>
              <w:t>其他符合性分析</w:t>
            </w:r>
            <w:bookmarkEnd w:id="2"/>
          </w:p>
        </w:tc>
        <w:tc>
          <w:tcPr>
            <w:tcW w:w="4017" w:type="pct"/>
            <w:gridSpan w:val="4"/>
            <w:tcMar>
              <w:top w:w="17" w:type="dxa"/>
              <w:left w:w="17" w:type="dxa"/>
              <w:right w:w="17" w:type="dxa"/>
            </w:tcMar>
            <w:vAlign w:val="center"/>
          </w:tcPr>
          <w:p>
            <w:pPr>
              <w:spacing w:line="360" w:lineRule="auto"/>
              <w:rPr>
                <w:b/>
                <w:bCs/>
                <w:color w:val="auto"/>
                <w:sz w:val="24"/>
              </w:rPr>
            </w:pPr>
            <w:r>
              <w:rPr>
                <w:rFonts w:hint="eastAsia"/>
                <w:b/>
                <w:bCs/>
                <w:color w:val="auto"/>
                <w:sz w:val="24"/>
              </w:rPr>
              <w:t>1、“</w:t>
            </w:r>
            <w:r>
              <w:rPr>
                <w:b/>
                <w:bCs/>
                <w:color w:val="auto"/>
                <w:sz w:val="24"/>
              </w:rPr>
              <w:t>三线一单</w:t>
            </w:r>
            <w:r>
              <w:rPr>
                <w:rFonts w:hint="eastAsia"/>
                <w:b/>
                <w:bCs/>
                <w:color w:val="auto"/>
                <w:sz w:val="24"/>
              </w:rPr>
              <w:t>”</w:t>
            </w:r>
            <w:r>
              <w:rPr>
                <w:b/>
                <w:bCs/>
                <w:color w:val="auto"/>
                <w:sz w:val="24"/>
              </w:rPr>
              <w:t>符合性分析</w:t>
            </w:r>
          </w:p>
          <w:p>
            <w:pPr>
              <w:spacing w:line="360" w:lineRule="auto"/>
              <w:ind w:firstLine="482" w:firstLineChars="200"/>
              <w:rPr>
                <w:b/>
                <w:bCs/>
                <w:color w:val="auto"/>
                <w:sz w:val="24"/>
              </w:rPr>
            </w:pPr>
            <w:r>
              <w:rPr>
                <w:b/>
                <w:bCs/>
                <w:color w:val="auto"/>
                <w:sz w:val="24"/>
              </w:rPr>
              <w:t>（1）与生态</w:t>
            </w:r>
            <w:r>
              <w:rPr>
                <w:rFonts w:hint="eastAsia"/>
                <w:b/>
                <w:bCs/>
                <w:color w:val="auto"/>
                <w:sz w:val="24"/>
              </w:rPr>
              <w:t>保护</w:t>
            </w:r>
            <w:r>
              <w:rPr>
                <w:b/>
                <w:bCs/>
                <w:color w:val="auto"/>
                <w:sz w:val="24"/>
              </w:rPr>
              <w:t>红线相符性分析</w:t>
            </w:r>
          </w:p>
          <w:p>
            <w:pPr>
              <w:spacing w:line="360" w:lineRule="auto"/>
              <w:ind w:firstLine="480" w:firstLineChars="200"/>
              <w:rPr>
                <w:rFonts w:hint="eastAsia"/>
                <w:color w:val="auto"/>
                <w:sz w:val="24"/>
              </w:rPr>
            </w:pPr>
            <w:r>
              <w:rPr>
                <w:rFonts w:hint="eastAsia"/>
                <w:color w:val="auto"/>
                <w:sz w:val="24"/>
              </w:rPr>
              <w:t>项目所在地目前没有划定生态红线，项目所在地不涉及自然保护区、风景名胜区、森林公园及其他《生态保护红线划定技术指南》中规定的生态保护目标。</w:t>
            </w:r>
          </w:p>
          <w:p>
            <w:pPr>
              <w:spacing w:line="360" w:lineRule="auto"/>
              <w:ind w:firstLine="480" w:firstLineChars="200"/>
              <w:rPr>
                <w:rFonts w:hint="eastAsia"/>
                <w:color w:val="auto"/>
                <w:sz w:val="24"/>
                <w:lang w:val="en-US" w:eastAsia="zh-CN"/>
              </w:rPr>
            </w:pPr>
            <w:r>
              <w:rPr>
                <w:rFonts w:hint="eastAsia"/>
                <w:color w:val="auto"/>
                <w:sz w:val="24"/>
                <w:lang w:val="en-US" w:eastAsia="zh-CN"/>
              </w:rPr>
              <w:t>2009 年5 月31 日，山西省人民政府以晋政函〔2009〕52 号文《关于同意调整山西桑干河省级自然保护区范围及功能区的批复》同意调整山西桑干河自然保护区范围和功能区。调整后的桑干河自然保护区的占地总面积69583.4ha，其中核心区面积18491.72ha，缓冲区10553.08ha，实验区40538.61ha。保护对象为以迁徙水禽为主的野生动物及其停歇地、杨树、油松、樟子松等人工林森林系统，属于野生动植物类型自然保护区。该区植物种类共31科，101种。区内形成了块状针阔混交，乔灌混交，针、阔、灌混交等多种类型的林分。保护区内有脊椎动物21目50科170种。其中属于国家一级重点保护的野生鸟类3种，国家二级重点保护的野生鸟类16种，山西省重点保护的野生鸟类7种，保护区内的哺乳动物资源稀少，常见的有草兔、大仓鼠和中华鼢鼠等。</w:t>
            </w:r>
          </w:p>
          <w:p>
            <w:pPr>
              <w:spacing w:line="360" w:lineRule="auto"/>
              <w:ind w:firstLine="480" w:firstLineChars="200"/>
              <w:rPr>
                <w:rFonts w:hint="eastAsia"/>
                <w:color w:val="auto"/>
                <w:sz w:val="24"/>
                <w:lang w:val="en-US" w:eastAsia="zh-CN"/>
              </w:rPr>
            </w:pPr>
            <w:r>
              <w:rPr>
                <w:rFonts w:hint="eastAsia"/>
                <w:color w:val="auto"/>
                <w:sz w:val="24"/>
                <w:lang w:val="en-US" w:eastAsia="zh-CN"/>
              </w:rPr>
              <w:t>大同市医药工业园区不在自然保护区范围内，自然保护区范围与大同市医药工业园区规划范围之间留有300m的防护距离。</w:t>
            </w:r>
          </w:p>
          <w:p>
            <w:pPr>
              <w:spacing w:line="360" w:lineRule="auto"/>
              <w:rPr>
                <w:rFonts w:hint="default"/>
                <w:color w:val="auto"/>
                <w:sz w:val="24"/>
                <w:lang w:val="en-US"/>
              </w:rPr>
            </w:pPr>
            <w:r>
              <w:rPr>
                <w:rFonts w:hint="eastAsia"/>
                <w:color w:val="auto"/>
                <w:sz w:val="24"/>
                <w:lang w:val="en-US" w:eastAsia="zh-CN"/>
              </w:rPr>
              <w:t xml:space="preserve">   本项目距山西桑干河自然保护区长胜庄分区实验区的最近距离约680m，相对位置关系见附图2。</w:t>
            </w:r>
          </w:p>
          <w:p>
            <w:pPr>
              <w:spacing w:line="360" w:lineRule="auto"/>
              <w:ind w:firstLine="480" w:firstLineChars="200"/>
              <w:rPr>
                <w:color w:val="auto"/>
                <w:sz w:val="24"/>
              </w:rPr>
            </w:pPr>
            <w:r>
              <w:rPr>
                <w:color w:val="auto"/>
                <w:sz w:val="24"/>
              </w:rPr>
              <w:t>项目</w:t>
            </w:r>
            <w:r>
              <w:rPr>
                <w:rFonts w:hint="eastAsia"/>
                <w:color w:val="auto"/>
                <w:sz w:val="24"/>
              </w:rPr>
              <w:t>选址</w:t>
            </w:r>
            <w:r>
              <w:rPr>
                <w:color w:val="auto"/>
                <w:sz w:val="24"/>
              </w:rPr>
              <w:t>符合生态保护红线要求。</w:t>
            </w:r>
          </w:p>
          <w:p>
            <w:pPr>
              <w:spacing w:line="360" w:lineRule="auto"/>
              <w:ind w:firstLine="482" w:firstLineChars="200"/>
              <w:rPr>
                <w:b/>
                <w:bCs/>
                <w:color w:val="auto"/>
                <w:sz w:val="24"/>
              </w:rPr>
            </w:pPr>
            <w:r>
              <w:rPr>
                <w:b/>
                <w:bCs/>
                <w:color w:val="auto"/>
                <w:sz w:val="24"/>
              </w:rPr>
              <w:t>（2）环境质量利用底线符合性分析</w:t>
            </w:r>
          </w:p>
          <w:p>
            <w:pPr>
              <w:tabs>
                <w:tab w:val="left" w:pos="7755"/>
              </w:tabs>
              <w:snapToGrid w:val="0"/>
              <w:spacing w:line="360" w:lineRule="auto"/>
              <w:ind w:firstLine="480" w:firstLineChars="200"/>
              <w:rPr>
                <w:rFonts w:hint="default" w:eastAsia="宋体"/>
                <w:color w:val="auto"/>
                <w:sz w:val="24"/>
                <w:lang w:val="en-US" w:eastAsia="zh-CN"/>
              </w:rPr>
            </w:pPr>
            <w:r>
              <w:rPr>
                <w:color w:val="auto"/>
                <w:sz w:val="24"/>
              </w:rPr>
              <w:t>根据年均浓度监测结果可知：</w:t>
            </w:r>
            <w:r>
              <w:rPr>
                <w:rFonts w:hint="eastAsia"/>
                <w:color w:val="auto"/>
                <w:sz w:val="24"/>
                <w:lang w:val="en-US" w:eastAsia="zh-CN"/>
              </w:rPr>
              <w:t>云州</w:t>
            </w:r>
            <w:r>
              <w:rPr>
                <w:rFonts w:hint="eastAsia"/>
                <w:color w:val="auto"/>
                <w:sz w:val="24"/>
              </w:rPr>
              <w:t>区</w:t>
            </w:r>
            <w:r>
              <w:rPr>
                <w:color w:val="auto"/>
                <w:sz w:val="24"/>
              </w:rPr>
              <w:t>2020年SO</w:t>
            </w:r>
            <w:r>
              <w:rPr>
                <w:color w:val="auto"/>
                <w:sz w:val="24"/>
                <w:vertAlign w:val="subscript"/>
              </w:rPr>
              <w:t>2</w:t>
            </w:r>
            <w:r>
              <w:rPr>
                <w:color w:val="auto"/>
                <w:sz w:val="24"/>
              </w:rPr>
              <w:t>全年平均浓度值为</w:t>
            </w:r>
            <w:r>
              <w:rPr>
                <w:rFonts w:hint="eastAsia"/>
                <w:color w:val="auto"/>
                <w:sz w:val="24"/>
              </w:rPr>
              <w:t>2</w:t>
            </w:r>
            <w:r>
              <w:rPr>
                <w:rFonts w:hint="eastAsia"/>
                <w:color w:val="auto"/>
                <w:sz w:val="24"/>
                <w:lang w:val="en-US" w:eastAsia="zh-CN"/>
              </w:rPr>
              <w:t>8</w:t>
            </w:r>
            <w:r>
              <w:rPr>
                <w:color w:val="auto"/>
                <w:sz w:val="24"/>
              </w:rPr>
              <w:t>μg/m</w:t>
            </w:r>
            <w:r>
              <w:rPr>
                <w:b/>
                <w:color w:val="auto"/>
                <w:sz w:val="24"/>
                <w:vertAlign w:val="superscript"/>
              </w:rPr>
              <w:t>3</w:t>
            </w:r>
            <w:r>
              <w:rPr>
                <w:color w:val="auto"/>
                <w:sz w:val="24"/>
              </w:rPr>
              <w:t>，NO</w:t>
            </w:r>
            <w:r>
              <w:rPr>
                <w:color w:val="auto"/>
                <w:sz w:val="24"/>
                <w:vertAlign w:val="subscript"/>
              </w:rPr>
              <w:t>2</w:t>
            </w:r>
            <w:r>
              <w:rPr>
                <w:color w:val="auto"/>
                <w:sz w:val="24"/>
              </w:rPr>
              <w:t>全年平均浓度值为</w:t>
            </w:r>
            <w:r>
              <w:rPr>
                <w:rFonts w:hint="eastAsia"/>
                <w:color w:val="auto"/>
                <w:sz w:val="24"/>
                <w:lang w:val="en-US" w:eastAsia="zh-CN"/>
              </w:rPr>
              <w:t>2</w:t>
            </w:r>
            <w:r>
              <w:rPr>
                <w:rFonts w:hint="eastAsia"/>
                <w:color w:val="auto"/>
                <w:sz w:val="24"/>
              </w:rPr>
              <w:t>2</w:t>
            </w:r>
            <w:r>
              <w:rPr>
                <w:color w:val="auto"/>
                <w:sz w:val="24"/>
              </w:rPr>
              <w:t>μg/m</w:t>
            </w:r>
            <w:r>
              <w:rPr>
                <w:b/>
                <w:color w:val="auto"/>
                <w:sz w:val="24"/>
                <w:vertAlign w:val="superscript"/>
              </w:rPr>
              <w:t>3</w:t>
            </w:r>
            <w:r>
              <w:rPr>
                <w:color w:val="auto"/>
                <w:sz w:val="24"/>
              </w:rPr>
              <w:t>，PM</w:t>
            </w:r>
            <w:r>
              <w:rPr>
                <w:color w:val="auto"/>
                <w:sz w:val="24"/>
                <w:vertAlign w:val="subscript"/>
              </w:rPr>
              <w:t>10</w:t>
            </w:r>
            <w:r>
              <w:rPr>
                <w:color w:val="auto"/>
                <w:sz w:val="24"/>
              </w:rPr>
              <w:t>全年平均浓度值为</w:t>
            </w:r>
            <w:r>
              <w:rPr>
                <w:rFonts w:hint="eastAsia"/>
                <w:color w:val="auto"/>
                <w:sz w:val="24"/>
                <w:lang w:val="en-US" w:eastAsia="zh-CN"/>
              </w:rPr>
              <w:t>65</w:t>
            </w:r>
            <w:r>
              <w:rPr>
                <w:color w:val="auto"/>
                <w:sz w:val="24"/>
              </w:rPr>
              <w:t>μg/m</w:t>
            </w:r>
            <w:r>
              <w:rPr>
                <w:b/>
                <w:color w:val="auto"/>
                <w:sz w:val="24"/>
                <w:vertAlign w:val="superscript"/>
              </w:rPr>
              <w:t>3</w:t>
            </w:r>
            <w:r>
              <w:rPr>
                <w:color w:val="auto"/>
                <w:sz w:val="24"/>
              </w:rPr>
              <w:t>，PM</w:t>
            </w:r>
            <w:r>
              <w:rPr>
                <w:color w:val="auto"/>
                <w:sz w:val="24"/>
                <w:vertAlign w:val="subscript"/>
              </w:rPr>
              <w:t>2.5</w:t>
            </w:r>
            <w:r>
              <w:rPr>
                <w:color w:val="auto"/>
                <w:sz w:val="24"/>
              </w:rPr>
              <w:t>全年平均浓度值为</w:t>
            </w:r>
            <w:r>
              <w:rPr>
                <w:rFonts w:hint="eastAsia"/>
                <w:color w:val="auto"/>
                <w:sz w:val="24"/>
                <w:lang w:val="en-US" w:eastAsia="zh-CN"/>
              </w:rPr>
              <w:t>35</w:t>
            </w:r>
            <w:r>
              <w:rPr>
                <w:color w:val="auto"/>
                <w:sz w:val="24"/>
              </w:rPr>
              <w:t>μg/m</w:t>
            </w:r>
            <w:r>
              <w:rPr>
                <w:b/>
                <w:color w:val="auto"/>
                <w:sz w:val="24"/>
                <w:vertAlign w:val="superscript"/>
              </w:rPr>
              <w:t>3</w:t>
            </w:r>
            <w:r>
              <w:rPr>
                <w:color w:val="auto"/>
                <w:sz w:val="24"/>
              </w:rPr>
              <w:t>，CO第95百分位数浓度</w:t>
            </w:r>
            <w:r>
              <w:rPr>
                <w:rFonts w:hint="eastAsia"/>
                <w:color w:val="auto"/>
                <w:sz w:val="24"/>
              </w:rPr>
              <w:t>2.</w:t>
            </w:r>
            <w:r>
              <w:rPr>
                <w:rFonts w:hint="eastAsia"/>
                <w:color w:val="auto"/>
                <w:sz w:val="24"/>
                <w:lang w:val="en-US" w:eastAsia="zh-CN"/>
              </w:rPr>
              <w:t>4</w:t>
            </w:r>
            <w:r>
              <w:rPr>
                <w:color w:val="auto"/>
                <w:sz w:val="24"/>
              </w:rPr>
              <w:t>mg/m</w:t>
            </w:r>
            <w:r>
              <w:rPr>
                <w:b/>
                <w:color w:val="auto"/>
                <w:sz w:val="24"/>
                <w:vertAlign w:val="superscript"/>
              </w:rPr>
              <w:t>3</w:t>
            </w:r>
            <w:r>
              <w:rPr>
                <w:color w:val="auto"/>
                <w:sz w:val="24"/>
              </w:rPr>
              <w:t>，O</w:t>
            </w:r>
            <w:r>
              <w:rPr>
                <w:color w:val="auto"/>
                <w:sz w:val="24"/>
                <w:vertAlign w:val="subscript"/>
              </w:rPr>
              <w:t>3</w:t>
            </w:r>
            <w:r>
              <w:rPr>
                <w:color w:val="auto"/>
                <w:sz w:val="24"/>
              </w:rPr>
              <w:t xml:space="preserve"> 8小时第90百分位数浓度</w:t>
            </w:r>
            <w:r>
              <w:rPr>
                <w:rFonts w:hint="eastAsia"/>
                <w:color w:val="auto"/>
                <w:sz w:val="24"/>
              </w:rPr>
              <w:t>1</w:t>
            </w:r>
            <w:r>
              <w:rPr>
                <w:rFonts w:hint="eastAsia"/>
                <w:color w:val="auto"/>
                <w:sz w:val="24"/>
                <w:lang w:val="en-US" w:eastAsia="zh-CN"/>
              </w:rPr>
              <w:t>57</w:t>
            </w:r>
            <w:r>
              <w:rPr>
                <w:color w:val="auto"/>
                <w:sz w:val="24"/>
              </w:rPr>
              <w:t>μg/m</w:t>
            </w:r>
            <w:r>
              <w:rPr>
                <w:b/>
                <w:color w:val="auto"/>
                <w:sz w:val="24"/>
                <w:vertAlign w:val="superscript"/>
              </w:rPr>
              <w:t>3</w:t>
            </w:r>
            <w:r>
              <w:rPr>
                <w:color w:val="auto"/>
                <w:sz w:val="24"/>
              </w:rPr>
              <w:t>。</w:t>
            </w:r>
            <w:r>
              <w:rPr>
                <w:rFonts w:hint="eastAsia"/>
                <w:color w:val="auto"/>
                <w:sz w:val="24"/>
                <w:lang w:val="en-US" w:eastAsia="zh-CN"/>
              </w:rPr>
              <w:t>项目区域范围内环境空气常规因子均达标。</w:t>
            </w:r>
          </w:p>
          <w:p>
            <w:pPr>
              <w:pStyle w:val="52"/>
              <w:spacing w:before="0" w:after="0" w:line="360" w:lineRule="auto"/>
              <w:ind w:firstLine="496"/>
              <w:rPr>
                <w:rFonts w:hint="default" w:cs="Times New Roman"/>
                <w:color w:val="auto"/>
                <w:sz w:val="24"/>
                <w:szCs w:val="24"/>
                <w:lang w:val="en-US" w:eastAsia="zh-CN"/>
              </w:rPr>
            </w:pPr>
            <w:r>
              <w:rPr>
                <w:rFonts w:hint="eastAsia" w:cs="Times New Roman"/>
                <w:color w:val="auto"/>
                <w:sz w:val="24"/>
                <w:szCs w:val="24"/>
                <w:lang w:val="en-US" w:eastAsia="zh-CN"/>
              </w:rPr>
              <w:t>通过分析历史TSP和苯并芘环境空气质量现状监测数据，一类功能区监测点</w:t>
            </w:r>
            <w:r>
              <w:rPr>
                <w:rFonts w:ascii="Times New Roman" w:hAnsi="Times New Roman" w:cs="Times New Roman"/>
                <w:color w:val="auto"/>
                <w:sz w:val="24"/>
                <w:szCs w:val="24"/>
              </w:rPr>
              <w:t>常家堡村TSP日平均浓度范围为</w:t>
            </w:r>
            <w:r>
              <w:rPr>
                <w:rFonts w:hint="eastAsia" w:ascii="Times New Roman" w:hAnsi="Times New Roman" w:cs="Times New Roman"/>
                <w:color w:val="auto"/>
                <w:sz w:val="24"/>
                <w:szCs w:val="24"/>
              </w:rPr>
              <w:t>105</w:t>
            </w:r>
            <w:r>
              <w:rPr>
                <w:rFonts w:ascii="Times New Roman" w:hAnsi="Times New Roman" w:cs="Times New Roman"/>
                <w:color w:val="auto"/>
                <w:sz w:val="24"/>
                <w:szCs w:val="24"/>
              </w:rPr>
              <w:t>～</w:t>
            </w:r>
            <w:r>
              <w:rPr>
                <w:rFonts w:hint="eastAsia" w:ascii="Times New Roman" w:hAnsi="Times New Roman" w:cs="Times New Roman"/>
                <w:color w:val="auto"/>
                <w:sz w:val="24"/>
                <w:szCs w:val="24"/>
              </w:rPr>
              <w:t>147</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ascii="Times New Roman" w:hAnsi="Times New Roman" w:cs="Times New Roman"/>
                <w:color w:val="auto"/>
                <w:sz w:val="24"/>
                <w:szCs w:val="24"/>
              </w:rPr>
              <w:t>122.5</w:t>
            </w:r>
            <w:r>
              <w:rPr>
                <w:rFonts w:ascii="Times New Roman" w:hAnsi="Times New Roman" w:cs="Times New Roman"/>
                <w:color w:val="auto"/>
                <w:sz w:val="24"/>
                <w:szCs w:val="24"/>
              </w:rPr>
              <w:t>%，超标率</w:t>
            </w:r>
            <w:r>
              <w:rPr>
                <w:rFonts w:hint="eastAsia" w:ascii="Times New Roman" w:hAnsi="Times New Roman" w:cs="Times New Roman"/>
                <w:color w:val="auto"/>
                <w:sz w:val="24"/>
                <w:szCs w:val="24"/>
              </w:rPr>
              <w:t>85.7</w:t>
            </w:r>
            <w:r>
              <w:rPr>
                <w:rFonts w:ascii="Times New Roman" w:hAnsi="Times New Roman" w:cs="Times New Roman"/>
                <w:color w:val="auto"/>
                <w:sz w:val="24"/>
                <w:szCs w:val="24"/>
              </w:rPr>
              <w:t>%；</w:t>
            </w:r>
            <w:r>
              <w:rPr>
                <w:rFonts w:hint="eastAsia" w:cs="Times New Roman"/>
                <w:color w:val="auto"/>
                <w:sz w:val="24"/>
                <w:szCs w:val="24"/>
                <w:lang w:val="en-US" w:eastAsia="zh-CN"/>
              </w:rPr>
              <w:t>二类功能区</w:t>
            </w:r>
            <w:r>
              <w:rPr>
                <w:rFonts w:ascii="Times New Roman" w:hAnsi="Times New Roman" w:cs="Times New Roman"/>
                <w:color w:val="auto"/>
                <w:sz w:val="24"/>
                <w:szCs w:val="24"/>
              </w:rPr>
              <w:t>利仁皂村TSP日平均浓度范围为</w:t>
            </w:r>
            <w:r>
              <w:rPr>
                <w:rFonts w:hint="eastAsia" w:ascii="Times New Roman" w:hAnsi="Times New Roman" w:cs="Times New Roman"/>
                <w:color w:val="auto"/>
                <w:sz w:val="24"/>
                <w:szCs w:val="24"/>
              </w:rPr>
              <w:t>115</w:t>
            </w:r>
            <w:r>
              <w:rPr>
                <w:rFonts w:ascii="Times New Roman" w:hAnsi="Times New Roman" w:cs="Times New Roman"/>
                <w:color w:val="auto"/>
                <w:sz w:val="24"/>
                <w:szCs w:val="24"/>
              </w:rPr>
              <w:t>～</w:t>
            </w:r>
            <w:r>
              <w:rPr>
                <w:rFonts w:hint="eastAsia" w:ascii="Times New Roman" w:hAnsi="Times New Roman" w:cs="Times New Roman"/>
                <w:color w:val="auto"/>
                <w:sz w:val="24"/>
                <w:szCs w:val="24"/>
              </w:rPr>
              <w:t>170</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ascii="Times New Roman" w:hAnsi="Times New Roman" w:cs="Times New Roman"/>
                <w:color w:val="auto"/>
                <w:sz w:val="24"/>
                <w:szCs w:val="24"/>
              </w:rPr>
              <w:t>56.7</w:t>
            </w:r>
            <w:r>
              <w:rPr>
                <w:rFonts w:ascii="Times New Roman" w:hAnsi="Times New Roman" w:cs="Times New Roman"/>
                <w:color w:val="auto"/>
                <w:sz w:val="24"/>
                <w:szCs w:val="24"/>
              </w:rPr>
              <w:t>%，超标率</w:t>
            </w:r>
            <w:r>
              <w:rPr>
                <w:rFonts w:hint="eastAsia" w:ascii="Times New Roman" w:hAnsi="Times New Roman" w:cs="Times New Roman"/>
                <w:color w:val="auto"/>
                <w:sz w:val="24"/>
                <w:szCs w:val="24"/>
              </w:rPr>
              <w:t>0%</w:t>
            </w:r>
            <w:r>
              <w:rPr>
                <w:rFonts w:hint="eastAsia" w:cs="Times New Roman"/>
                <w:color w:val="auto"/>
                <w:sz w:val="24"/>
                <w:szCs w:val="24"/>
                <w:lang w:eastAsia="zh-CN"/>
              </w:rPr>
              <w:t>。</w:t>
            </w:r>
            <w:r>
              <w:rPr>
                <w:rFonts w:hint="eastAsia" w:cs="Times New Roman"/>
                <w:color w:val="auto"/>
                <w:sz w:val="24"/>
                <w:szCs w:val="24"/>
                <w:lang w:val="en-US" w:eastAsia="zh-CN"/>
              </w:rPr>
              <w:t>项目环境空气一类功能区TSP出现了超标；二类功能区TSP环境空气质量状况较好。</w:t>
            </w:r>
            <w:r>
              <w:rPr>
                <w:rFonts w:ascii="Times New Roman" w:hAnsi="Times New Roman" w:cs="Times New Roman"/>
                <w:color w:val="auto"/>
                <w:sz w:val="24"/>
                <w:szCs w:val="24"/>
              </w:rPr>
              <w:t>常家堡村</w:t>
            </w:r>
            <w:r>
              <w:rPr>
                <w:rFonts w:hint="eastAsia" w:cs="Times New Roman"/>
                <w:color w:val="auto"/>
                <w:sz w:val="24"/>
                <w:szCs w:val="24"/>
                <w:lang w:val="en-US" w:eastAsia="zh-CN"/>
              </w:rPr>
              <w:t>苯并芘</w:t>
            </w:r>
            <w:r>
              <w:rPr>
                <w:rFonts w:ascii="Times New Roman" w:hAnsi="Times New Roman" w:cs="Times New Roman"/>
                <w:color w:val="auto"/>
                <w:sz w:val="24"/>
                <w:szCs w:val="24"/>
              </w:rPr>
              <w:t>日平均浓度范围为</w:t>
            </w:r>
            <w:r>
              <w:rPr>
                <w:rFonts w:hint="eastAsia" w:cs="Times New Roman"/>
                <w:color w:val="auto"/>
                <w:sz w:val="24"/>
                <w:szCs w:val="24"/>
                <w:lang w:val="en-US" w:eastAsia="zh-CN"/>
              </w:rPr>
              <w:t>0.0010</w:t>
            </w:r>
            <w:r>
              <w:rPr>
                <w:rFonts w:ascii="Times New Roman" w:hAnsi="Times New Roman" w:cs="Times New Roman"/>
                <w:color w:val="auto"/>
                <w:sz w:val="24"/>
                <w:szCs w:val="24"/>
              </w:rPr>
              <w:t>～</w:t>
            </w:r>
            <w:r>
              <w:rPr>
                <w:rFonts w:hint="eastAsia" w:cs="Times New Roman"/>
                <w:color w:val="auto"/>
                <w:sz w:val="24"/>
                <w:szCs w:val="24"/>
                <w:lang w:val="en-US" w:eastAsia="zh-CN"/>
              </w:rPr>
              <w:t>0.0015</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cs="Times New Roman"/>
                <w:color w:val="auto"/>
                <w:sz w:val="24"/>
                <w:szCs w:val="24"/>
                <w:lang w:val="en-US" w:eastAsia="zh-CN"/>
              </w:rPr>
              <w:t>60</w:t>
            </w:r>
            <w:r>
              <w:rPr>
                <w:rFonts w:ascii="Times New Roman" w:hAnsi="Times New Roman" w:cs="Times New Roman"/>
                <w:color w:val="auto"/>
                <w:sz w:val="24"/>
                <w:szCs w:val="24"/>
              </w:rPr>
              <w:t>%，超标率</w:t>
            </w:r>
            <w:r>
              <w:rPr>
                <w:rFonts w:hint="eastAsia" w:cs="Times New Roman"/>
                <w:color w:val="auto"/>
                <w:sz w:val="24"/>
                <w:szCs w:val="24"/>
                <w:lang w:val="en-US" w:eastAsia="zh-CN"/>
              </w:rPr>
              <w:t>0</w:t>
            </w:r>
            <w:r>
              <w:rPr>
                <w:rFonts w:ascii="Times New Roman" w:hAnsi="Times New Roman" w:cs="Times New Roman"/>
                <w:color w:val="auto"/>
                <w:sz w:val="24"/>
                <w:szCs w:val="24"/>
              </w:rPr>
              <w:t>%；利仁皂村</w:t>
            </w:r>
            <w:r>
              <w:rPr>
                <w:rFonts w:hint="eastAsia" w:cs="Times New Roman"/>
                <w:color w:val="auto"/>
                <w:sz w:val="24"/>
                <w:szCs w:val="24"/>
                <w:lang w:val="en-US" w:eastAsia="zh-CN"/>
              </w:rPr>
              <w:t>苯并芘</w:t>
            </w:r>
            <w:r>
              <w:rPr>
                <w:rFonts w:ascii="Times New Roman" w:hAnsi="Times New Roman" w:cs="Times New Roman"/>
                <w:color w:val="auto"/>
                <w:sz w:val="24"/>
                <w:szCs w:val="24"/>
              </w:rPr>
              <w:t>日平均浓度范围为</w:t>
            </w:r>
            <w:r>
              <w:rPr>
                <w:rFonts w:hint="eastAsia" w:cs="Times New Roman"/>
                <w:color w:val="auto"/>
                <w:sz w:val="24"/>
                <w:szCs w:val="24"/>
                <w:lang w:val="en-US" w:eastAsia="zh-CN"/>
              </w:rPr>
              <w:t>0.0006</w:t>
            </w:r>
            <w:r>
              <w:rPr>
                <w:rFonts w:ascii="Times New Roman" w:hAnsi="Times New Roman" w:cs="Times New Roman"/>
                <w:color w:val="auto"/>
                <w:sz w:val="24"/>
                <w:szCs w:val="24"/>
              </w:rPr>
              <w:t>～</w:t>
            </w:r>
            <w:r>
              <w:rPr>
                <w:rFonts w:hint="eastAsia" w:cs="Times New Roman"/>
                <w:color w:val="auto"/>
                <w:sz w:val="24"/>
                <w:szCs w:val="24"/>
                <w:lang w:val="en-US" w:eastAsia="zh-CN"/>
              </w:rPr>
              <w:t>0.0022</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cs="Times New Roman"/>
                <w:color w:val="auto"/>
                <w:sz w:val="24"/>
                <w:szCs w:val="24"/>
                <w:lang w:val="en-US" w:eastAsia="zh-CN"/>
              </w:rPr>
              <w:t>88</w:t>
            </w:r>
            <w:r>
              <w:rPr>
                <w:rFonts w:ascii="Times New Roman" w:hAnsi="Times New Roman" w:cs="Times New Roman"/>
                <w:color w:val="auto"/>
                <w:sz w:val="24"/>
                <w:szCs w:val="24"/>
              </w:rPr>
              <w:t>%，超标率</w:t>
            </w:r>
            <w:r>
              <w:rPr>
                <w:rFonts w:hint="eastAsia" w:ascii="Times New Roman" w:hAnsi="Times New Roman" w:cs="Times New Roman"/>
                <w:color w:val="auto"/>
                <w:sz w:val="24"/>
                <w:szCs w:val="24"/>
              </w:rPr>
              <w:t>0%</w:t>
            </w:r>
            <w:r>
              <w:rPr>
                <w:rFonts w:hint="eastAsia" w:cs="Times New Roman"/>
                <w:color w:val="auto"/>
                <w:sz w:val="24"/>
                <w:szCs w:val="24"/>
                <w:lang w:eastAsia="zh-CN"/>
              </w:rPr>
              <w:t>。</w:t>
            </w:r>
            <w:r>
              <w:rPr>
                <w:rFonts w:hint="eastAsia" w:cs="Times New Roman"/>
                <w:color w:val="auto"/>
                <w:sz w:val="24"/>
                <w:szCs w:val="24"/>
                <w:lang w:val="en-US" w:eastAsia="zh-CN"/>
              </w:rPr>
              <w:t>项目环境空气一类功能区和二类功能区苯并芘环境空气质量状况均较好。</w:t>
            </w:r>
          </w:p>
          <w:p>
            <w:pPr>
              <w:spacing w:line="360" w:lineRule="auto"/>
              <w:ind w:firstLine="496" w:firstLineChars="200"/>
              <w:rPr>
                <w:color w:val="auto"/>
                <w:sz w:val="24"/>
              </w:rPr>
            </w:pPr>
            <w:r>
              <w:rPr>
                <w:rFonts w:hint="eastAsia"/>
                <w:color w:val="auto"/>
                <w:spacing w:val="4"/>
                <w:sz w:val="24"/>
              </w:rPr>
              <w:t>项目</w:t>
            </w:r>
            <w:r>
              <w:rPr>
                <w:rFonts w:hint="eastAsia"/>
                <w:color w:val="auto"/>
                <w:spacing w:val="4"/>
                <w:sz w:val="24"/>
                <w:lang w:val="en-US" w:eastAsia="zh-CN"/>
              </w:rPr>
              <w:t>采取严格污染防治措施，</w:t>
            </w:r>
            <w:r>
              <w:rPr>
                <w:rFonts w:hint="eastAsia"/>
                <w:color w:val="auto"/>
                <w:spacing w:val="4"/>
                <w:sz w:val="24"/>
              </w:rPr>
              <w:t>投运后，废气污染物对大气环境影响较小。</w:t>
            </w:r>
          </w:p>
          <w:p>
            <w:pPr>
              <w:spacing w:line="360" w:lineRule="auto"/>
              <w:ind w:firstLine="480" w:firstLineChars="200"/>
              <w:rPr>
                <w:color w:val="auto"/>
                <w:sz w:val="24"/>
              </w:rPr>
            </w:pPr>
            <w:r>
              <w:rPr>
                <w:rFonts w:hint="eastAsia"/>
                <w:color w:val="auto"/>
                <w:sz w:val="24"/>
              </w:rPr>
              <w:t>项目投运后无生产废水外排，职工人员生活污水经园区污水管网排入大同市御东污水处理有限责任公司处理，最终外排进入外地表水体，对外地表水环境影响较小。</w:t>
            </w:r>
          </w:p>
          <w:p>
            <w:pPr>
              <w:spacing w:line="360" w:lineRule="auto"/>
              <w:ind w:firstLine="480" w:firstLineChars="200"/>
              <w:rPr>
                <w:color w:val="auto"/>
                <w:sz w:val="24"/>
              </w:rPr>
            </w:pPr>
            <w:r>
              <w:rPr>
                <w:rFonts w:hint="eastAsia"/>
                <w:color w:val="auto"/>
                <w:sz w:val="24"/>
              </w:rPr>
              <w:t>经预测分析，项目运营期间厂界处声环境能够满足</w:t>
            </w:r>
            <w:r>
              <w:rPr>
                <w:color w:val="auto"/>
                <w:sz w:val="24"/>
              </w:rPr>
              <w:t>《工业企业厂界环境噪声排放标准》</w:t>
            </w:r>
            <w:r>
              <w:rPr>
                <w:rFonts w:hint="eastAsia"/>
                <w:color w:val="auto"/>
                <w:sz w:val="24"/>
              </w:rPr>
              <w:t>中规定的</w:t>
            </w:r>
            <w:r>
              <w:rPr>
                <w:rFonts w:hint="eastAsia"/>
                <w:color w:val="auto"/>
                <w:sz w:val="24"/>
                <w:lang w:val="en-US" w:eastAsia="zh-CN"/>
              </w:rPr>
              <w:t>3</w:t>
            </w:r>
            <w:r>
              <w:rPr>
                <w:rFonts w:hint="eastAsia"/>
                <w:color w:val="auto"/>
                <w:sz w:val="24"/>
              </w:rPr>
              <w:t>类标准限值要求，同时厂界外50m范围内无学校和村庄声环境敏感目标，项目运行对外声环境影响较小。</w:t>
            </w:r>
          </w:p>
          <w:p>
            <w:pPr>
              <w:spacing w:line="360" w:lineRule="auto"/>
              <w:ind w:firstLine="480" w:firstLineChars="200"/>
              <w:rPr>
                <w:color w:val="auto"/>
                <w:sz w:val="24"/>
              </w:rPr>
            </w:pPr>
            <w:r>
              <w:rPr>
                <w:rFonts w:hint="eastAsia"/>
                <w:color w:val="auto"/>
                <w:sz w:val="24"/>
              </w:rPr>
              <w:t>项目外排苯并芘废气经大气沉降作用沉降至地表，对土壤环境影响较小；同时，项目炭块儿冷却水循环水池采取严格防渗措施后，不对土壤环境和地下水环境产生不良影响。</w:t>
            </w:r>
          </w:p>
          <w:p>
            <w:pPr>
              <w:spacing w:line="360" w:lineRule="auto"/>
              <w:ind w:firstLine="480" w:firstLineChars="200"/>
              <w:rPr>
                <w:color w:val="auto"/>
                <w:sz w:val="24"/>
              </w:rPr>
            </w:pPr>
            <w:r>
              <w:rPr>
                <w:color w:val="auto"/>
                <w:sz w:val="24"/>
              </w:rPr>
              <w:t>综上所述，项目</w:t>
            </w:r>
            <w:r>
              <w:rPr>
                <w:rFonts w:hint="eastAsia"/>
                <w:color w:val="auto"/>
                <w:sz w:val="24"/>
              </w:rPr>
              <w:t>投运后</w:t>
            </w:r>
            <w:r>
              <w:rPr>
                <w:color w:val="auto"/>
                <w:sz w:val="24"/>
              </w:rPr>
              <w:t>符合区域环境质量控制要求。</w:t>
            </w:r>
          </w:p>
          <w:p>
            <w:pPr>
              <w:spacing w:line="360" w:lineRule="auto"/>
              <w:ind w:firstLine="482" w:firstLineChars="200"/>
              <w:rPr>
                <w:b/>
                <w:bCs/>
                <w:color w:val="auto"/>
                <w:sz w:val="24"/>
              </w:rPr>
            </w:pPr>
            <w:r>
              <w:rPr>
                <w:b/>
                <w:bCs/>
                <w:color w:val="auto"/>
                <w:sz w:val="24"/>
              </w:rPr>
              <w:t>（3）资源利用上线符合性分析</w:t>
            </w:r>
          </w:p>
          <w:p>
            <w:pPr>
              <w:spacing w:line="360" w:lineRule="auto"/>
              <w:ind w:firstLine="480" w:firstLineChars="200"/>
              <w:rPr>
                <w:color w:val="auto"/>
                <w:sz w:val="24"/>
              </w:rPr>
            </w:pPr>
            <w:r>
              <w:rPr>
                <w:color w:val="auto"/>
                <w:sz w:val="24"/>
              </w:rPr>
              <w:t>项目运营过程中用水量、用电量</w:t>
            </w:r>
            <w:r>
              <w:rPr>
                <w:rFonts w:hint="eastAsia"/>
                <w:color w:val="auto"/>
                <w:sz w:val="24"/>
              </w:rPr>
              <w:t>相</w:t>
            </w:r>
            <w:r>
              <w:rPr>
                <w:color w:val="auto"/>
                <w:sz w:val="24"/>
              </w:rPr>
              <w:t>对区域资源利用总量较小；资源的利用符合国家相关标准，运营过程中主要利用资源为水、电等，符合资源利用上线要求</w:t>
            </w:r>
            <w:r>
              <w:rPr>
                <w:rFonts w:hint="eastAsia"/>
                <w:color w:val="auto"/>
                <w:sz w:val="24"/>
              </w:rPr>
              <w:t>。</w:t>
            </w:r>
          </w:p>
          <w:p>
            <w:pPr>
              <w:spacing w:line="360" w:lineRule="auto"/>
              <w:ind w:firstLine="482" w:firstLineChars="200"/>
              <w:rPr>
                <w:b/>
                <w:bCs/>
                <w:color w:val="auto"/>
                <w:sz w:val="24"/>
              </w:rPr>
            </w:pPr>
            <w:r>
              <w:rPr>
                <w:b/>
                <w:bCs/>
                <w:color w:val="auto"/>
                <w:sz w:val="24"/>
              </w:rPr>
              <w:t>（4）与环境准入负面清单的符合性分析</w:t>
            </w:r>
          </w:p>
          <w:p>
            <w:pPr>
              <w:autoSpaceDE w:val="0"/>
              <w:autoSpaceDN w:val="0"/>
              <w:adjustRightInd w:val="0"/>
              <w:snapToGrid w:val="0"/>
              <w:spacing w:line="360" w:lineRule="auto"/>
              <w:ind w:firstLine="480" w:firstLineChars="200"/>
              <w:jc w:val="left"/>
              <w:rPr>
                <w:color w:val="auto"/>
                <w:sz w:val="24"/>
              </w:rPr>
            </w:pPr>
            <w:r>
              <w:rPr>
                <w:color w:val="auto"/>
                <w:sz w:val="24"/>
              </w:rPr>
              <w:t>环境准入负面清单是基于生态保护红线、环境质量底线和资源利用上线，以保护清单的方式列出的禁止、限制等差别化环境准入条件和要求。</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①《产业结构调整指导目录（2019年本）》：直径600mm及以上超高功率电极生产属于鼓励类项目。项目年产直径600mm及以上超高功率电极3万吨，因此项目符合国家产业政策。</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②山西省人民政府关于实施“三线一单”生态环境分区管控的意见符合性分析</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2020年12月31日，山西省人民政府发布文件《山西省人民政府关于实施“三线一单”生态环境分区管控的意见》晋政发[2020]26号。根据文件构件的生态环境分区管控体系，项目所在地属“重点管控单元”。文件规定该单元的环境保护要求为：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域,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强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分质利用。</w:t>
            </w:r>
          </w:p>
          <w:p>
            <w:pPr>
              <w:spacing w:line="360" w:lineRule="auto"/>
              <w:rPr>
                <w:color w:val="auto"/>
                <w:sz w:val="24"/>
              </w:rPr>
            </w:pPr>
            <w:r>
              <w:rPr>
                <w:rFonts w:hint="eastAsia"/>
                <w:color w:val="auto"/>
                <w:sz w:val="24"/>
              </w:rPr>
              <w:t xml:space="preserve">   项目不属于“钢铁、焦化、铸造、水泥、平板玻璃”及“两高”项目。项目运行对区域环境影响较小，不违背晋政发[2020]26号文件中“重点管控单元”管控要求。</w:t>
            </w:r>
          </w:p>
          <w:p>
            <w:pPr>
              <w:pStyle w:val="47"/>
              <w:spacing w:line="360" w:lineRule="auto"/>
              <w:ind w:firstLine="480"/>
              <w:rPr>
                <w:rFonts w:hint="default" w:ascii="Times New Roman" w:hAnsi="Times New Roman"/>
                <w:color w:val="auto"/>
                <w:szCs w:val="24"/>
              </w:rPr>
            </w:pPr>
            <w:r>
              <w:rPr>
                <w:rFonts w:ascii="Times New Roman" w:hAnsi="Times New Roman"/>
                <w:color w:val="auto"/>
                <w:szCs w:val="24"/>
              </w:rPr>
              <w:t>③大同市人民政府关于印发“三线一单”生态环境分区管控实施方案的通知，同政发[2021]23号符合性分析</w:t>
            </w:r>
          </w:p>
          <w:p>
            <w:pPr>
              <w:pStyle w:val="47"/>
              <w:spacing w:line="360" w:lineRule="auto"/>
              <w:ind w:firstLine="480"/>
              <w:jc w:val="both"/>
              <w:rPr>
                <w:rFonts w:hint="default" w:ascii="Times New Roman" w:hAnsi="Times New Roman"/>
                <w:color w:val="auto"/>
                <w:szCs w:val="24"/>
              </w:rPr>
            </w:pPr>
            <w:r>
              <w:rPr>
                <w:rFonts w:ascii="Times New Roman" w:hAnsi="Times New Roman"/>
                <w:color w:val="auto"/>
                <w:szCs w:val="24"/>
              </w:rPr>
              <w:t>根据同政发[2021]23号文中划定的大同市生态环境分区管控单元图，项目厂址属重点管控单元（见附图3），该管控单元的管理要求为：进一步优化空间布局，加强污染物排放总量控制和环境风险防控，不断提升资源能源利用效率，解决生态环境质量在达标、生态环境风险高等问题，实现减污降碳协同效应。加快调整优化产业结构、能源结构，严控“两高”企业准入门槛，加快实施城市规划区“两高”企业搬迁，完善能源消费双控制度。实施企业绩效分级分类管控，强化联防联控，持续推进清洁取暖“散煤各县（区）人民政府、大治理，严防散乱污”企业反弹，积极应对重污染天气。以资源环境承载力为约束，全面推进现有化工、钢铁、水泥、建材等重污染行业企业逐步退出城市规划区和县城建成区，推动“两高”产能向资源禀赋好、环境承载力强、大气扩散条件优、铁路运输便利的各县（区）人民政府、大区域转移。鼓励化工、水泥、建材等传统产业实施“飞地经济”。桑干河流域加强流域上下游左右岸污染统筹治理，严格入河排污口设置，实施桑干河入河排污总量控制，积极推行流域城镇生活污水处理厂“厂—网—河”一体化运营模式，大力推进工业废水就近零排放和资源化利用，实施城镇生活再生水资源化分质利用。</w:t>
            </w:r>
          </w:p>
          <w:p>
            <w:pPr>
              <w:spacing w:line="360" w:lineRule="auto"/>
              <w:rPr>
                <w:rFonts w:hint="eastAsia"/>
                <w:color w:val="auto"/>
                <w:kern w:val="0"/>
                <w:sz w:val="24"/>
              </w:rPr>
            </w:pPr>
            <w:r>
              <w:rPr>
                <w:rFonts w:hint="eastAsia"/>
                <w:color w:val="auto"/>
                <w:kern w:val="0"/>
                <w:sz w:val="24"/>
              </w:rPr>
              <w:t>项目厂址位于大同经济技术开发区，不在大同市城市规划区范围内；同时项目不属于“两高”行业，并且不设置入河排污口。项目严格污染防治措施后对区域环境影响较小，项目选址及污染防治满足同政发[2021]23号</w:t>
            </w:r>
            <w:r>
              <w:rPr>
                <w:rFonts w:hint="eastAsia"/>
                <w:color w:val="auto"/>
                <w:kern w:val="0"/>
                <w:sz w:val="24"/>
                <w:lang w:val="en-US" w:eastAsia="zh-CN"/>
              </w:rPr>
              <w:t>文件中规定的</w:t>
            </w:r>
            <w:r>
              <w:rPr>
                <w:rFonts w:hint="eastAsia"/>
                <w:color w:val="auto"/>
                <w:kern w:val="0"/>
                <w:sz w:val="24"/>
              </w:rPr>
              <w:t>重点管控单元管控要求。</w:t>
            </w:r>
          </w:p>
          <w:p>
            <w:pPr>
              <w:pStyle w:val="2"/>
              <w:rPr>
                <w:color w:val="auto"/>
              </w:rPr>
            </w:pPr>
          </w:p>
          <w:p>
            <w:pPr>
              <w:rPr>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kern w:val="0"/>
                <w:sz w:val="24"/>
                <w:lang w:val="en-US" w:eastAsia="zh-CN"/>
              </w:rPr>
            </w:pPr>
            <w:r>
              <w:rPr>
                <w:rFonts w:hint="eastAsia"/>
                <w:b/>
                <w:bCs/>
                <w:color w:val="auto"/>
                <w:kern w:val="0"/>
                <w:sz w:val="24"/>
                <w:lang w:val="en-US" w:eastAsia="zh-CN"/>
              </w:rPr>
              <w:t>2、与水源地相对位置关系</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集中式供水水源地：</w:t>
            </w:r>
            <w:r>
              <w:rPr>
                <w:rFonts w:hint="eastAsia" w:ascii="Times New Roman" w:hAnsi="Times New Roman" w:eastAsia="宋体" w:cs="Times New Roman"/>
                <w:color w:val="auto"/>
                <w:kern w:val="0"/>
                <w:sz w:val="24"/>
                <w:szCs w:val="24"/>
                <w:lang w:val="en-US" w:eastAsia="zh-CN" w:bidi="ar-SA"/>
              </w:rPr>
              <w:t>根据《大同市大同县乡镇集中式饮用水源保护区划分技术报告》，距离本项目最近的水源地为杜庄乡供水井，该井位于项目东北5.8km，项目位于该供水井的侧下游。</w:t>
            </w:r>
            <w:r>
              <w:rPr>
                <w:rFonts w:hint="eastAsia" w:cs="Times New Roman"/>
                <w:color w:val="auto"/>
                <w:kern w:val="0"/>
                <w:sz w:val="24"/>
                <w:szCs w:val="24"/>
                <w:lang w:val="en-US" w:eastAsia="zh-CN" w:bidi="ar-SA"/>
              </w:rPr>
              <w:t>具体相对位置关系见附图4。</w:t>
            </w:r>
          </w:p>
          <w:p>
            <w:pPr>
              <w:spacing w:line="360" w:lineRule="auto"/>
              <w:rPr>
                <w:rFonts w:hint="default"/>
                <w:color w:val="auto"/>
                <w:lang w:val="en-US" w:eastAsia="zh-CN"/>
              </w:rPr>
            </w:pPr>
            <w:r>
              <w:rPr>
                <w:rFonts w:hint="eastAsia" w:cs="Times New Roman"/>
                <w:color w:val="auto"/>
                <w:kern w:val="0"/>
                <w:sz w:val="24"/>
                <w:szCs w:val="24"/>
                <w:lang w:val="en-US" w:eastAsia="zh-CN" w:bidi="ar-SA"/>
              </w:rPr>
              <w:t xml:space="preserve">   </w:t>
            </w:r>
            <w:r>
              <w:rPr>
                <w:rFonts w:hint="eastAsia" w:ascii="Times New Roman" w:hAnsi="Times New Roman" w:eastAsia="宋体" w:cs="Times New Roman"/>
                <w:color w:val="auto"/>
                <w:kern w:val="0"/>
                <w:sz w:val="24"/>
                <w:szCs w:val="24"/>
                <w:lang w:val="en-US" w:eastAsia="zh-CN" w:bidi="ar-SA"/>
              </w:rPr>
              <w:t>分散式供水水源地：根据调查，距离项目最近的村庄常家堡村饮水来源为集中供水，项目厂址外1km范围内无分散式供水井。</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3、与《国务院关于印发打赢蓝天保卫战三年行动计划的通知》《山西省人民政府关于印发山西省打赢蓝天保卫战三年行动计划的通知》《山西省人民政府办公厅关于印发山西省打赢蓝天保卫战2020年决战计划的通知》的符合性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2018年6月27日国务院发布了《打赢蓝天保卫战三年行动计划》（国发[2018]22号），2018年7月29日山西省人民政府印发《山西省打赢蓝天保卫战三年行动计划》（晋政发[2018]30号）均提出：“新、改、扩建钢铁、石化、化工、焦化、建材、有色等项目的环境影响评价，应满足区域、规划环评要求”；“推进重点行业污染治理升级改造，重点区域二氧化硫、氮氧化物、颗粒物、挥发性有机物（VOCs）全面执行大气污染物特别排放限值”；“强化工业企业无组织排放管控，开展钢铁、建材、有色、火电、焦化、铸造等重点行业及燃煤锅炉无组织排放排查，建立管理台账，对物料（含废渣）运输、装卸、储存、转移和工艺过程等无组织排放实施深度治理”</w:t>
            </w:r>
            <w:r>
              <w:rPr>
                <w:rFonts w:hint="eastAsia" w:cs="Times New Roman"/>
                <w:color w:val="auto"/>
                <w:kern w:val="0"/>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2020年3月12日，山西省人民政府办公厅发布《关于印发山西省打赢蓝天保卫战2020年决战计划的通知》（晋政发[2020]17号），该文中指出：“坚持排放总量与排放标准双控、标准服从总量的原则，严格落实“三线一单和两高”行业产能控制要求，落实《产业结构调整指导目录（2019年本）》”。严格落实施工工地扬尘整治“六个百分之百”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项目采用各项环保措施均以达到主要大气污染物的</w:t>
            </w:r>
            <w:r>
              <w:rPr>
                <w:rFonts w:hint="eastAsia" w:cs="Times New Roman"/>
                <w:color w:val="auto"/>
                <w:kern w:val="0"/>
                <w:sz w:val="24"/>
                <w:szCs w:val="24"/>
                <w:lang w:val="en-US" w:eastAsia="zh-CN" w:bidi="ar-SA"/>
              </w:rPr>
              <w:t>达标排放</w:t>
            </w:r>
            <w:r>
              <w:rPr>
                <w:rFonts w:hint="eastAsia" w:ascii="Times New Roman" w:hAnsi="Times New Roman" w:eastAsia="宋体" w:cs="Times New Roman"/>
                <w:color w:val="auto"/>
                <w:kern w:val="0"/>
                <w:sz w:val="24"/>
                <w:szCs w:val="24"/>
                <w:lang w:val="en-US" w:eastAsia="zh-CN" w:bidi="ar-SA"/>
              </w:rPr>
              <w:t>，对无组织排放环节采用先进的生产工艺设备，加强生产管理；物料的输送、投料及转运等过程采用管道密闭输送等措施从源头减少污染物的排放。满足排放总量与排放标准双控，“三线一单”要求，满足《产业结构调整指导目录（2019年本）》相关要求。施工工地严格落实扬尘整治“六个百分之百”要求。项目</w:t>
            </w:r>
            <w:r>
              <w:rPr>
                <w:rFonts w:hint="eastAsia" w:cs="Times New Roman"/>
                <w:color w:val="auto"/>
                <w:kern w:val="0"/>
                <w:sz w:val="24"/>
                <w:szCs w:val="24"/>
                <w:lang w:val="en-US" w:eastAsia="zh-CN" w:bidi="ar-SA"/>
              </w:rPr>
              <w:t>选址、污染防治措施等</w:t>
            </w:r>
            <w:r>
              <w:rPr>
                <w:rFonts w:hint="eastAsia" w:ascii="Times New Roman" w:hAnsi="Times New Roman" w:eastAsia="宋体" w:cs="Times New Roman"/>
                <w:color w:val="auto"/>
                <w:kern w:val="0"/>
                <w:sz w:val="24"/>
                <w:szCs w:val="24"/>
                <w:lang w:val="en-US" w:eastAsia="zh-CN" w:bidi="ar-SA"/>
              </w:rPr>
              <w:t>符合国发[2018]22号、晋政发[2018]30号、晋政发[2020]17号文件要求。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4、</w:t>
            </w:r>
            <w:r>
              <w:rPr>
                <w:rFonts w:hint="eastAsia" w:ascii="Times New Roman" w:hAnsi="Times New Roman" w:eastAsia="宋体" w:cs="Times New Roman"/>
                <w:b/>
                <w:bCs/>
                <w:color w:val="auto"/>
                <w:kern w:val="0"/>
                <w:sz w:val="24"/>
                <w:szCs w:val="24"/>
                <w:lang w:val="en-US" w:eastAsia="zh-CN" w:bidi="ar-SA"/>
              </w:rPr>
              <w:t>与《京津冀及周边地区、汾渭平原2020-2021年秋冬季大气污染综合治理攻坚行动方案》《关于印发太原及周边区域（1+30）大气污染联防联控方案的通知》的符合性分析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2020年10月30日</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京津冀及周边地区、汾渭平原2020-2021年秋冬季大气污染综合治理攻坚行动方案》（环大气[2020]61号）提出：全面加强钢铁、建材、有色、焦化、铸造等重点行业无组织排放治理，生产工艺产尘点（装置）采取密闭、封闭或设置集气罩等措施，粉状物料等采用密闭、封闭等方式储存和输送。”</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2019年8月20日，山西省大气污染防治工作领导组办公室发布《关于印发太原及周边区域（1+30）大气污染联防联控方案的通知》（晋气防办[2019]9号），提出：推进钢铁、建材、有色、火电、焦化、铸造、煤炭（含洗煤）等重点行业物料（含废渣）运输、装卸、储存、转移和生产过程中无组织排放的深度治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项目无组织排放环节采用先进的生产工艺设备，加强生产管理；物料的输送、投料及转运等过程采用</w:t>
            </w:r>
            <w:r>
              <w:rPr>
                <w:rFonts w:hint="eastAsia" w:cs="Times New Roman"/>
                <w:color w:val="auto"/>
                <w:kern w:val="0"/>
                <w:sz w:val="24"/>
                <w:szCs w:val="24"/>
                <w:lang w:val="en-US" w:eastAsia="zh-CN" w:bidi="ar-SA"/>
              </w:rPr>
              <w:t>皮带通廊封闭</w:t>
            </w:r>
            <w:r>
              <w:rPr>
                <w:rFonts w:hint="eastAsia" w:ascii="Times New Roman" w:hAnsi="Times New Roman" w:eastAsia="宋体" w:cs="Times New Roman"/>
                <w:color w:val="auto"/>
                <w:kern w:val="0"/>
                <w:sz w:val="24"/>
                <w:szCs w:val="24"/>
                <w:lang w:val="en-US" w:eastAsia="zh-CN" w:bidi="ar-SA"/>
              </w:rPr>
              <w:t>输送等措施从源头减少污染物的排放。项目符合环大气环大气[2020]61号、晋气防办[2019]9号文件要求。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5、与《工业炉窑大气污染综合治理方案》的符合性分析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2019年7月1日，生态环境部、发展改革委、工业和信息化部、财政部四部门联合发布《关于印发&lt;工业炉窑大气污染综合治理方案&gt;的通知》（环大气[2019]56号）。2019年10月8日，山西省生态环境厅、山西省发展和改革委员会、山西省工业和信息化厅、山西省财政厅联合发布《关于印发&lt;山西省工业炉窑大气污染综合治理实施方案&gt;的通知》（晋环大气[2019]164号）。项目与工业炉窑治理方案的符合性分析见表</w:t>
            </w:r>
            <w:r>
              <w:rPr>
                <w:rFonts w:hint="eastAsia" w:cs="Times New Roman"/>
                <w:color w:val="auto"/>
                <w:kern w:val="0"/>
                <w:sz w:val="24"/>
                <w:szCs w:val="24"/>
                <w:lang w:val="en-US" w:eastAsia="zh-CN" w:bidi="ar-SA"/>
              </w:rPr>
              <w:t>3。</w:t>
            </w:r>
          </w:p>
          <w:p>
            <w:pPr>
              <w:jc w:val="center"/>
              <w:rPr>
                <w:rFonts w:hint="default"/>
                <w:b/>
                <w:bCs/>
                <w:color w:val="auto"/>
                <w:lang w:val="en-US" w:eastAsia="zh-CN"/>
              </w:rPr>
            </w:pPr>
            <w:r>
              <w:rPr>
                <w:rFonts w:hint="eastAsia" w:cs="Times New Roman"/>
                <w:b/>
                <w:bCs/>
                <w:color w:val="auto"/>
                <w:kern w:val="0"/>
                <w:sz w:val="24"/>
                <w:szCs w:val="24"/>
                <w:lang w:val="en-US" w:eastAsia="zh-CN" w:bidi="ar-SA"/>
              </w:rPr>
              <w:t>表3 项目与</w:t>
            </w:r>
            <w:r>
              <w:rPr>
                <w:rFonts w:hint="eastAsia" w:ascii="Times New Roman" w:hAnsi="Times New Roman" w:eastAsia="宋体" w:cs="Times New Roman"/>
                <w:b/>
                <w:bCs/>
                <w:color w:val="auto"/>
                <w:kern w:val="0"/>
                <w:sz w:val="24"/>
                <w:szCs w:val="24"/>
                <w:lang w:val="en-US" w:eastAsia="zh-CN" w:bidi="ar-SA"/>
              </w:rPr>
              <w:t>环大气[2019]56号文件规定符合性分析</w:t>
            </w:r>
          </w:p>
          <w:tbl>
            <w:tblPr>
              <w:tblStyle w:val="21"/>
              <w:tblW w:w="49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33"/>
              <w:gridCol w:w="25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056" w:type="pct"/>
                  <w:tcBorders>
                    <w:tl2br w:val="nil"/>
                    <w:tr2bl w:val="nil"/>
                  </w:tcBorders>
                  <w:noWrap w:val="0"/>
                  <w:vAlign w:val="center"/>
                </w:tcPr>
                <w:p>
                  <w:pPr>
                    <w:adjustRightInd w:val="0"/>
                    <w:snapToGrid w:val="0"/>
                    <w:spacing w:line="240" w:lineRule="auto"/>
                    <w:ind w:left="-23" w:leftChars="-12" w:right="-36" w:rightChars="0" w:hanging="2" w:firstLineChars="0"/>
                    <w:jc w:val="center"/>
                    <w:rPr>
                      <w:rFonts w:hint="default" w:ascii="Times New Roman" w:hAnsi="Times New Roman" w:eastAsia="宋体" w:cs="Times New Roman"/>
                      <w:b w:val="0"/>
                      <w:bCs w:val="0"/>
                      <w:i w:val="0"/>
                      <w:iCs w:val="0"/>
                      <w:color w:val="auto"/>
                      <w:sz w:val="18"/>
                      <w:szCs w:val="18"/>
                    </w:rPr>
                  </w:pPr>
                  <w:r>
                    <w:rPr>
                      <w:rFonts w:hint="default" w:ascii="Times New Roman" w:hAnsi="Times New Roman" w:eastAsia="宋体" w:cs="Times New Roman"/>
                      <w:b w:val="0"/>
                      <w:bCs w:val="0"/>
                      <w:i w:val="0"/>
                      <w:iCs w:val="0"/>
                      <w:color w:val="auto"/>
                      <w:sz w:val="18"/>
                      <w:szCs w:val="18"/>
                      <w:lang w:val="en-US" w:eastAsia="zh-CN"/>
                    </w:rPr>
                    <w:t>（</w:t>
                  </w:r>
                  <w:r>
                    <w:rPr>
                      <w:rFonts w:hint="default" w:ascii="Times New Roman" w:hAnsi="Times New Roman" w:eastAsia="宋体" w:cs="Times New Roman"/>
                      <w:b w:val="0"/>
                      <w:bCs w:val="0"/>
                      <w:i w:val="0"/>
                      <w:iCs w:val="0"/>
                      <w:color w:val="auto"/>
                      <w:sz w:val="18"/>
                      <w:szCs w:val="18"/>
                    </w:rPr>
                    <w:t>环大气〔2019〕56号</w:t>
                  </w:r>
                  <w:r>
                    <w:rPr>
                      <w:rFonts w:hint="default" w:ascii="Times New Roman" w:hAnsi="Times New Roman" w:eastAsia="宋体" w:cs="Times New Roman"/>
                      <w:b w:val="0"/>
                      <w:bCs w:val="0"/>
                      <w:i w:val="0"/>
                      <w:iCs w:val="0"/>
                      <w:color w:val="auto"/>
                      <w:sz w:val="18"/>
                      <w:szCs w:val="18"/>
                      <w:lang w:val="en-US" w:eastAsia="zh-CN"/>
                    </w:rPr>
                    <w:t>）</w:t>
                  </w:r>
                </w:p>
              </w:tc>
              <w:tc>
                <w:tcPr>
                  <w:tcW w:w="1943" w:type="pct"/>
                  <w:tcBorders>
                    <w:tl2br w:val="nil"/>
                    <w:tr2bl w:val="nil"/>
                  </w:tcBorders>
                  <w:noWrap w:val="0"/>
                  <w:vAlign w:val="center"/>
                </w:tcPr>
                <w:p>
                  <w:pPr>
                    <w:adjustRightInd w:val="0"/>
                    <w:snapToGrid w:val="0"/>
                    <w:spacing w:line="240" w:lineRule="auto"/>
                    <w:ind w:left="-23" w:leftChars="-12" w:right="-36" w:rightChars="0" w:hanging="2" w:firstLineChars="0"/>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2" w:hRule="atLeast"/>
                <w:jc w:val="center"/>
              </w:trPr>
              <w:tc>
                <w:tcPr>
                  <w:tcW w:w="305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1、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tc>
              <w:tc>
                <w:tcPr>
                  <w:tcW w:w="19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项目位于</w:t>
                  </w:r>
                  <w:r>
                    <w:rPr>
                      <w:rFonts w:hint="eastAsia" w:cs="Times New Roman"/>
                      <w:b w:val="0"/>
                      <w:bCs w:val="0"/>
                      <w:color w:val="auto"/>
                      <w:sz w:val="18"/>
                      <w:szCs w:val="18"/>
                      <w:lang w:val="en-US" w:eastAsia="zh-CN"/>
                    </w:rPr>
                    <w:t>园区范围内</w:t>
                  </w:r>
                  <w:r>
                    <w:rPr>
                      <w:rFonts w:hint="default" w:ascii="Times New Roman" w:hAnsi="Times New Roman" w:eastAsia="宋体" w:cs="Times New Roman"/>
                      <w:b w:val="0"/>
                      <w:bCs w:val="0"/>
                      <w:color w:val="auto"/>
                      <w:sz w:val="18"/>
                      <w:szCs w:val="18"/>
                      <w:lang w:val="en-US" w:eastAsia="zh-CN"/>
                    </w:rPr>
                    <w:t>，工程配套建设高效除尘环保治理措施。项目不属于产能过剩行业。根据《产业结构调整指导目录（2019年本）》中的相关规定，项目</w:t>
                  </w:r>
                  <w:r>
                    <w:rPr>
                      <w:rFonts w:hint="eastAsia" w:cs="Times New Roman"/>
                      <w:b w:val="0"/>
                      <w:bCs w:val="0"/>
                      <w:color w:val="auto"/>
                      <w:sz w:val="18"/>
                      <w:szCs w:val="18"/>
                      <w:lang w:val="en-US" w:eastAsia="zh-CN"/>
                    </w:rPr>
                    <w:t>属于鼓励类建设项目。项目位于山西省大同市，大同市不属于重点区域。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3" w:hRule="atLeast"/>
                <w:jc w:val="center"/>
              </w:trPr>
              <w:tc>
                <w:tcPr>
                  <w:tcW w:w="305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2、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加大煤气发生炉淘汰力度。2020年年底前，重点区域淘汰炉膛直径3米以下燃料类煤气发生炉；集中使用煤气发生炉的工业园区，暂不具备改用天然气条件的，原则上应建设统一的清洁煤制气中心。</w:t>
                  </w:r>
                </w:p>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加快淘汰燃煤工业炉窑。重点区域取缔燃煤热风炉，基本淘汰热电联产供热管网覆盖范围内的燃煤加热、烘干炉（窑）。加快推动铸造（10吨/小时及以下）、岩棉等行业冲天炉改为电炉。</w:t>
                  </w:r>
                </w:p>
              </w:tc>
              <w:tc>
                <w:tcPr>
                  <w:tcW w:w="19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项目石墨化炉使用电作为热源。导热油炉使用天然气清洁能源。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3056" w:type="pct"/>
                  <w:tcBorders>
                    <w:tl2br w:val="nil"/>
                    <w:tr2bl w:val="nil"/>
                  </w:tcBorders>
                  <w:noWrap w:val="0"/>
                  <w:vAlign w:val="center"/>
                </w:tcPr>
                <w:p>
                  <w:pPr>
                    <w:adjustRightInd w:val="0"/>
                    <w:snapToGrid w:val="0"/>
                    <w:spacing w:line="240" w:lineRule="auto"/>
                    <w:ind w:left="-23" w:leftChars="-12" w:right="-36" w:hanging="2"/>
                    <w:jc w:val="left"/>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3、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adjustRightInd w:val="0"/>
                    <w:snapToGrid w:val="0"/>
                    <w:spacing w:line="240" w:lineRule="auto"/>
                    <w:ind w:left="-23" w:leftChars="-12" w:right="-36" w:hanging="2"/>
                    <w:jc w:val="left"/>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p>
                  <w:pPr>
                    <w:adjustRightInd w:val="0"/>
                    <w:snapToGrid w:val="0"/>
                    <w:spacing w:line="240" w:lineRule="auto"/>
                    <w:ind w:left="-23" w:leftChars="-12" w:right="-36" w:hanging="2"/>
                    <w:jc w:val="left"/>
                    <w:rPr>
                      <w:rFonts w:hint="default" w:ascii="Times New Roman" w:hAnsi="Times New Roman" w:eastAsia="宋体" w:cs="Times New Roman"/>
                      <w:b w:val="0"/>
                      <w:bCs w:val="0"/>
                      <w:i w:val="0"/>
                      <w:iCs w:val="0"/>
                      <w:color w:val="auto"/>
                      <w:sz w:val="18"/>
                      <w:szCs w:val="18"/>
                    </w:rPr>
                  </w:pPr>
                  <w:r>
                    <w:rPr>
                      <w:rFonts w:hint="default" w:ascii="Times New Roman" w:hAnsi="Times New Roman" w:eastAsia="宋体" w:cs="Times New Roman"/>
                      <w:b w:val="0"/>
                      <w:bCs w:val="0"/>
                      <w:i w:val="0"/>
                      <w:iCs w:val="0"/>
                      <w:color w:val="auto"/>
                      <w:sz w:val="18"/>
                      <w:szCs w:val="18"/>
                      <w:lang w:val="en-US" w:eastAsia="zh-CN"/>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9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23" w:leftChars="-12" w:right="-36" w:hanging="2"/>
                    <w:jc w:val="left"/>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项目石墨化炉烟气经治理后按照颗粒物、二氧化硫、氮氧化物排放限值分别不高于30、200、300毫克/立方米控制，能够达标排放。</w:t>
                  </w:r>
                  <w:r>
                    <w:rPr>
                      <w:rFonts w:hint="default" w:ascii="Times New Roman" w:hAnsi="Times New Roman" w:eastAsia="宋体" w:cs="Times New Roman"/>
                      <w:b w:val="0"/>
                      <w:bCs w:val="0"/>
                      <w:color w:val="auto"/>
                      <w:sz w:val="18"/>
                      <w:szCs w:val="18"/>
                      <w:lang w:val="en-US" w:eastAsia="zh-CN"/>
                    </w:rPr>
                    <w:t>项目对工艺过程及相关物料储存、输送等无组织排放环节采取密闭</w:t>
                  </w:r>
                  <w:r>
                    <w:rPr>
                      <w:rFonts w:hint="eastAsia" w:ascii="Times New Roman" w:hAnsi="Times New Roman" w:eastAsia="宋体" w:cs="Times New Roman"/>
                      <w:b w:val="0"/>
                      <w:bCs w:val="0"/>
                      <w:color w:val="auto"/>
                      <w:sz w:val="18"/>
                      <w:szCs w:val="18"/>
                      <w:lang w:val="en-US" w:eastAsia="zh-CN"/>
                    </w:rPr>
                    <w:t>或封闭</w:t>
                  </w:r>
                  <w:r>
                    <w:rPr>
                      <w:rFonts w:hint="default" w:ascii="Times New Roman" w:hAnsi="Times New Roman" w:eastAsia="宋体" w:cs="Times New Roman"/>
                      <w:b w:val="0"/>
                      <w:bCs w:val="0"/>
                      <w:color w:val="auto"/>
                      <w:sz w:val="18"/>
                      <w:szCs w:val="18"/>
                      <w:lang w:val="en-US" w:eastAsia="zh-CN"/>
                    </w:rPr>
                    <w:t>措施，建设全封闭原料仓，封闭皮带通廊和斗式提升机封闭走廊，上料系统，成品筛分、破碎、落料废气收集经布袋除尘处理</w:t>
                  </w:r>
                  <w:r>
                    <w:rPr>
                      <w:rFonts w:hint="eastAsia" w:ascii="Times New Roman" w:hAnsi="Times New Roman" w:eastAsia="宋体" w:cs="Times New Roman"/>
                      <w:b w:val="0"/>
                      <w:bCs w:val="0"/>
                      <w:color w:val="auto"/>
                      <w:sz w:val="18"/>
                      <w:szCs w:val="18"/>
                      <w:lang w:val="en-US" w:eastAsia="zh-CN"/>
                    </w:rPr>
                    <w:t>，无组织排放能够的得到合理有效控制。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5" w:hRule="atLeast"/>
                <w:jc w:val="center"/>
              </w:trPr>
              <w:tc>
                <w:tcPr>
                  <w:tcW w:w="3056" w:type="pct"/>
                  <w:tcBorders>
                    <w:tl2br w:val="nil"/>
                    <w:tr2bl w:val="nil"/>
                  </w:tcBorders>
                  <w:noWrap w:val="0"/>
                  <w:vAlign w:val="center"/>
                </w:tcPr>
                <w:p>
                  <w:pPr>
                    <w:adjustRightInd w:val="0"/>
                    <w:snapToGrid w:val="0"/>
                    <w:spacing w:line="240" w:lineRule="auto"/>
                    <w:ind w:left="-23" w:leftChars="-12" w:right="-36" w:hanging="2"/>
                    <w:jc w:val="left"/>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4、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p>
                  <w:pPr>
                    <w:adjustRightInd w:val="0"/>
                    <w:snapToGrid w:val="0"/>
                    <w:spacing w:line="240" w:lineRule="auto"/>
                    <w:ind w:left="-23" w:leftChars="-12" w:right="-36" w:hanging="2"/>
                    <w:jc w:val="left"/>
                    <w:rPr>
                      <w:rFonts w:hint="default" w:ascii="Times New Roman" w:hAnsi="Times New Roman" w:eastAsia="宋体" w:cs="Times New Roman"/>
                      <w:b w:val="0"/>
                      <w:bCs w:val="0"/>
                      <w:i w:val="0"/>
                      <w:iCs w:val="0"/>
                      <w:color w:val="auto"/>
                      <w:sz w:val="18"/>
                      <w:szCs w:val="18"/>
                      <w:lang w:val="en-US" w:eastAsia="zh-CN"/>
                    </w:rPr>
                  </w:pPr>
                  <w:r>
                    <w:rPr>
                      <w:rFonts w:hint="default" w:ascii="Times New Roman" w:hAnsi="Times New Roman" w:eastAsia="宋体" w:cs="Times New Roman"/>
                      <w:b w:val="0"/>
                      <w:bCs w:val="0"/>
                      <w:i w:val="0"/>
                      <w:iCs w:val="0"/>
                      <w:color w:val="auto"/>
                      <w:sz w:val="18"/>
                      <w:szCs w:val="18"/>
                      <w:lang w:val="en-US" w:eastAsia="zh-CN"/>
                    </w:rPr>
                    <w:t>加强涉工业炉窑企业运输结构调整，京津冀及周边地区大宗货物年货运量150万吨及以上的，原则上全部修建铁路专用线；具有铁路专用线的，大宗货物铁路运输比例应达到80%以上。</w:t>
                  </w:r>
                </w:p>
              </w:tc>
              <w:tc>
                <w:tcPr>
                  <w:tcW w:w="1943" w:type="pct"/>
                  <w:tcBorders>
                    <w:tl2br w:val="nil"/>
                    <w:tr2bl w:val="nil"/>
                  </w:tcBorders>
                  <w:noWrap w:val="0"/>
                  <w:vAlign w:val="center"/>
                </w:tcPr>
                <w:p>
                  <w:pPr>
                    <w:adjustRightInd w:val="0"/>
                    <w:snapToGrid w:val="0"/>
                    <w:spacing w:line="240" w:lineRule="auto"/>
                    <w:ind w:left="-23" w:leftChars="-12" w:right="-36" w:hanging="2"/>
                    <w:jc w:val="left"/>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项目采暖期供热利用烟气余热，实现余热回收利用。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3056" w:type="pct"/>
                  <w:tcBorders>
                    <w:tl2br w:val="nil"/>
                    <w:tr2bl w:val="nil"/>
                  </w:tcBorders>
                  <w:noWrap w:val="0"/>
                  <w:vAlign w:val="center"/>
                </w:tcPr>
                <w:p>
                  <w:pPr>
                    <w:adjustRightInd w:val="0"/>
                    <w:snapToGrid w:val="0"/>
                    <w:spacing w:line="240" w:lineRule="auto"/>
                    <w:ind w:left="-23" w:leftChars="-12" w:right="-36" w:hanging="2"/>
                    <w:jc w:val="left"/>
                    <w:rPr>
                      <w:rFonts w:hint="default" w:ascii="Times New Roman" w:hAnsi="Times New Roman" w:eastAsia="宋体" w:cs="Times New Roman"/>
                      <w:b w:val="0"/>
                      <w:bCs w:val="0"/>
                      <w:i w:val="0"/>
                      <w:iCs w:val="0"/>
                      <w:color w:val="auto"/>
                      <w:sz w:val="18"/>
                      <w:szCs w:val="18"/>
                      <w:lang w:val="en-US" w:eastAsia="zh-CN"/>
                    </w:rPr>
                  </w:pPr>
                  <w:r>
                    <w:rPr>
                      <w:rFonts w:hint="eastAsia" w:cs="Times New Roman"/>
                      <w:b w:val="0"/>
                      <w:bCs w:val="0"/>
                      <w:i w:val="0"/>
                      <w:iCs w:val="0"/>
                      <w:color w:val="auto"/>
                      <w:sz w:val="18"/>
                      <w:szCs w:val="18"/>
                      <w:lang w:val="en-US" w:eastAsia="zh-CN"/>
                    </w:rPr>
                    <w:t>5</w:t>
                  </w:r>
                  <w:r>
                    <w:rPr>
                      <w:rFonts w:hint="default" w:ascii="Times New Roman" w:hAnsi="Times New Roman" w:eastAsia="宋体" w:cs="Times New Roman"/>
                      <w:b w:val="0"/>
                      <w:bCs w:val="0"/>
                      <w:i w:val="0"/>
                      <w:iCs w:val="0"/>
                      <w:color w:val="auto"/>
                      <w:sz w:val="18"/>
                      <w:szCs w:val="18"/>
                      <w:lang w:val="en-US" w:eastAsia="zh-CN"/>
                    </w:rPr>
                    <w:t>、强化重污染天气应对。各地应将涉工业炉窑企业全面纳入重污染天气应急减排清单，做到全覆盖。针对工业炉窑等主要排放工序，采取切实有效的应急减排措施，落实到具体生产线和设备。根据污染排放绩效水平，实行差异化应急减排管理。重点区域内钢铁、建材、焦化、有色、化工等涉大宗货物运输企业，应制定应急运输响应方案，原则上不允许柴油货车在重污染天气预警响应期间进出厂区（保证安全生产运行、运输民生保障物资或特殊需求产品的国五及以上排放标准车辆除外）。</w:t>
                  </w:r>
                </w:p>
              </w:tc>
              <w:tc>
                <w:tcPr>
                  <w:tcW w:w="1943" w:type="pct"/>
                  <w:tcBorders>
                    <w:tl2br w:val="nil"/>
                    <w:tr2bl w:val="nil"/>
                  </w:tcBorders>
                  <w:noWrap w:val="0"/>
                  <w:vAlign w:val="center"/>
                </w:tcPr>
                <w:p>
                  <w:pPr>
                    <w:adjustRightInd w:val="0"/>
                    <w:snapToGrid w:val="0"/>
                    <w:spacing w:line="240" w:lineRule="auto"/>
                    <w:ind w:left="-23" w:leftChars="-12" w:right="-36" w:hanging="2"/>
                    <w:jc w:val="left"/>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建设单位应制定重污染天气环境应急预案，采取切实有效的应急减排措施。制定应急运输响应方案，重污染天气下不允许柴油货车在重污染天气预警响应期间进出厂区（保证安全生产运行、运输民生保障物资或特殊需求产品的国五及以上排放标准车辆除外）。</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lang w:val="en-US" w:eastAsia="zh-CN"/>
              </w:rPr>
            </w:pPr>
            <w:r>
              <w:rPr>
                <w:rFonts w:hint="eastAsia"/>
                <w:b/>
                <w:bCs/>
                <w:color w:val="auto"/>
                <w:sz w:val="24"/>
                <w:lang w:val="en-US" w:eastAsia="zh-CN"/>
              </w:rPr>
              <w:t>6、山西省主体功能区划符合性分析</w:t>
            </w:r>
          </w:p>
          <w:p>
            <w:pPr>
              <w:pStyle w:val="72"/>
              <w:keepNext w:val="0"/>
              <w:keepLines w:val="0"/>
              <w:pageBreakBefore w:val="0"/>
              <w:widowControl w:val="0"/>
              <w:kinsoku/>
              <w:wordWrap/>
              <w:overflowPunct/>
              <w:topLinePunct w:val="0"/>
              <w:autoSpaceDE/>
              <w:autoSpaceDN/>
              <w:bidi w:val="0"/>
              <w:adjustRightInd/>
              <w:snapToGrid/>
              <w:spacing w:line="360" w:lineRule="auto"/>
              <w:ind w:firstLine="556"/>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2014年4月11日，山西省政府发布《山西省主体功能区规划》，将全省国土空间细分为重点开发区域、限制开发的农产品主产区、限制开发的重点生态功能区和禁止开发区域四类，并赋予其不同的发展功能定位。</w:t>
            </w:r>
            <w:r>
              <w:rPr>
                <w:rFonts w:hint="eastAsia" w:ascii="Times New Roman" w:hAnsi="Times New Roman" w:eastAsia="宋体" w:cs="Times New Roman"/>
                <w:color w:val="auto"/>
                <w:sz w:val="24"/>
                <w:szCs w:val="24"/>
                <w:lang w:val="en-US" w:eastAsia="zh-CN"/>
              </w:rPr>
              <w:t>项目位于重点开发区域，具体见附图5。</w:t>
            </w:r>
          </w:p>
          <w:p>
            <w:pPr>
              <w:pStyle w:val="72"/>
              <w:keepNext w:val="0"/>
              <w:keepLines w:val="0"/>
              <w:pageBreakBefore w:val="0"/>
              <w:widowControl w:val="0"/>
              <w:kinsoku/>
              <w:wordWrap/>
              <w:overflowPunct/>
              <w:topLinePunct w:val="0"/>
              <w:autoSpaceDE/>
              <w:autoSpaceDN/>
              <w:bidi w:val="0"/>
              <w:adjustRightInd/>
              <w:snapToGrid/>
              <w:spacing w:line="360" w:lineRule="auto"/>
              <w:ind w:firstLine="556"/>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重点开发区域占省域面积20.15%，未来功能定位为：支撑全省乃至全国经济发展的重要增长极，提升综合实力和产业竞争力的核心区，引领科技创新和经济发展方式转变的示范区，全省重要的人口和经济密集区。</w:t>
            </w:r>
          </w:p>
          <w:p>
            <w:pPr>
              <w:pStyle w:val="72"/>
              <w:keepNext w:val="0"/>
              <w:keepLines w:val="0"/>
              <w:pageBreakBefore w:val="0"/>
              <w:widowControl w:val="0"/>
              <w:kinsoku/>
              <w:wordWrap/>
              <w:overflowPunct/>
              <w:topLinePunct w:val="0"/>
              <w:autoSpaceDE/>
              <w:autoSpaceDN/>
              <w:bidi w:val="0"/>
              <w:adjustRightInd/>
              <w:snapToGrid/>
              <w:spacing w:line="360" w:lineRule="auto"/>
              <w:ind w:firstLine="556"/>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重点开发区域环境保护发展方向为：加强节能减排和环境整治，加快城镇生活污水、垃圾处理能力建设，构建节水型生产生活体系。做好生态环境、基本农田等保护规划，减少工业化城镇化对生态环境的影响，避免出现土地过多占用、水资源过度开发和生态环境压力过大等问题，努力提高环境质量。   </w:t>
            </w:r>
          </w:p>
          <w:p>
            <w:pPr>
              <w:pStyle w:val="72"/>
              <w:keepNext w:val="0"/>
              <w:keepLines w:val="0"/>
              <w:pageBreakBefore w:val="0"/>
              <w:widowControl w:val="0"/>
              <w:kinsoku/>
              <w:wordWrap/>
              <w:overflowPunct/>
              <w:topLinePunct w:val="0"/>
              <w:autoSpaceDE/>
              <w:autoSpaceDN/>
              <w:bidi w:val="0"/>
              <w:adjustRightInd/>
              <w:snapToGrid/>
              <w:spacing w:line="360" w:lineRule="auto"/>
              <w:ind w:firstLine="556"/>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项目位于园区范围内，占地性质为工业用地性质，生产和生活用水全部由园区供给。项目采取严格的污染防治措施，对区域环境影响较小。</w:t>
            </w:r>
            <w:r>
              <w:rPr>
                <w:rFonts w:hint="eastAsia" w:ascii="Times New Roman" w:hAnsi="Times New Roman" w:eastAsia="宋体" w:cs="Times New Roman"/>
                <w:color w:val="auto"/>
                <w:sz w:val="24"/>
                <w:szCs w:val="24"/>
              </w:rPr>
              <w:t>项目的选址</w:t>
            </w:r>
            <w:r>
              <w:rPr>
                <w:rFonts w:hint="eastAsia" w:ascii="Times New Roman" w:hAnsi="Times New Roman" w:eastAsia="宋体" w:cs="Times New Roman"/>
                <w:color w:val="auto"/>
                <w:sz w:val="24"/>
                <w:szCs w:val="24"/>
                <w:lang w:val="en-US" w:eastAsia="zh-CN"/>
              </w:rPr>
              <w:t>及污染防治措施满足</w:t>
            </w:r>
            <w:r>
              <w:rPr>
                <w:rFonts w:hint="eastAsia" w:ascii="Times New Roman" w:hAnsi="Times New Roman" w:eastAsia="宋体" w:cs="Times New Roman"/>
                <w:color w:val="auto"/>
                <w:sz w:val="24"/>
                <w:szCs w:val="24"/>
              </w:rPr>
              <w:t>《山西省主体功能区规划》</w:t>
            </w:r>
            <w:r>
              <w:rPr>
                <w:rFonts w:hint="eastAsia" w:ascii="Times New Roman" w:hAnsi="Times New Roman" w:eastAsia="宋体" w:cs="Times New Roman"/>
                <w:color w:val="auto"/>
                <w:sz w:val="24"/>
                <w:szCs w:val="24"/>
                <w:lang w:val="en-US" w:eastAsia="zh-CN"/>
              </w:rPr>
              <w:t>重点开发区域规定的环境保护</w:t>
            </w:r>
            <w:r>
              <w:rPr>
                <w:rFonts w:hint="eastAsia" w:ascii="Times New Roman" w:hAnsi="Times New Roman" w:eastAsia="宋体" w:cs="Times New Roman"/>
                <w:color w:val="auto"/>
                <w:sz w:val="24"/>
                <w:szCs w:val="24"/>
              </w:rPr>
              <w:t>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lang w:val="en-US" w:eastAsia="zh-CN"/>
              </w:rPr>
            </w:pPr>
            <w:r>
              <w:rPr>
                <w:rFonts w:hint="eastAsia"/>
                <w:b/>
                <w:bCs/>
                <w:color w:val="auto"/>
                <w:sz w:val="24"/>
                <w:lang w:val="en-US" w:eastAsia="zh-CN"/>
              </w:rPr>
              <w:t>7、两区规划符合性分析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lang w:val="en-US" w:eastAsia="zh-CN"/>
              </w:rPr>
            </w:pPr>
            <w:r>
              <w:rPr>
                <w:rFonts w:hint="eastAsia"/>
                <w:color w:val="auto"/>
                <w:sz w:val="24"/>
                <w:lang w:val="en-US" w:eastAsia="zh-CN"/>
              </w:rPr>
              <w:t xml:space="preserve">    （1）生态功能区划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根据项目所在地生态功能区划，厂址所处生态功能单元为“IIIB 桑干河北岸营养物质保持生态功能小区”。见附图6。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该区的生态环境保护措施及发展方向如下：①实施退耕还林还草的措施，加大生态公益林建设力度，提高当地植被的保水保土能力，有效地防治水土流失;加强生物多样性保护，严格控制外来物种的引入，在造林绿化、植被恢复以及位于自然风景区等地的园林绿化活动中，坚持使用乡土树种。②封育结合，营造水源涵养林和水土保持林，提高植被覆盖率，恢复和营造良好的山地生态系统;根据地形条件，因害设防，与生物措施相结合，配套进行工程措施建设，控制水土流失，改善农业生产条件。③对现有企业进行生产工艺改革，采用原材料利用率高、污染物排放量少的清洁生产工艺，减少“三废”排放;企业要节能和清洁化生产并举，实行严格的生态恢复和治理措施，减轻环境污染;加大企业绿化工作力度，种植对有害气体有吸收作用的植物，净化空气；④防治超采地下水，科学规划，合理调剂，实施保水、节水、蓄水工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 xml:space="preserve">   </w:t>
            </w:r>
            <w:r>
              <w:rPr>
                <w:rFonts w:hint="eastAsia" w:ascii="Times New Roman" w:hAnsi="Times New Roman" w:eastAsia="宋体" w:cs="Times New Roman"/>
                <w:color w:val="auto"/>
                <w:kern w:val="2"/>
                <w:sz w:val="24"/>
                <w:szCs w:val="24"/>
                <w:lang w:val="en-US" w:eastAsia="zh-CN" w:bidi="ar-SA"/>
              </w:rPr>
              <w:t>项目废气、废水处理采取严格污染防治措施，废气和废水能够实现达标排放并满足总量控制指标要求。</w:t>
            </w:r>
            <w:r>
              <w:rPr>
                <w:rFonts w:hint="eastAsia" w:cs="Times New Roman"/>
                <w:color w:val="auto"/>
                <w:kern w:val="2"/>
                <w:sz w:val="24"/>
                <w:szCs w:val="24"/>
                <w:lang w:val="en-US" w:eastAsia="zh-CN" w:bidi="ar-SA"/>
              </w:rPr>
              <w:t>除尘灰等固体废物全部返回生产线重复利用，项目清洁生产水平较高。</w:t>
            </w:r>
            <w:r>
              <w:rPr>
                <w:rFonts w:hint="eastAsia" w:ascii="Times New Roman" w:hAnsi="Times New Roman" w:eastAsia="宋体" w:cs="Times New Roman"/>
                <w:color w:val="auto"/>
                <w:kern w:val="2"/>
                <w:sz w:val="24"/>
                <w:szCs w:val="24"/>
                <w:lang w:val="en-US" w:eastAsia="zh-CN" w:bidi="ar-SA"/>
              </w:rPr>
              <w:t>项目投运后对外环境影响较小。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 </w:t>
            </w:r>
            <w:r>
              <w:rPr>
                <w:rFonts w:hint="eastAsia" w:cs="Times New Roman"/>
                <w:color w:val="auto"/>
                <w:kern w:val="2"/>
                <w:sz w:val="24"/>
                <w:szCs w:val="24"/>
                <w:lang w:val="en-US" w:eastAsia="zh-CN" w:bidi="ar-SA"/>
              </w:rPr>
              <w:t xml:space="preserve"> （2）生态经济区划</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0"/>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根据项目所在地生态经济区划，厂址所处单元为“IIC 桑干河北岸农林旅综合发展生态经济区”。具体见附图7。</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0"/>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该区发展方向为：鼓励生态农业、畜牧业、农产品加工业、生态旅游业；禁止采矿业和毁林开荒；限制冶金和建材行业。</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0"/>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项目位于园区范围内，不属于该生态经济区划规定的禁止类项目。项目环评阶段严格落实区域削减方案，能够确保项目投运后区域生态环境不恶化。项目的建设满足生态经济区划的要求。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0"/>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color w:val="auto"/>
                <w:sz w:val="24"/>
                <w:lang w:val="en-US" w:eastAsia="zh-CN"/>
              </w:rPr>
            </w:pPr>
            <w:r>
              <w:rPr>
                <w:rFonts w:hint="eastAsia" w:cs="Times New Roman"/>
                <w:color w:val="auto"/>
                <w:kern w:val="2"/>
                <w:sz w:val="24"/>
                <w:szCs w:val="24"/>
                <w:lang w:val="en-US" w:eastAsia="zh-CN" w:bidi="ar-SA"/>
              </w:rPr>
              <w:t xml:space="preserve">  </w:t>
            </w:r>
          </w:p>
        </w:tc>
      </w:tr>
    </w:tbl>
    <w:p>
      <w:pPr>
        <w:spacing w:line="360" w:lineRule="auto"/>
        <w:outlineLvl w:val="0"/>
        <w:rPr>
          <w:color w:val="auto"/>
          <w:sz w:val="30"/>
        </w:rPr>
        <w:sectPr>
          <w:footerReference r:id="rId5" w:type="default"/>
          <w:pgSz w:w="11906" w:h="16838"/>
          <w:pgMar w:top="1440" w:right="1797" w:bottom="1440" w:left="1797" w:header="851" w:footer="1077" w:gutter="0"/>
          <w:pgBorders>
            <w:top w:val="none" w:sz="0" w:space="0"/>
            <w:left w:val="none" w:sz="0" w:space="0"/>
            <w:bottom w:val="none" w:sz="0" w:space="0"/>
            <w:right w:val="none" w:sz="0" w:space="0"/>
          </w:pgBorders>
          <w:pgNumType w:start="1"/>
          <w:cols w:space="0" w:num="1"/>
          <w:docGrid w:linePitch="312" w:charSpace="0"/>
        </w:sectPr>
      </w:pPr>
    </w:p>
    <w:p>
      <w:pPr>
        <w:pStyle w:val="18"/>
        <w:jc w:val="center"/>
        <w:outlineLvl w:val="0"/>
        <w:rPr>
          <w:rFonts w:ascii="Times New Roman" w:hAnsi="Times New Roman"/>
          <w:b/>
          <w:bCs/>
          <w:snapToGrid w:val="0"/>
          <w:color w:val="auto"/>
          <w:sz w:val="30"/>
          <w:szCs w:val="30"/>
        </w:rPr>
      </w:pPr>
      <w:r>
        <w:rPr>
          <w:rFonts w:hint="eastAsia" w:ascii="Times New Roman" w:hAnsi="Times New Roman"/>
          <w:b/>
          <w:bCs/>
          <w:snapToGrid w:val="0"/>
          <w:color w:val="auto"/>
          <w:sz w:val="30"/>
          <w:szCs w:val="30"/>
        </w:rPr>
        <w:t>二、建设项目工程分析</w:t>
      </w:r>
    </w:p>
    <w:tbl>
      <w:tblPr>
        <w:tblStyle w:val="21"/>
        <w:tblW w:w="85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8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88" w:type="dxa"/>
            <w:vAlign w:val="center"/>
          </w:tcPr>
          <w:p>
            <w:pPr>
              <w:pStyle w:val="18"/>
              <w:adjustRightInd w:val="0"/>
              <w:snapToGrid w:val="0"/>
              <w:spacing w:before="0" w:beforeAutospacing="0" w:after="0" w:afterAutospacing="0"/>
              <w:jc w:val="center"/>
              <w:rPr>
                <w:rFonts w:ascii="Times New Roman" w:hAnsi="Times New Roman" w:cs="宋体"/>
                <w:color w:val="auto"/>
              </w:rPr>
            </w:pPr>
            <w:r>
              <w:rPr>
                <w:rFonts w:hint="eastAsia" w:ascii="Times New Roman" w:hAnsi="Times New Roman" w:cs="宋体"/>
                <w:color w:val="auto"/>
              </w:rPr>
              <w:t>建设内容</w:t>
            </w:r>
          </w:p>
        </w:tc>
        <w:tc>
          <w:tcPr>
            <w:tcW w:w="8066" w:type="dxa"/>
          </w:tcPr>
          <w:p>
            <w:pPr>
              <w:adjustRightInd w:val="0"/>
              <w:snapToGrid w:val="0"/>
              <w:spacing w:before="240" w:beforeLines="100" w:line="360" w:lineRule="auto"/>
              <w:rPr>
                <w:rFonts w:cs="宋体"/>
                <w:b/>
                <w:color w:val="auto"/>
                <w:sz w:val="24"/>
              </w:rPr>
            </w:pPr>
            <w:r>
              <w:rPr>
                <w:rFonts w:hint="eastAsia" w:cs="宋体"/>
                <w:b/>
                <w:color w:val="auto"/>
                <w:sz w:val="24"/>
              </w:rPr>
              <w:t>1、建设内容及建设规模</w:t>
            </w:r>
          </w:p>
          <w:p>
            <w:pPr>
              <w:pStyle w:val="2"/>
              <w:spacing w:after="0" w:line="360" w:lineRule="auto"/>
              <w:ind w:left="0" w:leftChars="0" w:firstLine="0" w:firstLineChars="0"/>
              <w:rPr>
                <w:bCs/>
                <w:color w:val="auto"/>
                <w:sz w:val="24"/>
              </w:rPr>
            </w:pPr>
            <w:r>
              <w:rPr>
                <w:rFonts w:hint="eastAsia"/>
                <w:bCs/>
                <w:color w:val="auto"/>
                <w:sz w:val="24"/>
              </w:rPr>
              <w:t xml:space="preserve">    （1）建设内容 </w:t>
            </w:r>
          </w:p>
          <w:p>
            <w:pPr>
              <w:pStyle w:val="2"/>
              <w:spacing w:after="0" w:line="360" w:lineRule="auto"/>
              <w:ind w:left="0" w:leftChars="0" w:firstLine="480"/>
              <w:rPr>
                <w:rFonts w:hint="default" w:eastAsia="宋体"/>
                <w:bCs/>
                <w:color w:val="auto"/>
                <w:sz w:val="24"/>
                <w:lang w:val="en-US" w:eastAsia="zh-CN"/>
              </w:rPr>
            </w:pPr>
            <w:r>
              <w:rPr>
                <w:rFonts w:hint="eastAsia"/>
                <w:bCs/>
                <w:color w:val="auto"/>
                <w:sz w:val="24"/>
              </w:rPr>
              <w:t>项目建设用地面积</w:t>
            </w:r>
            <w:r>
              <w:rPr>
                <w:rFonts w:hint="eastAsia"/>
                <w:bCs/>
                <w:color w:val="auto"/>
                <w:sz w:val="24"/>
                <w:lang w:val="en-US" w:eastAsia="zh-CN"/>
              </w:rPr>
              <w:t>74550.5</w:t>
            </w:r>
            <w:r>
              <w:rPr>
                <w:rFonts w:hint="eastAsia"/>
                <w:bCs/>
                <w:color w:val="auto"/>
                <w:sz w:val="24"/>
              </w:rPr>
              <w:t>m</w:t>
            </w:r>
            <w:r>
              <w:rPr>
                <w:rFonts w:hint="eastAsia"/>
                <w:bCs/>
                <w:color w:val="auto"/>
                <w:sz w:val="24"/>
                <w:vertAlign w:val="superscript"/>
              </w:rPr>
              <w:t>2</w:t>
            </w:r>
            <w:r>
              <w:rPr>
                <w:rFonts w:hint="eastAsia"/>
                <w:bCs/>
                <w:color w:val="auto"/>
                <w:sz w:val="24"/>
              </w:rPr>
              <w:t>，</w:t>
            </w:r>
            <w:r>
              <w:rPr>
                <w:rFonts w:hint="eastAsia"/>
                <w:bCs/>
                <w:color w:val="auto"/>
                <w:sz w:val="24"/>
                <w:lang w:val="en-US" w:eastAsia="zh-CN"/>
              </w:rPr>
              <w:t>厂址西侧为大同市贵义碳素有限公司，东侧为山西鼎盛农牧科技开发有限公司，南侧为大同中车煤化有限公司，北侧为耕地。具体见附图8。</w:t>
            </w:r>
          </w:p>
          <w:p>
            <w:pPr>
              <w:pStyle w:val="2"/>
              <w:spacing w:after="0" w:line="360" w:lineRule="auto"/>
              <w:ind w:left="0" w:leftChars="0" w:firstLine="480"/>
              <w:rPr>
                <w:color w:val="auto"/>
              </w:rPr>
            </w:pPr>
            <w:r>
              <w:rPr>
                <w:rFonts w:hint="eastAsia"/>
                <w:bCs/>
                <w:color w:val="auto"/>
                <w:sz w:val="24"/>
                <w:lang w:val="en-US" w:eastAsia="zh-CN"/>
              </w:rPr>
              <w:t>项目</w:t>
            </w:r>
            <w:r>
              <w:rPr>
                <w:rFonts w:hint="eastAsia"/>
                <w:bCs/>
                <w:color w:val="auto"/>
                <w:sz w:val="24"/>
              </w:rPr>
              <w:t>年产3万吨直径600mm以上超高功率电极</w:t>
            </w:r>
            <w:r>
              <w:rPr>
                <w:rFonts w:hint="eastAsia"/>
                <w:bCs/>
                <w:color w:val="auto"/>
                <w:sz w:val="24"/>
                <w:lang w:eastAsia="zh-CN"/>
              </w:rPr>
              <w:t>，</w:t>
            </w:r>
            <w:r>
              <w:rPr>
                <w:rFonts w:hint="eastAsia"/>
                <w:bCs/>
                <w:color w:val="auto"/>
                <w:sz w:val="24"/>
              </w:rPr>
              <w:t>共分两期建设</w:t>
            </w:r>
            <w:r>
              <w:rPr>
                <w:rFonts w:hint="eastAsia"/>
                <w:bCs/>
                <w:color w:val="auto"/>
                <w:sz w:val="24"/>
                <w:lang w:eastAsia="zh-CN"/>
              </w:rPr>
              <w:t>。</w:t>
            </w:r>
            <w:r>
              <w:rPr>
                <w:rFonts w:hint="eastAsia"/>
                <w:bCs/>
                <w:color w:val="auto"/>
                <w:sz w:val="24"/>
              </w:rPr>
              <w:t>其中一期工程建设石墨化工序车间、办公及公辅设施；二期工程建设制糊成型车间、机加工工序车间等设施。具体建设内容如表</w:t>
            </w:r>
            <w:r>
              <w:rPr>
                <w:rFonts w:hint="eastAsia"/>
                <w:bCs/>
                <w:color w:val="auto"/>
                <w:sz w:val="24"/>
                <w:lang w:val="en-US" w:eastAsia="zh-CN"/>
              </w:rPr>
              <w:t>4</w:t>
            </w:r>
            <w:r>
              <w:rPr>
                <w:rFonts w:hint="eastAsia"/>
                <w:bCs/>
                <w:color w:val="auto"/>
                <w:sz w:val="24"/>
              </w:rPr>
              <w:t>所示。</w:t>
            </w:r>
          </w:p>
          <w:p>
            <w:pPr>
              <w:jc w:val="center"/>
              <w:rPr>
                <w:b/>
                <w:color w:val="auto"/>
                <w:sz w:val="24"/>
              </w:rPr>
            </w:pPr>
            <w:r>
              <w:rPr>
                <w:b/>
                <w:color w:val="auto"/>
                <w:sz w:val="24"/>
              </w:rPr>
              <w:t>表</w:t>
            </w:r>
            <w:r>
              <w:rPr>
                <w:rFonts w:hint="eastAsia"/>
                <w:b/>
                <w:color w:val="auto"/>
                <w:sz w:val="24"/>
                <w:lang w:val="en-US" w:eastAsia="zh-CN"/>
              </w:rPr>
              <w:t>4</w:t>
            </w:r>
            <w:r>
              <w:rPr>
                <w:b/>
                <w:color w:val="auto"/>
                <w:sz w:val="24"/>
              </w:rPr>
              <w:t xml:space="preserve"> </w:t>
            </w:r>
            <w:r>
              <w:rPr>
                <w:rFonts w:hint="eastAsia"/>
                <w:b/>
                <w:color w:val="auto"/>
                <w:sz w:val="24"/>
              </w:rPr>
              <w:t xml:space="preserve"> </w:t>
            </w:r>
            <w:r>
              <w:rPr>
                <w:b/>
                <w:color w:val="auto"/>
                <w:sz w:val="24"/>
              </w:rPr>
              <w:t>主要建设内容一览表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98"/>
              <w:gridCol w:w="685"/>
              <w:gridCol w:w="753"/>
              <w:gridCol w:w="1461"/>
              <w:gridCol w:w="3904"/>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tcBorders>
                    <w:tl2br w:val="nil"/>
                    <w:tr2bl w:val="nil"/>
                  </w:tcBorders>
                  <w:vAlign w:val="center"/>
                </w:tcPr>
                <w:p>
                  <w:pPr>
                    <w:pStyle w:val="38"/>
                    <w:rPr>
                      <w:color w:val="auto"/>
                      <w:szCs w:val="21"/>
                    </w:rPr>
                  </w:pPr>
                  <w:r>
                    <w:rPr>
                      <w:rFonts w:hint="eastAsia"/>
                      <w:color w:val="auto"/>
                      <w:szCs w:val="21"/>
                    </w:rPr>
                    <w:t>项目</w:t>
                  </w:r>
                </w:p>
              </w:tc>
              <w:tc>
                <w:tcPr>
                  <w:tcW w:w="437" w:type="pct"/>
                  <w:tcBorders>
                    <w:tl2br w:val="nil"/>
                    <w:tr2bl w:val="nil"/>
                  </w:tcBorders>
                  <w:vAlign w:val="center"/>
                </w:tcPr>
                <w:p>
                  <w:pPr>
                    <w:pStyle w:val="38"/>
                    <w:rPr>
                      <w:color w:val="auto"/>
                      <w:szCs w:val="21"/>
                    </w:rPr>
                  </w:pPr>
                  <w:r>
                    <w:rPr>
                      <w:rFonts w:hint="eastAsia"/>
                      <w:color w:val="auto"/>
                      <w:szCs w:val="21"/>
                    </w:rPr>
                    <w:t>生产</w:t>
                  </w:r>
                </w:p>
                <w:p>
                  <w:pPr>
                    <w:pStyle w:val="38"/>
                    <w:rPr>
                      <w:color w:val="auto"/>
                      <w:szCs w:val="21"/>
                    </w:rPr>
                  </w:pPr>
                  <w:r>
                    <w:rPr>
                      <w:rFonts w:hint="eastAsia"/>
                      <w:color w:val="auto"/>
                      <w:szCs w:val="21"/>
                    </w:rPr>
                    <w:t>单元</w:t>
                  </w:r>
                </w:p>
              </w:tc>
              <w:tc>
                <w:tcPr>
                  <w:tcW w:w="480" w:type="pct"/>
                  <w:tcBorders>
                    <w:tl2br w:val="nil"/>
                    <w:tr2bl w:val="nil"/>
                  </w:tcBorders>
                  <w:vAlign w:val="center"/>
                </w:tcPr>
                <w:p>
                  <w:pPr>
                    <w:pStyle w:val="38"/>
                    <w:rPr>
                      <w:color w:val="auto"/>
                      <w:szCs w:val="21"/>
                    </w:rPr>
                  </w:pPr>
                  <w:r>
                    <w:rPr>
                      <w:rFonts w:hint="eastAsia"/>
                      <w:color w:val="auto"/>
                      <w:szCs w:val="21"/>
                    </w:rPr>
                    <w:t>主要生产工艺</w:t>
                  </w:r>
                </w:p>
              </w:tc>
              <w:tc>
                <w:tcPr>
                  <w:tcW w:w="3422" w:type="pct"/>
                  <w:gridSpan w:val="2"/>
                  <w:tcBorders>
                    <w:tl2br w:val="nil"/>
                    <w:tr2bl w:val="nil"/>
                  </w:tcBorders>
                  <w:vAlign w:val="center"/>
                </w:tcPr>
                <w:p>
                  <w:pPr>
                    <w:pStyle w:val="38"/>
                    <w:rPr>
                      <w:color w:val="auto"/>
                      <w:szCs w:val="21"/>
                    </w:rPr>
                  </w:pPr>
                  <w:r>
                    <w:rPr>
                      <w:rFonts w:hint="eastAsia"/>
                      <w:color w:val="auto"/>
                      <w:szCs w:val="21"/>
                    </w:rPr>
                    <w:t>建设内容</w:t>
                  </w:r>
                </w:p>
              </w:tc>
              <w:tc>
                <w:tcPr>
                  <w:tcW w:w="405" w:type="pct"/>
                  <w:tcBorders>
                    <w:tl2br w:val="nil"/>
                    <w:tr2bl w:val="nil"/>
                  </w:tcBorders>
                  <w:vAlign w:val="center"/>
                </w:tcPr>
                <w:p>
                  <w:pPr>
                    <w:pStyle w:val="38"/>
                    <w:rPr>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54" w:type="pct"/>
                  <w:vMerge w:val="restart"/>
                  <w:tcBorders>
                    <w:tl2br w:val="nil"/>
                    <w:tr2bl w:val="nil"/>
                  </w:tcBorders>
                  <w:vAlign w:val="center"/>
                </w:tcPr>
                <w:p>
                  <w:pPr>
                    <w:pStyle w:val="38"/>
                    <w:rPr>
                      <w:color w:val="auto"/>
                      <w:szCs w:val="21"/>
                    </w:rPr>
                  </w:pPr>
                  <w:r>
                    <w:rPr>
                      <w:rFonts w:hint="eastAsia"/>
                      <w:color w:val="auto"/>
                      <w:szCs w:val="21"/>
                    </w:rPr>
                    <w:t>主体工程</w:t>
                  </w:r>
                </w:p>
              </w:tc>
              <w:tc>
                <w:tcPr>
                  <w:tcW w:w="437" w:type="pct"/>
                  <w:vMerge w:val="restart"/>
                  <w:tcBorders>
                    <w:tl2br w:val="nil"/>
                    <w:tr2bl w:val="nil"/>
                  </w:tcBorders>
                  <w:vAlign w:val="center"/>
                </w:tcPr>
                <w:p>
                  <w:pPr>
                    <w:pStyle w:val="38"/>
                    <w:rPr>
                      <w:color w:val="auto"/>
                      <w:szCs w:val="21"/>
                    </w:rPr>
                  </w:pPr>
                  <w:r>
                    <w:rPr>
                      <w:rFonts w:hint="eastAsia"/>
                      <w:color w:val="auto"/>
                      <w:szCs w:val="21"/>
                    </w:rPr>
                    <w:t>制糊</w:t>
                  </w:r>
                </w:p>
                <w:p>
                  <w:pPr>
                    <w:pStyle w:val="38"/>
                    <w:rPr>
                      <w:color w:val="auto"/>
                      <w:szCs w:val="21"/>
                    </w:rPr>
                  </w:pPr>
                  <w:r>
                    <w:rPr>
                      <w:rFonts w:hint="eastAsia"/>
                      <w:color w:val="auto"/>
                      <w:szCs w:val="21"/>
                    </w:rPr>
                    <w:t>成型</w:t>
                  </w:r>
                </w:p>
              </w:tc>
              <w:tc>
                <w:tcPr>
                  <w:tcW w:w="480" w:type="pct"/>
                  <w:tcBorders>
                    <w:tl2br w:val="nil"/>
                    <w:tr2bl w:val="nil"/>
                  </w:tcBorders>
                  <w:vAlign w:val="center"/>
                </w:tcPr>
                <w:p>
                  <w:pPr>
                    <w:pStyle w:val="38"/>
                    <w:rPr>
                      <w:color w:val="auto"/>
                      <w:szCs w:val="21"/>
                    </w:rPr>
                  </w:pPr>
                  <w:r>
                    <w:rPr>
                      <w:rFonts w:hint="eastAsia"/>
                      <w:color w:val="auto"/>
                      <w:szCs w:val="21"/>
                    </w:rPr>
                    <w:t>中碎</w:t>
                  </w:r>
                </w:p>
                <w:p>
                  <w:pPr>
                    <w:pStyle w:val="38"/>
                    <w:rPr>
                      <w:color w:val="auto"/>
                      <w:szCs w:val="21"/>
                    </w:rPr>
                  </w:pPr>
                  <w:r>
                    <w:rPr>
                      <w:rFonts w:hint="eastAsia"/>
                      <w:color w:val="auto"/>
                      <w:szCs w:val="21"/>
                    </w:rPr>
                    <w:t>筛分</w:t>
                  </w:r>
                </w:p>
              </w:tc>
              <w:tc>
                <w:tcPr>
                  <w:tcW w:w="3422" w:type="pct"/>
                  <w:gridSpan w:val="2"/>
                  <w:tcBorders>
                    <w:tl2br w:val="nil"/>
                    <w:tr2bl w:val="nil"/>
                  </w:tcBorders>
                  <w:vAlign w:val="center"/>
                </w:tcPr>
                <w:p>
                  <w:pPr>
                    <w:pStyle w:val="38"/>
                    <w:ind w:left="21" w:leftChars="10" w:right="21" w:rightChars="10"/>
                    <w:jc w:val="left"/>
                    <w:rPr>
                      <w:color w:val="auto"/>
                      <w:szCs w:val="21"/>
                    </w:rPr>
                  </w:pPr>
                  <w:r>
                    <w:rPr>
                      <w:rFonts w:hint="eastAsia"/>
                      <w:color w:val="auto"/>
                      <w:szCs w:val="21"/>
                    </w:rPr>
                    <w:t>设3套煅后针状焦、石油焦中碎筛分系统，每套系统能力为10t/h，主要由胶带输送机、2台双光辊破碎机、1台斗式提升机、2台廻转筛。</w:t>
                  </w:r>
                </w:p>
                <w:p>
                  <w:pPr>
                    <w:pStyle w:val="38"/>
                    <w:ind w:left="21" w:leftChars="10" w:right="21" w:rightChars="10"/>
                    <w:jc w:val="left"/>
                    <w:rPr>
                      <w:color w:val="auto"/>
                      <w:szCs w:val="21"/>
                    </w:rPr>
                  </w:pPr>
                  <w:r>
                    <w:rPr>
                      <w:rFonts w:hint="eastAsia"/>
                      <w:color w:val="auto"/>
                      <w:szCs w:val="21"/>
                    </w:rPr>
                    <w:t>1套返回料中碎筛分系统，系统能力5t/h，对各种生碎料、 石墨碎等进行破碎筛分。系统主要由1台油压破碎机、1台复合破碎机、1台对辑破碎机、1台斗式提升机及1台廻转筛组成。</w:t>
                  </w:r>
                </w:p>
              </w:tc>
              <w:tc>
                <w:tcPr>
                  <w:tcW w:w="405" w:type="pct"/>
                  <w:vMerge w:val="restart"/>
                  <w:tcBorders>
                    <w:tl2br w:val="nil"/>
                    <w:tr2bl w:val="nil"/>
                  </w:tcBorders>
                  <w:vAlign w:val="center"/>
                </w:tcPr>
                <w:p>
                  <w:pPr>
                    <w:pStyle w:val="38"/>
                    <w:rPr>
                      <w:color w:val="auto"/>
                      <w:szCs w:val="21"/>
                    </w:rPr>
                  </w:pPr>
                  <w:r>
                    <w:rPr>
                      <w:rFonts w:hint="eastAsia"/>
                      <w:color w:val="auto"/>
                      <w:szCs w:val="21"/>
                    </w:rPr>
                    <w:t>二期</w:t>
                  </w:r>
                </w:p>
                <w:p>
                  <w:pPr>
                    <w:pStyle w:val="38"/>
                    <w:rPr>
                      <w:color w:val="auto"/>
                      <w:szCs w:val="21"/>
                    </w:rPr>
                  </w:pPr>
                  <w:r>
                    <w:rPr>
                      <w:rFonts w:hint="eastAsia"/>
                      <w:color w:val="auto"/>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continue"/>
                  <w:tcBorders>
                    <w:tl2br w:val="nil"/>
                    <w:tr2bl w:val="nil"/>
                  </w:tcBorders>
                  <w:vAlign w:val="center"/>
                </w:tcPr>
                <w:p>
                  <w:pPr>
                    <w:pStyle w:val="38"/>
                    <w:rPr>
                      <w:color w:val="auto"/>
                      <w:szCs w:val="21"/>
                    </w:rPr>
                  </w:pPr>
                </w:p>
              </w:tc>
              <w:tc>
                <w:tcPr>
                  <w:tcW w:w="480" w:type="pct"/>
                  <w:tcBorders>
                    <w:tl2br w:val="nil"/>
                    <w:tr2bl w:val="nil"/>
                  </w:tcBorders>
                  <w:vAlign w:val="center"/>
                </w:tcPr>
                <w:p>
                  <w:pPr>
                    <w:pStyle w:val="38"/>
                    <w:rPr>
                      <w:color w:val="auto"/>
                      <w:szCs w:val="21"/>
                    </w:rPr>
                  </w:pPr>
                  <w:r>
                    <w:rPr>
                      <w:rFonts w:hint="eastAsia"/>
                      <w:color w:val="auto"/>
                      <w:szCs w:val="21"/>
                    </w:rPr>
                    <w:t>磨粉</w:t>
                  </w:r>
                </w:p>
              </w:tc>
              <w:tc>
                <w:tcPr>
                  <w:tcW w:w="3422" w:type="pct"/>
                  <w:gridSpan w:val="2"/>
                  <w:tcBorders>
                    <w:tl2br w:val="nil"/>
                    <w:tr2bl w:val="nil"/>
                  </w:tcBorders>
                  <w:vAlign w:val="center"/>
                </w:tcPr>
                <w:p>
                  <w:pPr>
                    <w:pStyle w:val="38"/>
                    <w:ind w:left="21" w:leftChars="10" w:right="21" w:rightChars="10"/>
                    <w:jc w:val="left"/>
                    <w:rPr>
                      <w:color w:val="auto"/>
                      <w:szCs w:val="21"/>
                    </w:rPr>
                  </w:pPr>
                  <w:r>
                    <w:rPr>
                      <w:rFonts w:hint="eastAsia"/>
                      <w:color w:val="auto"/>
                      <w:szCs w:val="21"/>
                    </w:rPr>
                    <w:t>磨制各种粉料，共设3套磨粉系统，每套系统处理能力2t/h。每套磨粉系统主要由1台磨粉机（含选粉分级机）、1台旋风收集器、1台布袋收尘器及配套的相应风机等设备组成。3套磨粉系统粉料分别进入 3套粉料配料仓。</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continue"/>
                  <w:tcBorders>
                    <w:tl2br w:val="nil"/>
                    <w:tr2bl w:val="nil"/>
                  </w:tcBorders>
                  <w:vAlign w:val="center"/>
                </w:tcPr>
                <w:p>
                  <w:pPr>
                    <w:pStyle w:val="38"/>
                    <w:rPr>
                      <w:color w:val="auto"/>
                      <w:szCs w:val="21"/>
                    </w:rPr>
                  </w:pPr>
                </w:p>
              </w:tc>
              <w:tc>
                <w:tcPr>
                  <w:tcW w:w="480" w:type="pct"/>
                  <w:tcBorders>
                    <w:tl2br w:val="nil"/>
                    <w:tr2bl w:val="nil"/>
                  </w:tcBorders>
                  <w:vAlign w:val="center"/>
                </w:tcPr>
                <w:p>
                  <w:pPr>
                    <w:pStyle w:val="38"/>
                    <w:rPr>
                      <w:color w:val="auto"/>
                      <w:szCs w:val="21"/>
                    </w:rPr>
                  </w:pPr>
                  <w:r>
                    <w:rPr>
                      <w:rFonts w:hint="eastAsia"/>
                      <w:color w:val="auto"/>
                      <w:szCs w:val="21"/>
                    </w:rPr>
                    <w:t>配料</w:t>
                  </w:r>
                </w:p>
              </w:tc>
              <w:tc>
                <w:tcPr>
                  <w:tcW w:w="3422" w:type="pct"/>
                  <w:gridSpan w:val="2"/>
                  <w:tcBorders>
                    <w:tl2br w:val="nil"/>
                    <w:tr2bl w:val="nil"/>
                  </w:tcBorders>
                  <w:vAlign w:val="center"/>
                </w:tcPr>
                <w:p>
                  <w:pPr>
                    <w:pStyle w:val="38"/>
                    <w:ind w:left="21" w:leftChars="10" w:right="21" w:rightChars="10"/>
                    <w:jc w:val="left"/>
                    <w:rPr>
                      <w:color w:val="auto"/>
                      <w:szCs w:val="21"/>
                    </w:rPr>
                  </w:pPr>
                  <w:r>
                    <w:rPr>
                      <w:rFonts w:hint="eastAsia"/>
                      <w:color w:val="auto"/>
                      <w:szCs w:val="21"/>
                    </w:rPr>
                    <w:t>配料系统1套，系统平均生产能力10t/h，主要由6个配料仓、7台配料秤等设备组成</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continue"/>
                  <w:tcBorders>
                    <w:tl2br w:val="nil"/>
                    <w:tr2bl w:val="nil"/>
                  </w:tcBorders>
                  <w:vAlign w:val="center"/>
                </w:tcPr>
                <w:p>
                  <w:pPr>
                    <w:pStyle w:val="38"/>
                    <w:rPr>
                      <w:color w:val="auto"/>
                      <w:szCs w:val="21"/>
                    </w:rPr>
                  </w:pPr>
                </w:p>
              </w:tc>
              <w:tc>
                <w:tcPr>
                  <w:tcW w:w="480" w:type="pct"/>
                  <w:vMerge w:val="restart"/>
                  <w:tcBorders>
                    <w:tl2br w:val="nil"/>
                    <w:tr2bl w:val="nil"/>
                  </w:tcBorders>
                  <w:vAlign w:val="center"/>
                </w:tcPr>
                <w:p>
                  <w:pPr>
                    <w:pStyle w:val="38"/>
                    <w:rPr>
                      <w:color w:val="auto"/>
                      <w:szCs w:val="21"/>
                    </w:rPr>
                  </w:pPr>
                  <w:r>
                    <w:rPr>
                      <w:rFonts w:hint="eastAsia"/>
                      <w:color w:val="auto"/>
                      <w:szCs w:val="21"/>
                    </w:rPr>
                    <w:t>混捏</w:t>
                  </w:r>
                </w:p>
                <w:p>
                  <w:pPr>
                    <w:pStyle w:val="38"/>
                    <w:rPr>
                      <w:color w:val="auto"/>
                      <w:szCs w:val="21"/>
                    </w:rPr>
                  </w:pPr>
                  <w:r>
                    <w:rPr>
                      <w:rFonts w:hint="eastAsia"/>
                      <w:color w:val="auto"/>
                      <w:szCs w:val="21"/>
                    </w:rPr>
                    <w:t>成型</w:t>
                  </w:r>
                </w:p>
              </w:tc>
              <w:tc>
                <w:tcPr>
                  <w:tcW w:w="932" w:type="pct"/>
                  <w:tcBorders>
                    <w:tl2br w:val="nil"/>
                    <w:tr2bl w:val="nil"/>
                  </w:tcBorders>
                  <w:vAlign w:val="center"/>
                </w:tcPr>
                <w:p>
                  <w:pPr>
                    <w:pStyle w:val="38"/>
                    <w:ind w:left="21" w:leftChars="10" w:right="21" w:rightChars="10"/>
                    <w:jc w:val="left"/>
                    <w:rPr>
                      <w:color w:val="auto"/>
                      <w:szCs w:val="21"/>
                    </w:rPr>
                  </w:pPr>
                  <w:r>
                    <w:rPr>
                      <w:rFonts w:hint="eastAsia"/>
                      <w:color w:val="auto"/>
                      <w:szCs w:val="21"/>
                    </w:rPr>
                    <w:t>1号混捏成型系统-电极本体</w:t>
                  </w:r>
                </w:p>
              </w:tc>
              <w:tc>
                <w:tcPr>
                  <w:tcW w:w="2490" w:type="pct"/>
                  <w:tcBorders>
                    <w:tl2br w:val="nil"/>
                    <w:tr2bl w:val="nil"/>
                  </w:tcBorders>
                  <w:vAlign w:val="center"/>
                </w:tcPr>
                <w:p>
                  <w:pPr>
                    <w:pStyle w:val="38"/>
                    <w:ind w:left="21" w:leftChars="10" w:right="21" w:rightChars="10"/>
                    <w:jc w:val="left"/>
                    <w:rPr>
                      <w:color w:val="auto"/>
                      <w:szCs w:val="21"/>
                    </w:rPr>
                  </w:pPr>
                  <w:r>
                    <w:rPr>
                      <w:rFonts w:hint="eastAsia"/>
                      <w:color w:val="auto"/>
                      <w:szCs w:val="21"/>
                    </w:rPr>
                    <w:t>用于大批量生产较大规格电极本体，主要设备为2台4000L预热锅、2台4000L混捏锅、2台4000L糊冷却锅，1台3500t挤压成型机</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continue"/>
                  <w:tcBorders>
                    <w:tl2br w:val="nil"/>
                    <w:tr2bl w:val="nil"/>
                  </w:tcBorders>
                  <w:vAlign w:val="center"/>
                </w:tcPr>
                <w:p>
                  <w:pPr>
                    <w:pStyle w:val="38"/>
                    <w:rPr>
                      <w:color w:val="auto"/>
                      <w:szCs w:val="21"/>
                    </w:rPr>
                  </w:pPr>
                </w:p>
              </w:tc>
              <w:tc>
                <w:tcPr>
                  <w:tcW w:w="480" w:type="pct"/>
                  <w:vMerge w:val="continue"/>
                  <w:tcBorders>
                    <w:tl2br w:val="nil"/>
                    <w:tr2bl w:val="nil"/>
                  </w:tcBorders>
                  <w:vAlign w:val="center"/>
                </w:tcPr>
                <w:p>
                  <w:pPr>
                    <w:pStyle w:val="38"/>
                    <w:rPr>
                      <w:color w:val="auto"/>
                      <w:szCs w:val="21"/>
                    </w:rPr>
                  </w:pPr>
                </w:p>
              </w:tc>
              <w:tc>
                <w:tcPr>
                  <w:tcW w:w="932" w:type="pct"/>
                  <w:tcBorders>
                    <w:tl2br w:val="nil"/>
                    <w:tr2bl w:val="nil"/>
                  </w:tcBorders>
                  <w:vAlign w:val="center"/>
                </w:tcPr>
                <w:p>
                  <w:pPr>
                    <w:pStyle w:val="38"/>
                    <w:ind w:left="21" w:leftChars="10" w:right="21" w:rightChars="10"/>
                    <w:jc w:val="left"/>
                    <w:rPr>
                      <w:color w:val="auto"/>
                      <w:szCs w:val="21"/>
                    </w:rPr>
                  </w:pPr>
                  <w:r>
                    <w:rPr>
                      <w:rFonts w:hint="eastAsia"/>
                      <w:color w:val="auto"/>
                      <w:szCs w:val="21"/>
                    </w:rPr>
                    <w:t>2号混捏成型系统-接头</w:t>
                  </w:r>
                </w:p>
              </w:tc>
              <w:tc>
                <w:tcPr>
                  <w:tcW w:w="2490" w:type="pct"/>
                  <w:tcBorders>
                    <w:tl2br w:val="nil"/>
                    <w:tr2bl w:val="nil"/>
                  </w:tcBorders>
                  <w:vAlign w:val="center"/>
                </w:tcPr>
                <w:p>
                  <w:pPr>
                    <w:pStyle w:val="38"/>
                    <w:ind w:left="21" w:leftChars="10" w:right="21" w:rightChars="10"/>
                    <w:jc w:val="left"/>
                    <w:rPr>
                      <w:color w:val="auto"/>
                      <w:szCs w:val="21"/>
                    </w:rPr>
                  </w:pPr>
                  <w:r>
                    <w:rPr>
                      <w:rFonts w:hint="eastAsia"/>
                      <w:color w:val="auto"/>
                      <w:szCs w:val="21"/>
                    </w:rPr>
                    <w:t>用于生产优质的接头，主要设备为1台4000L预热锅、1台4000L混捏锅、1台4000L糊冷却锅，1台2500t挤压成型机</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437" w:type="pct"/>
                  <w:tcBorders>
                    <w:tl2br w:val="nil"/>
                    <w:tr2bl w:val="nil"/>
                  </w:tcBorders>
                  <w:vAlign w:val="center"/>
                </w:tcPr>
                <w:p>
                  <w:pPr>
                    <w:pStyle w:val="38"/>
                    <w:rPr>
                      <w:color w:val="auto"/>
                      <w:szCs w:val="21"/>
                    </w:rPr>
                  </w:pPr>
                  <w:r>
                    <w:rPr>
                      <w:rFonts w:hint="eastAsia"/>
                      <w:color w:val="auto"/>
                      <w:szCs w:val="21"/>
                    </w:rPr>
                    <w:t>石墨化</w:t>
                  </w:r>
                </w:p>
              </w:tc>
              <w:tc>
                <w:tcPr>
                  <w:tcW w:w="480" w:type="pct"/>
                  <w:tcBorders>
                    <w:tl2br w:val="nil"/>
                    <w:tr2bl w:val="nil"/>
                  </w:tcBorders>
                  <w:vAlign w:val="center"/>
                </w:tcPr>
                <w:p>
                  <w:pPr>
                    <w:pStyle w:val="38"/>
                    <w:rPr>
                      <w:color w:val="auto"/>
                      <w:szCs w:val="21"/>
                    </w:rPr>
                  </w:pPr>
                  <w:r>
                    <w:rPr>
                      <w:rFonts w:hint="eastAsia"/>
                      <w:color w:val="auto"/>
                      <w:szCs w:val="21"/>
                    </w:rPr>
                    <w:t>石墨化</w:t>
                  </w:r>
                </w:p>
              </w:tc>
              <w:tc>
                <w:tcPr>
                  <w:tcW w:w="3422" w:type="pct"/>
                  <w:gridSpan w:val="2"/>
                  <w:tcBorders>
                    <w:tl2br w:val="nil"/>
                    <w:tr2bl w:val="nil"/>
                  </w:tcBorders>
                  <w:vAlign w:val="center"/>
                </w:tcPr>
                <w:p>
                  <w:pPr>
                    <w:pStyle w:val="38"/>
                    <w:rPr>
                      <w:color w:val="auto"/>
                      <w:szCs w:val="21"/>
                    </w:rPr>
                  </w:pPr>
                  <w:r>
                    <w:rPr>
                      <w:rFonts w:hint="eastAsia"/>
                      <w:color w:val="auto"/>
                      <w:szCs w:val="21"/>
                    </w:rPr>
                    <w:t>2组串接石墨化炉，每组设9台炉子。</w:t>
                  </w:r>
                </w:p>
              </w:tc>
              <w:tc>
                <w:tcPr>
                  <w:tcW w:w="405" w:type="pct"/>
                  <w:tcBorders>
                    <w:tl2br w:val="nil"/>
                    <w:tr2bl w:val="nil"/>
                  </w:tcBorders>
                  <w:vAlign w:val="center"/>
                </w:tcPr>
                <w:p>
                  <w:pPr>
                    <w:pStyle w:val="38"/>
                    <w:rPr>
                      <w:color w:val="auto"/>
                      <w:szCs w:val="21"/>
                    </w:rPr>
                  </w:pPr>
                  <w:r>
                    <w:rPr>
                      <w:rFonts w:hint="eastAsia"/>
                      <w:color w:val="auto"/>
                      <w:szCs w:val="21"/>
                    </w:rPr>
                    <w:t>一期</w:t>
                  </w:r>
                </w:p>
                <w:p>
                  <w:pPr>
                    <w:pStyle w:val="38"/>
                    <w:rPr>
                      <w:color w:val="auto"/>
                      <w:szCs w:val="21"/>
                    </w:rPr>
                  </w:pPr>
                  <w:r>
                    <w:rPr>
                      <w:rFonts w:hint="eastAsia"/>
                      <w:color w:val="auto"/>
                      <w:szCs w:val="21"/>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restart"/>
                  <w:tcBorders>
                    <w:tl2br w:val="nil"/>
                    <w:tr2bl w:val="nil"/>
                  </w:tcBorders>
                  <w:vAlign w:val="center"/>
                </w:tcPr>
                <w:p>
                  <w:pPr>
                    <w:pStyle w:val="38"/>
                    <w:rPr>
                      <w:color w:val="auto"/>
                      <w:szCs w:val="21"/>
                    </w:rPr>
                  </w:pPr>
                  <w:r>
                    <w:rPr>
                      <w:rFonts w:hint="eastAsia"/>
                      <w:color w:val="auto"/>
                      <w:szCs w:val="21"/>
                    </w:rPr>
                    <w:t>加工</w:t>
                  </w:r>
                </w:p>
              </w:tc>
              <w:tc>
                <w:tcPr>
                  <w:tcW w:w="480" w:type="pct"/>
                  <w:vMerge w:val="restart"/>
                  <w:tcBorders>
                    <w:tl2br w:val="nil"/>
                    <w:tr2bl w:val="nil"/>
                  </w:tcBorders>
                  <w:vAlign w:val="center"/>
                </w:tcPr>
                <w:p>
                  <w:pPr>
                    <w:pStyle w:val="38"/>
                    <w:rPr>
                      <w:color w:val="auto"/>
                      <w:szCs w:val="21"/>
                    </w:rPr>
                  </w:pPr>
                  <w:r>
                    <w:rPr>
                      <w:rFonts w:hint="eastAsia"/>
                      <w:color w:val="auto"/>
                      <w:szCs w:val="21"/>
                    </w:rPr>
                    <w:t>加工</w:t>
                  </w:r>
                </w:p>
              </w:tc>
              <w:tc>
                <w:tcPr>
                  <w:tcW w:w="932" w:type="pct"/>
                  <w:tcBorders>
                    <w:tl2br w:val="nil"/>
                    <w:tr2bl w:val="nil"/>
                  </w:tcBorders>
                  <w:vAlign w:val="center"/>
                </w:tcPr>
                <w:p>
                  <w:pPr>
                    <w:pStyle w:val="38"/>
                    <w:rPr>
                      <w:color w:val="auto"/>
                      <w:szCs w:val="21"/>
                    </w:rPr>
                  </w:pPr>
                  <w:r>
                    <w:rPr>
                      <w:rFonts w:hint="eastAsia"/>
                      <w:color w:val="auto"/>
                      <w:szCs w:val="21"/>
                    </w:rPr>
                    <w:t>电极加工机组</w:t>
                  </w:r>
                </w:p>
              </w:tc>
              <w:tc>
                <w:tcPr>
                  <w:tcW w:w="2490" w:type="pct"/>
                  <w:tcBorders>
                    <w:tl2br w:val="nil"/>
                    <w:tr2bl w:val="nil"/>
                  </w:tcBorders>
                  <w:vAlign w:val="center"/>
                </w:tcPr>
                <w:p>
                  <w:pPr>
                    <w:pStyle w:val="38"/>
                    <w:rPr>
                      <w:color w:val="auto"/>
                      <w:szCs w:val="21"/>
                    </w:rPr>
                  </w:pPr>
                  <w:r>
                    <w:rPr>
                      <w:rFonts w:hint="eastAsia"/>
                      <w:color w:val="auto"/>
                      <w:szCs w:val="21"/>
                    </w:rPr>
                    <w:t>1套电极加工机组</w:t>
                  </w:r>
                </w:p>
              </w:tc>
              <w:tc>
                <w:tcPr>
                  <w:tcW w:w="405" w:type="pct"/>
                  <w:vMerge w:val="restar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4"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continue"/>
                  <w:tcBorders>
                    <w:tl2br w:val="nil"/>
                    <w:tr2bl w:val="nil"/>
                  </w:tcBorders>
                  <w:vAlign w:val="center"/>
                </w:tcPr>
                <w:p>
                  <w:pPr>
                    <w:pStyle w:val="38"/>
                    <w:rPr>
                      <w:color w:val="auto"/>
                      <w:szCs w:val="21"/>
                    </w:rPr>
                  </w:pPr>
                </w:p>
              </w:tc>
              <w:tc>
                <w:tcPr>
                  <w:tcW w:w="480" w:type="pct"/>
                  <w:vMerge w:val="continue"/>
                  <w:tcBorders>
                    <w:tl2br w:val="nil"/>
                    <w:tr2bl w:val="nil"/>
                  </w:tcBorders>
                  <w:vAlign w:val="center"/>
                </w:tcPr>
                <w:p>
                  <w:pPr>
                    <w:pStyle w:val="38"/>
                    <w:rPr>
                      <w:color w:val="auto"/>
                      <w:szCs w:val="21"/>
                    </w:rPr>
                  </w:pPr>
                </w:p>
              </w:tc>
              <w:tc>
                <w:tcPr>
                  <w:tcW w:w="932" w:type="pct"/>
                  <w:tcBorders>
                    <w:tl2br w:val="nil"/>
                    <w:tr2bl w:val="nil"/>
                  </w:tcBorders>
                  <w:vAlign w:val="center"/>
                </w:tcPr>
                <w:p>
                  <w:pPr>
                    <w:pStyle w:val="38"/>
                    <w:rPr>
                      <w:color w:val="auto"/>
                      <w:szCs w:val="21"/>
                    </w:rPr>
                  </w:pPr>
                  <w:r>
                    <w:rPr>
                      <w:rFonts w:hint="eastAsia"/>
                      <w:color w:val="auto"/>
                      <w:szCs w:val="21"/>
                    </w:rPr>
                    <w:t>接头加工机组</w:t>
                  </w:r>
                </w:p>
              </w:tc>
              <w:tc>
                <w:tcPr>
                  <w:tcW w:w="2490" w:type="pct"/>
                  <w:tcBorders>
                    <w:tl2br w:val="nil"/>
                    <w:tr2bl w:val="nil"/>
                  </w:tcBorders>
                  <w:vAlign w:val="center"/>
                </w:tcPr>
                <w:p>
                  <w:pPr>
                    <w:pStyle w:val="38"/>
                    <w:rPr>
                      <w:color w:val="auto"/>
                      <w:szCs w:val="21"/>
                    </w:rPr>
                  </w:pPr>
                  <w:r>
                    <w:rPr>
                      <w:rFonts w:hint="eastAsia"/>
                      <w:color w:val="auto"/>
                      <w:szCs w:val="21"/>
                    </w:rPr>
                    <w:t>1套接头加工机组</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437" w:type="pct"/>
                  <w:vMerge w:val="continue"/>
                  <w:tcBorders>
                    <w:tl2br w:val="nil"/>
                    <w:tr2bl w:val="nil"/>
                  </w:tcBorders>
                  <w:vAlign w:val="center"/>
                </w:tcPr>
                <w:p>
                  <w:pPr>
                    <w:pStyle w:val="38"/>
                    <w:rPr>
                      <w:color w:val="auto"/>
                      <w:szCs w:val="21"/>
                    </w:rPr>
                  </w:pPr>
                </w:p>
              </w:tc>
              <w:tc>
                <w:tcPr>
                  <w:tcW w:w="480" w:type="pct"/>
                  <w:vMerge w:val="continue"/>
                  <w:tcBorders>
                    <w:tl2br w:val="nil"/>
                    <w:tr2bl w:val="nil"/>
                  </w:tcBorders>
                  <w:vAlign w:val="center"/>
                </w:tcPr>
                <w:p>
                  <w:pPr>
                    <w:pStyle w:val="38"/>
                    <w:rPr>
                      <w:color w:val="auto"/>
                      <w:szCs w:val="21"/>
                    </w:rPr>
                  </w:pPr>
                </w:p>
              </w:tc>
              <w:tc>
                <w:tcPr>
                  <w:tcW w:w="932" w:type="pct"/>
                  <w:tcBorders>
                    <w:tl2br w:val="nil"/>
                    <w:tr2bl w:val="nil"/>
                  </w:tcBorders>
                  <w:vAlign w:val="center"/>
                </w:tcPr>
                <w:p>
                  <w:pPr>
                    <w:pStyle w:val="38"/>
                    <w:rPr>
                      <w:color w:val="auto"/>
                      <w:szCs w:val="21"/>
                    </w:rPr>
                  </w:pPr>
                  <w:r>
                    <w:rPr>
                      <w:rFonts w:hint="eastAsia"/>
                      <w:color w:val="auto"/>
                      <w:szCs w:val="21"/>
                    </w:rPr>
                    <w:t>机加工化验</w:t>
                  </w:r>
                </w:p>
              </w:tc>
              <w:tc>
                <w:tcPr>
                  <w:tcW w:w="2490" w:type="pct"/>
                  <w:tcBorders>
                    <w:tl2br w:val="nil"/>
                    <w:tr2bl w:val="nil"/>
                  </w:tcBorders>
                  <w:vAlign w:val="center"/>
                </w:tcPr>
                <w:p>
                  <w:pPr>
                    <w:pStyle w:val="38"/>
                    <w:rPr>
                      <w:color w:val="auto"/>
                      <w:szCs w:val="21"/>
                    </w:rPr>
                  </w:pPr>
                  <w:r>
                    <w:rPr>
                      <w:rFonts w:hint="eastAsia"/>
                      <w:color w:val="auto"/>
                      <w:szCs w:val="21"/>
                    </w:rPr>
                    <w:t>1套机加工化验设备</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restart"/>
                  <w:tcBorders>
                    <w:tl2br w:val="nil"/>
                    <w:tr2bl w:val="nil"/>
                  </w:tcBorders>
                  <w:vAlign w:val="center"/>
                </w:tcPr>
                <w:p>
                  <w:pPr>
                    <w:pStyle w:val="38"/>
                    <w:rPr>
                      <w:color w:val="auto"/>
                      <w:szCs w:val="21"/>
                    </w:rPr>
                  </w:pPr>
                  <w:r>
                    <w:rPr>
                      <w:rFonts w:hint="eastAsia"/>
                      <w:color w:val="auto"/>
                      <w:szCs w:val="21"/>
                    </w:rPr>
                    <w:t>公辅工程</w:t>
                  </w:r>
                </w:p>
              </w:tc>
              <w:tc>
                <w:tcPr>
                  <w:tcW w:w="917" w:type="pct"/>
                  <w:gridSpan w:val="2"/>
                  <w:tcBorders>
                    <w:tl2br w:val="nil"/>
                    <w:tr2bl w:val="nil"/>
                  </w:tcBorders>
                  <w:vAlign w:val="center"/>
                </w:tcPr>
                <w:p>
                  <w:pPr>
                    <w:pStyle w:val="38"/>
                    <w:rPr>
                      <w:color w:val="auto"/>
                      <w:szCs w:val="21"/>
                    </w:rPr>
                  </w:pPr>
                  <w:r>
                    <w:rPr>
                      <w:rFonts w:hint="eastAsia"/>
                      <w:color w:val="auto"/>
                      <w:szCs w:val="21"/>
                    </w:rPr>
                    <w:t>供电</w:t>
                  </w:r>
                </w:p>
              </w:tc>
              <w:tc>
                <w:tcPr>
                  <w:tcW w:w="3422" w:type="pct"/>
                  <w:gridSpan w:val="2"/>
                  <w:tcBorders>
                    <w:tl2br w:val="nil"/>
                    <w:tr2bl w:val="nil"/>
                  </w:tcBorders>
                  <w:vAlign w:val="center"/>
                </w:tcPr>
                <w:p>
                  <w:pPr>
                    <w:pStyle w:val="38"/>
                    <w:rPr>
                      <w:color w:val="auto"/>
                      <w:szCs w:val="21"/>
                    </w:rPr>
                  </w:pPr>
                  <w:r>
                    <w:rPr>
                      <w:rFonts w:hint="eastAsia"/>
                      <w:color w:val="auto"/>
                      <w:szCs w:val="21"/>
                    </w:rPr>
                    <w:t>由当地电网引入2回35KV电源</w:t>
                  </w:r>
                </w:p>
              </w:tc>
              <w:tc>
                <w:tcPr>
                  <w:tcW w:w="405" w:type="pct"/>
                  <w:vMerge w:val="restar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给水</w:t>
                  </w:r>
                </w:p>
              </w:tc>
              <w:tc>
                <w:tcPr>
                  <w:tcW w:w="3422" w:type="pct"/>
                  <w:gridSpan w:val="2"/>
                  <w:tcBorders>
                    <w:tl2br w:val="nil"/>
                    <w:tr2bl w:val="nil"/>
                  </w:tcBorders>
                  <w:vAlign w:val="center"/>
                </w:tcPr>
                <w:p>
                  <w:pPr>
                    <w:pStyle w:val="38"/>
                    <w:rPr>
                      <w:color w:val="auto"/>
                      <w:szCs w:val="21"/>
                    </w:rPr>
                  </w:pPr>
                  <w:r>
                    <w:rPr>
                      <w:rFonts w:hint="eastAsia"/>
                      <w:color w:val="auto"/>
                      <w:szCs w:val="21"/>
                    </w:rPr>
                    <w:t>生活给水由园区生活给水管网供给；生产用水由工业园区生产给水管网供给。</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循环水系统</w:t>
                  </w:r>
                </w:p>
              </w:tc>
              <w:tc>
                <w:tcPr>
                  <w:tcW w:w="3422" w:type="pct"/>
                  <w:gridSpan w:val="2"/>
                  <w:tcBorders>
                    <w:tl2br w:val="nil"/>
                    <w:tr2bl w:val="nil"/>
                  </w:tcBorders>
                  <w:vAlign w:val="center"/>
                </w:tcPr>
                <w:p>
                  <w:pPr>
                    <w:pStyle w:val="38"/>
                    <w:rPr>
                      <w:color w:val="auto"/>
                      <w:szCs w:val="21"/>
                    </w:rPr>
                  </w:pPr>
                  <w:r>
                    <w:rPr>
                      <w:rFonts w:hint="eastAsia"/>
                      <w:color w:val="auto"/>
                      <w:szCs w:val="21"/>
                    </w:rPr>
                    <w:t>1套清循环水自流回水系统，1套清循环水有压回水系统；1套浊循环水系统。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天然气</w:t>
                  </w:r>
                </w:p>
              </w:tc>
              <w:tc>
                <w:tcPr>
                  <w:tcW w:w="3422" w:type="pct"/>
                  <w:gridSpan w:val="2"/>
                  <w:tcBorders>
                    <w:tl2br w:val="nil"/>
                    <w:tr2bl w:val="nil"/>
                  </w:tcBorders>
                  <w:vAlign w:val="center"/>
                </w:tcPr>
                <w:p>
                  <w:pPr>
                    <w:pStyle w:val="38"/>
                    <w:rPr>
                      <w:color w:val="auto"/>
                      <w:szCs w:val="21"/>
                    </w:rPr>
                  </w:pPr>
                  <w:r>
                    <w:rPr>
                      <w:rFonts w:hint="eastAsia"/>
                      <w:color w:val="auto"/>
                      <w:szCs w:val="21"/>
                    </w:rPr>
                    <w:t>导热油炉燃用天然气，天然气为管道天然气</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导热油炉</w:t>
                  </w:r>
                </w:p>
              </w:tc>
              <w:tc>
                <w:tcPr>
                  <w:tcW w:w="3422" w:type="pct"/>
                  <w:gridSpan w:val="2"/>
                  <w:tcBorders>
                    <w:tl2br w:val="nil"/>
                    <w:tr2bl w:val="nil"/>
                  </w:tcBorders>
                  <w:vAlign w:val="center"/>
                </w:tcPr>
                <w:p>
                  <w:pPr>
                    <w:pStyle w:val="38"/>
                    <w:rPr>
                      <w:color w:val="auto"/>
                      <w:szCs w:val="21"/>
                    </w:rPr>
                  </w:pPr>
                  <w:r>
                    <w:rPr>
                      <w:rFonts w:hint="eastAsia"/>
                      <w:color w:val="auto"/>
                      <w:szCs w:val="21"/>
                    </w:rPr>
                    <w:t>设1台240万大卡燃气导热油炉</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1" w:hRule="atLeast"/>
                <w:jc w:val="center"/>
              </w:trPr>
              <w:tc>
                <w:tcPr>
                  <w:tcW w:w="254" w:type="pct"/>
                  <w:vMerge w:val="continue"/>
                  <w:tcBorders>
                    <w:tl2br w:val="nil"/>
                    <w:tr2bl w:val="nil"/>
                  </w:tcBorders>
                  <w:vAlign w:val="center"/>
                </w:tcPr>
                <w:p>
                  <w:pPr>
                    <w:pStyle w:val="38"/>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空压系统</w:t>
                  </w:r>
                </w:p>
              </w:tc>
              <w:tc>
                <w:tcPr>
                  <w:tcW w:w="3422" w:type="pct"/>
                  <w:gridSpan w:val="2"/>
                  <w:tcBorders>
                    <w:tl2br w:val="nil"/>
                    <w:tr2bl w:val="nil"/>
                  </w:tcBorders>
                  <w:vAlign w:val="center"/>
                </w:tcPr>
                <w:p>
                  <w:pPr>
                    <w:pStyle w:val="38"/>
                    <w:rPr>
                      <w:color w:val="auto"/>
                      <w:szCs w:val="21"/>
                    </w:rPr>
                  </w:pPr>
                  <w:r>
                    <w:rPr>
                      <w:rFonts w:hint="eastAsia"/>
                      <w:color w:val="auto"/>
                      <w:szCs w:val="21"/>
                    </w:rPr>
                    <w:t>设1个空压站，分别向压型、原料区及石墨化、机加区域供应压缩空气</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54" w:type="pct"/>
                  <w:vMerge w:val="restart"/>
                  <w:tcBorders>
                    <w:tl2br w:val="nil"/>
                    <w:tr2bl w:val="nil"/>
                  </w:tcBorders>
                  <w:vAlign w:val="center"/>
                </w:tcPr>
                <w:p>
                  <w:pPr>
                    <w:pStyle w:val="38"/>
                    <w:rPr>
                      <w:color w:val="auto"/>
                      <w:szCs w:val="21"/>
                    </w:rPr>
                  </w:pPr>
                  <w:r>
                    <w:rPr>
                      <w:rFonts w:hint="eastAsia"/>
                      <w:color w:val="auto"/>
                      <w:szCs w:val="21"/>
                    </w:rPr>
                    <w:t>贮运工程</w:t>
                  </w:r>
                </w:p>
              </w:tc>
              <w:tc>
                <w:tcPr>
                  <w:tcW w:w="917" w:type="pct"/>
                  <w:gridSpan w:val="2"/>
                  <w:tcBorders>
                    <w:tl2br w:val="nil"/>
                    <w:tr2bl w:val="nil"/>
                  </w:tcBorders>
                  <w:vAlign w:val="center"/>
                </w:tcPr>
                <w:p>
                  <w:pPr>
                    <w:pStyle w:val="38"/>
                    <w:rPr>
                      <w:color w:val="auto"/>
                      <w:szCs w:val="21"/>
                    </w:rPr>
                  </w:pPr>
                  <w:r>
                    <w:rPr>
                      <w:rFonts w:hint="eastAsia"/>
                      <w:color w:val="auto"/>
                      <w:szCs w:val="21"/>
                    </w:rPr>
                    <w:t>原料、返料储存</w:t>
                  </w:r>
                </w:p>
              </w:tc>
              <w:tc>
                <w:tcPr>
                  <w:tcW w:w="3422" w:type="pct"/>
                  <w:gridSpan w:val="2"/>
                  <w:tcBorders>
                    <w:tl2br w:val="nil"/>
                    <w:tr2bl w:val="nil"/>
                  </w:tcBorders>
                  <w:vAlign w:val="center"/>
                </w:tcPr>
                <w:p>
                  <w:pPr>
                    <w:pStyle w:val="38"/>
                    <w:rPr>
                      <w:color w:val="auto"/>
                      <w:szCs w:val="21"/>
                    </w:rPr>
                  </w:pPr>
                  <w:r>
                    <w:rPr>
                      <w:rFonts w:hint="eastAsia"/>
                      <w:color w:val="auto"/>
                      <w:szCs w:val="21"/>
                    </w:rPr>
                    <w:t>设1个原料和返料储存车间，6188m</w:t>
                  </w:r>
                  <w:r>
                    <w:rPr>
                      <w:rFonts w:hint="eastAsia"/>
                      <w:color w:val="auto"/>
                      <w:szCs w:val="21"/>
                      <w:vertAlign w:val="superscript"/>
                    </w:rPr>
                    <w:t>2</w:t>
                  </w:r>
                </w:p>
              </w:tc>
              <w:tc>
                <w:tcPr>
                  <w:tcW w:w="405" w:type="pct"/>
                  <w:vMerge w:val="restar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2"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生制品车间</w:t>
                  </w:r>
                </w:p>
              </w:tc>
              <w:tc>
                <w:tcPr>
                  <w:tcW w:w="3422" w:type="pct"/>
                  <w:gridSpan w:val="2"/>
                  <w:tcBorders>
                    <w:tl2br w:val="nil"/>
                    <w:tr2bl w:val="nil"/>
                  </w:tcBorders>
                  <w:vAlign w:val="center"/>
                </w:tcPr>
                <w:p>
                  <w:pPr>
                    <w:pStyle w:val="38"/>
                    <w:rPr>
                      <w:color w:val="auto"/>
                      <w:szCs w:val="21"/>
                    </w:rPr>
                  </w:pPr>
                  <w:r>
                    <w:rPr>
                      <w:rFonts w:hint="eastAsia"/>
                      <w:color w:val="auto"/>
                      <w:szCs w:val="21"/>
                    </w:rPr>
                    <w:t>新建1个生石墨电极储存车间，2532m</w:t>
                  </w:r>
                  <w:r>
                    <w:rPr>
                      <w:rFonts w:hint="eastAsia"/>
                      <w:color w:val="auto"/>
                      <w:szCs w:val="21"/>
                      <w:vertAlign w:val="superscript"/>
                    </w:rPr>
                    <w:t>2</w:t>
                  </w:r>
                </w:p>
              </w:tc>
              <w:tc>
                <w:tcPr>
                  <w:tcW w:w="405" w:type="pct"/>
                  <w:vMerge w:val="continue"/>
                  <w:tcBorders>
                    <w:tl2br w:val="nil"/>
                    <w:tr2bl w:val="nil"/>
                  </w:tcBorders>
                  <w:vAlign w:val="center"/>
                </w:tcPr>
                <w:p>
                  <w:pPr>
                    <w:pStyle w:val="38"/>
                    <w:jc w:val="both"/>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rFonts w:hint="eastAsia"/>
                      <w:color w:val="auto"/>
                      <w:szCs w:val="21"/>
                    </w:rPr>
                  </w:pPr>
                  <w:r>
                    <w:rPr>
                      <w:rFonts w:hint="eastAsia"/>
                      <w:color w:val="auto"/>
                      <w:szCs w:val="21"/>
                    </w:rPr>
                    <w:t>石墨化中转</w:t>
                  </w:r>
                </w:p>
                <w:p>
                  <w:pPr>
                    <w:pStyle w:val="38"/>
                    <w:rPr>
                      <w:color w:val="auto"/>
                      <w:szCs w:val="21"/>
                    </w:rPr>
                  </w:pPr>
                  <w:r>
                    <w:rPr>
                      <w:rFonts w:hint="eastAsia"/>
                      <w:color w:val="auto"/>
                      <w:szCs w:val="21"/>
                    </w:rPr>
                    <w:t>车间</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rPr>
                    <w:t>项目生石墨电极外委焙烧完毕后在该中转车车间内存储，用于后续石墨化</w:t>
                  </w:r>
                  <w:r>
                    <w:rPr>
                      <w:rFonts w:hint="eastAsia"/>
                      <w:color w:val="auto"/>
                      <w:lang w:eastAsia="zh-CN"/>
                    </w:rPr>
                    <w:t>，</w:t>
                  </w:r>
                  <w:r>
                    <w:rPr>
                      <w:rFonts w:hint="eastAsia"/>
                      <w:color w:val="auto"/>
                      <w:lang w:val="en-US" w:eastAsia="zh-CN"/>
                    </w:rPr>
                    <w:t>2043m</w:t>
                  </w:r>
                  <w:r>
                    <w:rPr>
                      <w:rFonts w:hint="eastAsia"/>
                      <w:color w:val="auto"/>
                      <w:vertAlign w:val="superscript"/>
                      <w:lang w:val="en-US" w:eastAsia="zh-CN"/>
                    </w:rPr>
                    <w:t>2</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沥青储存</w:t>
                  </w:r>
                </w:p>
              </w:tc>
              <w:tc>
                <w:tcPr>
                  <w:tcW w:w="3422" w:type="pct"/>
                  <w:gridSpan w:val="2"/>
                  <w:tcBorders>
                    <w:tl2br w:val="nil"/>
                    <w:tr2bl w:val="nil"/>
                  </w:tcBorders>
                  <w:vAlign w:val="center"/>
                </w:tcPr>
                <w:p>
                  <w:pPr>
                    <w:pStyle w:val="38"/>
                    <w:rPr>
                      <w:color w:val="auto"/>
                      <w:szCs w:val="21"/>
                    </w:rPr>
                  </w:pPr>
                  <w:r>
                    <w:rPr>
                      <w:rFonts w:hint="eastAsia"/>
                      <w:color w:val="auto"/>
                      <w:szCs w:val="21"/>
                    </w:rPr>
                    <w:t>项目设2个225m</w:t>
                  </w:r>
                  <w:r>
                    <w:rPr>
                      <w:rFonts w:hint="eastAsia"/>
                      <w:color w:val="auto"/>
                      <w:szCs w:val="21"/>
                      <w:vertAlign w:val="superscript"/>
                    </w:rPr>
                    <w:t>3</w:t>
                  </w:r>
                  <w:r>
                    <w:rPr>
                      <w:rFonts w:hint="eastAsia"/>
                      <w:color w:val="auto"/>
                      <w:szCs w:val="21"/>
                    </w:rPr>
                    <w:t>沥青储</w:t>
                  </w:r>
                  <w:r>
                    <w:rPr>
                      <w:color w:val="auto"/>
                      <w:szCs w:val="21"/>
                    </w:rPr>
                    <w:t>槽</w:t>
                  </w:r>
                  <w:r>
                    <w:rPr>
                      <w:rFonts w:eastAsia="黑体"/>
                      <w:color w:val="auto"/>
                      <w:szCs w:val="21"/>
                    </w:rPr>
                    <w:t>（φ6m×8m）</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restart"/>
                  <w:tcBorders>
                    <w:tl2br w:val="nil"/>
                    <w:tr2bl w:val="nil"/>
                  </w:tcBorders>
                  <w:vAlign w:val="center"/>
                </w:tcPr>
                <w:p>
                  <w:pPr>
                    <w:pStyle w:val="38"/>
                    <w:rPr>
                      <w:color w:val="auto"/>
                      <w:szCs w:val="21"/>
                    </w:rPr>
                  </w:pPr>
                  <w:r>
                    <w:rPr>
                      <w:rFonts w:hint="eastAsia"/>
                      <w:color w:val="auto"/>
                      <w:szCs w:val="21"/>
                    </w:rPr>
                    <w:t>环保工程</w:t>
                  </w:r>
                </w:p>
              </w:tc>
              <w:tc>
                <w:tcPr>
                  <w:tcW w:w="917" w:type="pct"/>
                  <w:gridSpan w:val="2"/>
                  <w:tcBorders>
                    <w:tl2br w:val="nil"/>
                    <w:tr2bl w:val="nil"/>
                  </w:tcBorders>
                  <w:vAlign w:val="center"/>
                </w:tcPr>
                <w:p>
                  <w:pPr>
                    <w:pStyle w:val="38"/>
                    <w:rPr>
                      <w:color w:val="auto"/>
                      <w:szCs w:val="21"/>
                    </w:rPr>
                  </w:pPr>
                  <w:r>
                    <w:rPr>
                      <w:rFonts w:hint="eastAsia"/>
                      <w:color w:val="auto"/>
                      <w:szCs w:val="21"/>
                    </w:rPr>
                    <w:t>原料转运系统</w:t>
                  </w:r>
                </w:p>
              </w:tc>
              <w:tc>
                <w:tcPr>
                  <w:tcW w:w="3422" w:type="pct"/>
                  <w:gridSpan w:val="2"/>
                  <w:tcBorders>
                    <w:tl2br w:val="nil"/>
                    <w:tr2bl w:val="nil"/>
                  </w:tcBorders>
                  <w:vAlign w:val="center"/>
                </w:tcPr>
                <w:p>
                  <w:pPr>
                    <w:pStyle w:val="38"/>
                    <w:rPr>
                      <w:color w:val="auto"/>
                      <w:szCs w:val="21"/>
                    </w:rPr>
                  </w:pPr>
                  <w:r>
                    <w:rPr>
                      <w:rFonts w:hint="eastAsia"/>
                      <w:color w:val="auto"/>
                      <w:szCs w:val="21"/>
                    </w:rPr>
                    <w:t>斗提机、料仓系统采取密闭集尘措施，粉尘收集后经布袋除尘器处理，以有组织形式排放。原料转运系统共设置6套布袋除尘设施</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原料处理系统</w:t>
                  </w:r>
                </w:p>
              </w:tc>
              <w:tc>
                <w:tcPr>
                  <w:tcW w:w="3422" w:type="pct"/>
                  <w:gridSpan w:val="2"/>
                  <w:tcBorders>
                    <w:tl2br w:val="nil"/>
                    <w:tr2bl w:val="nil"/>
                  </w:tcBorders>
                  <w:vAlign w:val="center"/>
                </w:tcPr>
                <w:p>
                  <w:pPr>
                    <w:pStyle w:val="38"/>
                    <w:rPr>
                      <w:color w:val="auto"/>
                      <w:szCs w:val="21"/>
                    </w:rPr>
                  </w:pPr>
                  <w:r>
                    <w:rPr>
                      <w:rFonts w:hint="eastAsia"/>
                      <w:color w:val="auto"/>
                      <w:szCs w:val="21"/>
                    </w:rPr>
                    <w:t>斗提机、皮带输送落料点、破碎机和料仓配设集尘设施，粉尘收集后经布袋除尘器处理。共设1套除尘系统。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返回料处理</w:t>
                  </w:r>
                </w:p>
                <w:p>
                  <w:pPr>
                    <w:pStyle w:val="38"/>
                    <w:rPr>
                      <w:color w:val="auto"/>
                      <w:szCs w:val="21"/>
                    </w:rPr>
                  </w:pPr>
                  <w:r>
                    <w:rPr>
                      <w:rFonts w:hint="eastAsia"/>
                      <w:color w:val="auto"/>
                      <w:szCs w:val="21"/>
                    </w:rPr>
                    <w:t>系统</w:t>
                  </w:r>
                </w:p>
              </w:tc>
              <w:tc>
                <w:tcPr>
                  <w:tcW w:w="3422" w:type="pct"/>
                  <w:gridSpan w:val="2"/>
                  <w:tcBorders>
                    <w:tl2br w:val="nil"/>
                    <w:tr2bl w:val="nil"/>
                  </w:tcBorders>
                  <w:vAlign w:val="center"/>
                </w:tcPr>
                <w:p>
                  <w:pPr>
                    <w:pStyle w:val="38"/>
                    <w:rPr>
                      <w:color w:val="auto"/>
                      <w:szCs w:val="21"/>
                    </w:rPr>
                  </w:pPr>
                  <w:r>
                    <w:rPr>
                      <w:rFonts w:hint="eastAsia"/>
                      <w:color w:val="auto"/>
                      <w:szCs w:val="21"/>
                    </w:rPr>
                    <w:t>返回料处理系统破碎机和输送机落料点设集尘设施，粉尘收集后经布袋出除尘器处理。共设2套除尘系统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中碎筛分系统</w:t>
                  </w:r>
                </w:p>
              </w:tc>
              <w:tc>
                <w:tcPr>
                  <w:tcW w:w="3422" w:type="pct"/>
                  <w:gridSpan w:val="2"/>
                  <w:tcBorders>
                    <w:tl2br w:val="nil"/>
                    <w:tr2bl w:val="nil"/>
                  </w:tcBorders>
                  <w:vAlign w:val="center"/>
                </w:tcPr>
                <w:p>
                  <w:pPr>
                    <w:pStyle w:val="38"/>
                    <w:rPr>
                      <w:color w:val="auto"/>
                      <w:szCs w:val="21"/>
                    </w:rPr>
                  </w:pPr>
                  <w:r>
                    <w:rPr>
                      <w:rFonts w:hint="eastAsia"/>
                      <w:color w:val="auto"/>
                      <w:szCs w:val="21"/>
                    </w:rPr>
                    <w:t>中碎筛分系统斗提机、破碎机、筛分机和料仓分别设集尘设施，粉尘收集后经布袋除尘器处理。共设4套除尘系统。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6"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混捏配料系统</w:t>
                  </w:r>
                </w:p>
              </w:tc>
              <w:tc>
                <w:tcPr>
                  <w:tcW w:w="3422" w:type="pct"/>
                  <w:gridSpan w:val="2"/>
                  <w:tcBorders>
                    <w:tl2br w:val="nil"/>
                    <w:tr2bl w:val="nil"/>
                  </w:tcBorders>
                  <w:vAlign w:val="center"/>
                </w:tcPr>
                <w:p>
                  <w:pPr>
                    <w:pStyle w:val="38"/>
                    <w:rPr>
                      <w:color w:val="auto"/>
                      <w:szCs w:val="21"/>
                    </w:rPr>
                  </w:pPr>
                  <w:r>
                    <w:rPr>
                      <w:rFonts w:hint="eastAsia"/>
                      <w:color w:val="auto"/>
                      <w:szCs w:val="21"/>
                    </w:rPr>
                    <w:t>配料系统设集尘设施，粉尘收集后经布袋除尘器处理。设1套除尘系统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混捏预热系统</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rPr>
                    <w:t>混捏工序预热混捏设备、料仓设集</w:t>
                  </w:r>
                  <w:r>
                    <w:rPr>
                      <w:rFonts w:hint="eastAsia"/>
                      <w:color w:val="auto"/>
                      <w:szCs w:val="21"/>
                      <w:lang w:val="en-US" w:eastAsia="zh-CN"/>
                    </w:rPr>
                    <w:t>气</w:t>
                  </w:r>
                  <w:r>
                    <w:rPr>
                      <w:rFonts w:hint="eastAsia"/>
                      <w:color w:val="auto"/>
                      <w:szCs w:val="21"/>
                    </w:rPr>
                    <w:t>设施，</w:t>
                  </w:r>
                  <w:r>
                    <w:rPr>
                      <w:rFonts w:hint="eastAsia"/>
                      <w:color w:val="auto"/>
                      <w:szCs w:val="21"/>
                      <w:lang w:val="en-US" w:eastAsia="zh-CN"/>
                    </w:rPr>
                    <w:t>废气收集后经1套“焦粉黑法吸附+布袋除尘”装置处理，其中沥青储罐废气经电捕焦油器预处理后并入“焦粉黑法吸附”装置处理</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混捏、成型</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rPr>
                    <w:t>混捏、成型设备设</w:t>
                  </w:r>
                  <w:r>
                    <w:rPr>
                      <w:rFonts w:hint="eastAsia"/>
                      <w:color w:val="auto"/>
                      <w:szCs w:val="21"/>
                      <w:lang w:val="en-US" w:eastAsia="zh-CN"/>
                    </w:rPr>
                    <w:t>集气设施，废气收集后经1套“焦粉黑法吸附+布袋除尘”装置处理</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配料系统料仓</w:t>
                  </w:r>
                </w:p>
              </w:tc>
              <w:tc>
                <w:tcPr>
                  <w:tcW w:w="3422" w:type="pct"/>
                  <w:gridSpan w:val="2"/>
                  <w:tcBorders>
                    <w:tl2br w:val="nil"/>
                    <w:tr2bl w:val="nil"/>
                  </w:tcBorders>
                  <w:vAlign w:val="center"/>
                </w:tcPr>
                <w:p>
                  <w:pPr>
                    <w:pStyle w:val="38"/>
                    <w:rPr>
                      <w:color w:val="auto"/>
                      <w:szCs w:val="21"/>
                    </w:rPr>
                  </w:pPr>
                  <w:r>
                    <w:rPr>
                      <w:rFonts w:hint="eastAsia"/>
                      <w:color w:val="auto"/>
                      <w:szCs w:val="21"/>
                    </w:rPr>
                    <w:t>配料系统料仓顶部设除尘设施，共设6套。</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机加工序输送设备</w:t>
                  </w:r>
                </w:p>
              </w:tc>
              <w:tc>
                <w:tcPr>
                  <w:tcW w:w="3422" w:type="pct"/>
                  <w:gridSpan w:val="2"/>
                  <w:tcBorders>
                    <w:tl2br w:val="nil"/>
                    <w:tr2bl w:val="nil"/>
                  </w:tcBorders>
                  <w:vAlign w:val="center"/>
                </w:tcPr>
                <w:p>
                  <w:pPr>
                    <w:pStyle w:val="38"/>
                    <w:rPr>
                      <w:color w:val="auto"/>
                      <w:szCs w:val="21"/>
                    </w:rPr>
                  </w:pPr>
                  <w:r>
                    <w:rPr>
                      <w:rFonts w:hint="eastAsia"/>
                      <w:color w:val="auto"/>
                      <w:szCs w:val="21"/>
                    </w:rPr>
                    <w:t>机加工输送设备设集尘设施，粉尘收集后经布袋除尘器处理。设1套除尘系统。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本体机加设备收尘系统</w:t>
                  </w:r>
                </w:p>
              </w:tc>
              <w:tc>
                <w:tcPr>
                  <w:tcW w:w="3422" w:type="pct"/>
                  <w:gridSpan w:val="2"/>
                  <w:tcBorders>
                    <w:tl2br w:val="nil"/>
                    <w:tr2bl w:val="nil"/>
                  </w:tcBorders>
                  <w:vAlign w:val="center"/>
                </w:tcPr>
                <w:p>
                  <w:pPr>
                    <w:pStyle w:val="38"/>
                    <w:rPr>
                      <w:color w:val="auto"/>
                      <w:szCs w:val="21"/>
                    </w:rPr>
                  </w:pPr>
                  <w:r>
                    <w:rPr>
                      <w:rFonts w:hint="eastAsia"/>
                      <w:color w:val="auto"/>
                      <w:szCs w:val="21"/>
                    </w:rPr>
                    <w:t>本体机加设备配设集尘设施，粉尘收集后经布袋除尘器处理。设1套除尘系统。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接头机加设备</w:t>
                  </w:r>
                </w:p>
              </w:tc>
              <w:tc>
                <w:tcPr>
                  <w:tcW w:w="3422" w:type="pct"/>
                  <w:gridSpan w:val="2"/>
                  <w:tcBorders>
                    <w:tl2br w:val="nil"/>
                    <w:tr2bl w:val="nil"/>
                  </w:tcBorders>
                  <w:vAlign w:val="center"/>
                </w:tcPr>
                <w:p>
                  <w:pPr>
                    <w:pStyle w:val="38"/>
                    <w:rPr>
                      <w:color w:val="auto"/>
                      <w:szCs w:val="21"/>
                    </w:rPr>
                  </w:pPr>
                  <w:r>
                    <w:rPr>
                      <w:rFonts w:hint="eastAsia"/>
                      <w:color w:val="auto"/>
                      <w:szCs w:val="21"/>
                    </w:rPr>
                    <w:t>接头机加设备设集尘设施，粉尘收集后经布袋除尘器处理。设1套除尘系统。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机加工序料仓</w:t>
                  </w:r>
                </w:p>
              </w:tc>
              <w:tc>
                <w:tcPr>
                  <w:tcW w:w="3422" w:type="pct"/>
                  <w:gridSpan w:val="2"/>
                  <w:tcBorders>
                    <w:tl2br w:val="nil"/>
                    <w:tr2bl w:val="nil"/>
                  </w:tcBorders>
                  <w:vAlign w:val="center"/>
                </w:tcPr>
                <w:p>
                  <w:pPr>
                    <w:pStyle w:val="38"/>
                    <w:rPr>
                      <w:color w:val="auto"/>
                      <w:szCs w:val="21"/>
                    </w:rPr>
                  </w:pPr>
                  <w:r>
                    <w:rPr>
                      <w:rFonts w:hint="eastAsia"/>
                      <w:color w:val="auto"/>
                      <w:szCs w:val="21"/>
                    </w:rPr>
                    <w:t>机加工序料仓顶部设布袋除尘设施。共设2套。</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机加工序化验设备</w:t>
                  </w:r>
                </w:p>
              </w:tc>
              <w:tc>
                <w:tcPr>
                  <w:tcW w:w="3422" w:type="pct"/>
                  <w:gridSpan w:val="2"/>
                  <w:tcBorders>
                    <w:tl2br w:val="nil"/>
                    <w:tr2bl w:val="nil"/>
                  </w:tcBorders>
                  <w:vAlign w:val="center"/>
                </w:tcPr>
                <w:p>
                  <w:pPr>
                    <w:pStyle w:val="38"/>
                    <w:rPr>
                      <w:color w:val="auto"/>
                      <w:szCs w:val="21"/>
                    </w:rPr>
                  </w:pPr>
                  <w:r>
                    <w:rPr>
                      <w:rFonts w:hint="eastAsia"/>
                      <w:color w:val="auto"/>
                      <w:szCs w:val="21"/>
                    </w:rPr>
                    <w:t>机加工序化验设备设集尘设施，粉尘收集后经布袋除尘器处理。设1套除尘系统。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石墨化平端</w:t>
                  </w:r>
                </w:p>
                <w:p>
                  <w:pPr>
                    <w:pStyle w:val="38"/>
                    <w:rPr>
                      <w:color w:val="auto"/>
                      <w:szCs w:val="21"/>
                    </w:rPr>
                  </w:pPr>
                  <w:r>
                    <w:rPr>
                      <w:rFonts w:hint="eastAsia"/>
                      <w:color w:val="auto"/>
                      <w:szCs w:val="21"/>
                    </w:rPr>
                    <w:t>设备</w:t>
                  </w:r>
                </w:p>
              </w:tc>
              <w:tc>
                <w:tcPr>
                  <w:tcW w:w="3422" w:type="pct"/>
                  <w:gridSpan w:val="2"/>
                  <w:tcBorders>
                    <w:tl2br w:val="nil"/>
                    <w:tr2bl w:val="nil"/>
                  </w:tcBorders>
                  <w:vAlign w:val="center"/>
                </w:tcPr>
                <w:p>
                  <w:pPr>
                    <w:pStyle w:val="38"/>
                    <w:rPr>
                      <w:color w:val="auto"/>
                      <w:szCs w:val="21"/>
                    </w:rPr>
                  </w:pPr>
                  <w:r>
                    <w:rPr>
                      <w:rFonts w:hint="eastAsia"/>
                      <w:color w:val="auto"/>
                      <w:szCs w:val="21"/>
                    </w:rPr>
                    <w:t>石墨化平端面设备设集尘设施，粉尘收集后经布袋除尘器处理。设2套除尘系统。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石墨化保温料处理系统</w:t>
                  </w:r>
                </w:p>
              </w:tc>
              <w:tc>
                <w:tcPr>
                  <w:tcW w:w="3422" w:type="pct"/>
                  <w:gridSpan w:val="2"/>
                  <w:tcBorders>
                    <w:tl2br w:val="nil"/>
                    <w:tr2bl w:val="nil"/>
                  </w:tcBorders>
                  <w:vAlign w:val="center"/>
                </w:tcPr>
                <w:p>
                  <w:pPr>
                    <w:pStyle w:val="38"/>
                    <w:rPr>
                      <w:color w:val="auto"/>
                      <w:szCs w:val="21"/>
                    </w:rPr>
                  </w:pPr>
                  <w:r>
                    <w:rPr>
                      <w:rFonts w:hint="eastAsia"/>
                      <w:color w:val="auto"/>
                      <w:szCs w:val="21"/>
                    </w:rPr>
                    <w:t>保温料处理系统筛子、料仓分别设集尘设施，粉尘收集后经布袋除尘器处理。设2套除尘系统。</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highlight w:val="none"/>
                    </w:rPr>
                  </w:pPr>
                  <w:r>
                    <w:rPr>
                      <w:rFonts w:hint="eastAsia"/>
                      <w:color w:val="auto"/>
                      <w:szCs w:val="21"/>
                      <w:highlight w:val="none"/>
                    </w:rPr>
                    <w:t>炭块儿冷却水</w:t>
                  </w:r>
                </w:p>
              </w:tc>
              <w:tc>
                <w:tcPr>
                  <w:tcW w:w="3422" w:type="pct"/>
                  <w:gridSpan w:val="2"/>
                  <w:tcBorders>
                    <w:tl2br w:val="nil"/>
                    <w:tr2bl w:val="nil"/>
                  </w:tcBorders>
                  <w:vAlign w:val="center"/>
                </w:tcPr>
                <w:p>
                  <w:pPr>
                    <w:pStyle w:val="38"/>
                    <w:rPr>
                      <w:color w:val="auto"/>
                      <w:szCs w:val="21"/>
                      <w:highlight w:val="none"/>
                    </w:rPr>
                  </w:pPr>
                  <w:r>
                    <w:rPr>
                      <w:rFonts w:hint="eastAsia"/>
                      <w:color w:val="auto"/>
                      <w:szCs w:val="21"/>
                      <w:highlight w:val="none"/>
                    </w:rPr>
                    <w:t>炭块儿冷却水隔油池处理后回用</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jc w:val="center"/>
                    <w:rPr>
                      <w:color w:val="auto"/>
                      <w:szCs w:val="21"/>
                    </w:rPr>
                  </w:pPr>
                  <w:r>
                    <w:rPr>
                      <w:rFonts w:hint="eastAsia"/>
                      <w:color w:val="auto"/>
                      <w:szCs w:val="21"/>
                    </w:rPr>
                    <w:t>脱硫废水</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经“pH调节+絮凝沉淀”处理后回用，不外排</w:t>
                  </w:r>
                </w:p>
              </w:tc>
              <w:tc>
                <w:tcPr>
                  <w:tcW w:w="405" w:type="pct"/>
                  <w:vMerge w:val="continue"/>
                  <w:tcBorders>
                    <w:tl2br w:val="nil"/>
                    <w:tr2bl w:val="nil"/>
                  </w:tcBorders>
                  <w:vAlign w:val="center"/>
                </w:tcPr>
                <w:p>
                  <w:pPr>
                    <w:pStyle w:val="38"/>
                    <w:rPr>
                      <w:color w:val="auto"/>
                      <w:szCs w:val="21"/>
                    </w:rPr>
                  </w:pPr>
                  <w:r>
                    <w:rPr>
                      <w:rFonts w:hint="eastAsia"/>
                      <w:color w:val="auto"/>
                      <w:szCs w:val="21"/>
                    </w:rPr>
                    <w:t>脱硫废水经“pH调节+絮凝沉淀”处理后回用于</w:t>
                  </w:r>
                  <w:r>
                    <w:rPr>
                      <w:rFonts w:hint="eastAsia"/>
                      <w:color w:val="auto"/>
                      <w:szCs w:val="21"/>
                      <w:highlight w:val="none"/>
                    </w:rPr>
                    <w:t>脱硫系统补水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jc w:val="center"/>
                    <w:rPr>
                      <w:rFonts w:hint="default" w:eastAsia="宋体"/>
                      <w:color w:val="auto"/>
                      <w:szCs w:val="21"/>
                      <w:lang w:val="en-US" w:eastAsia="zh-CN"/>
                    </w:rPr>
                  </w:pPr>
                  <w:r>
                    <w:rPr>
                      <w:rFonts w:hint="eastAsia"/>
                      <w:color w:val="auto"/>
                      <w:szCs w:val="21"/>
                      <w:lang w:val="en-US" w:eastAsia="zh-CN"/>
                    </w:rPr>
                    <w:t>初期雨水</w:t>
                  </w:r>
                </w:p>
              </w:tc>
              <w:tc>
                <w:tcPr>
                  <w:tcW w:w="3422" w:type="pct"/>
                  <w:gridSpan w:val="2"/>
                  <w:tcBorders>
                    <w:tl2br w:val="nil"/>
                    <w:tr2bl w:val="nil"/>
                  </w:tcBorders>
                  <w:vAlign w:val="center"/>
                </w:tcPr>
                <w:p>
                  <w:pPr>
                    <w:pStyle w:val="38"/>
                    <w:rPr>
                      <w:rFonts w:hint="default"/>
                      <w:color w:val="auto"/>
                      <w:szCs w:val="21"/>
                      <w:lang w:val="en-US" w:eastAsia="zh-CN"/>
                    </w:rPr>
                  </w:pPr>
                  <w:r>
                    <w:rPr>
                      <w:rFonts w:hint="eastAsia"/>
                      <w:color w:val="auto"/>
                      <w:szCs w:val="21"/>
                      <w:lang w:val="en-US" w:eastAsia="zh-CN"/>
                    </w:rPr>
                    <w:t>厂内设1个865m</w:t>
                  </w:r>
                  <w:r>
                    <w:rPr>
                      <w:rFonts w:hint="eastAsia"/>
                      <w:color w:val="auto"/>
                      <w:szCs w:val="21"/>
                      <w:vertAlign w:val="superscript"/>
                      <w:lang w:val="en-US" w:eastAsia="zh-CN"/>
                    </w:rPr>
                    <w:t>3</w:t>
                  </w:r>
                  <w:r>
                    <w:rPr>
                      <w:rFonts w:hint="eastAsia"/>
                      <w:color w:val="auto"/>
                      <w:szCs w:val="21"/>
                      <w:lang w:val="en-US" w:eastAsia="zh-CN"/>
                    </w:rPr>
                    <w:t>初期雨水收集池，用于炭块儿冷却</w:t>
                  </w:r>
                </w:p>
              </w:tc>
              <w:tc>
                <w:tcPr>
                  <w:tcW w:w="405" w:type="pct"/>
                  <w:vMerge w:val="continue"/>
                  <w:tcBorders>
                    <w:tl2br w:val="nil"/>
                    <w:tr2bl w:val="nil"/>
                  </w:tcBorders>
                  <w:vAlign w:val="center"/>
                </w:tcPr>
                <w:p>
                  <w:pPr>
                    <w:pStyle w:val="38"/>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生活污水</w:t>
                  </w:r>
                </w:p>
              </w:tc>
              <w:tc>
                <w:tcPr>
                  <w:tcW w:w="3422" w:type="pct"/>
                  <w:gridSpan w:val="2"/>
                  <w:tcBorders>
                    <w:tl2br w:val="nil"/>
                    <w:tr2bl w:val="nil"/>
                  </w:tcBorders>
                  <w:vAlign w:val="center"/>
                </w:tcPr>
                <w:p>
                  <w:pPr>
                    <w:pStyle w:val="38"/>
                    <w:rPr>
                      <w:color w:val="auto"/>
                      <w:szCs w:val="21"/>
                    </w:rPr>
                  </w:pPr>
                  <w:r>
                    <w:rPr>
                      <w:rFonts w:hint="eastAsia"/>
                      <w:color w:val="auto"/>
                      <w:szCs w:val="21"/>
                    </w:rPr>
                    <w:t>排入化粪池，经市政污水管网排入大同市御东污水处理有限责任公司污水处理厂处理</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噪声</w:t>
                  </w:r>
                </w:p>
              </w:tc>
              <w:tc>
                <w:tcPr>
                  <w:tcW w:w="3422" w:type="pct"/>
                  <w:gridSpan w:val="2"/>
                  <w:tcBorders>
                    <w:tl2br w:val="nil"/>
                    <w:tr2bl w:val="nil"/>
                  </w:tcBorders>
                  <w:vAlign w:val="center"/>
                </w:tcPr>
                <w:p>
                  <w:pPr>
                    <w:pStyle w:val="38"/>
                    <w:rPr>
                      <w:color w:val="auto"/>
                      <w:szCs w:val="21"/>
                    </w:rPr>
                  </w:pPr>
                  <w:r>
                    <w:rPr>
                      <w:rFonts w:hint="eastAsia"/>
                      <w:color w:val="auto"/>
                      <w:szCs w:val="21"/>
                    </w:rPr>
                    <w:t>室内设置、隔声减震、消音等措施</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color w:val="auto"/>
                      <w:szCs w:val="21"/>
                    </w:rPr>
                    <w:t>生极成型碎、石墨化碎和机加碎屑</w:t>
                  </w:r>
                </w:p>
              </w:tc>
              <w:tc>
                <w:tcPr>
                  <w:tcW w:w="3422" w:type="pct"/>
                  <w:gridSpan w:val="2"/>
                  <w:tcBorders>
                    <w:tl2br w:val="nil"/>
                    <w:tr2bl w:val="nil"/>
                  </w:tcBorders>
                  <w:vAlign w:val="center"/>
                </w:tcPr>
                <w:p>
                  <w:pPr>
                    <w:pStyle w:val="38"/>
                    <w:rPr>
                      <w:color w:val="auto"/>
                      <w:szCs w:val="21"/>
                    </w:rPr>
                  </w:pPr>
                  <w:r>
                    <w:rPr>
                      <w:rFonts w:hint="eastAsia"/>
                      <w:color w:val="auto"/>
                      <w:szCs w:val="21"/>
                    </w:rPr>
                    <w:t>经破碎筛分后作为原料返回料仓配料系统回用</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生活垃圾</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办公区设生活垃圾收集箱，定期清运至环卫部门指定的地点处理</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color w:val="auto"/>
                      <w:szCs w:val="21"/>
                    </w:rPr>
                    <w:t>各除尘系统的除尘灰</w:t>
                  </w:r>
                </w:p>
              </w:tc>
              <w:tc>
                <w:tcPr>
                  <w:tcW w:w="3422" w:type="pct"/>
                  <w:gridSpan w:val="2"/>
                  <w:tcBorders>
                    <w:tl2br w:val="nil"/>
                    <w:tr2bl w:val="nil"/>
                  </w:tcBorders>
                  <w:vAlign w:val="center"/>
                </w:tcPr>
                <w:p>
                  <w:pPr>
                    <w:pStyle w:val="38"/>
                    <w:rPr>
                      <w:color w:val="auto"/>
                      <w:szCs w:val="21"/>
                    </w:rPr>
                  </w:pPr>
                  <w:r>
                    <w:rPr>
                      <w:rFonts w:hint="eastAsia"/>
                      <w:color w:val="auto"/>
                      <w:szCs w:val="21"/>
                    </w:rPr>
                    <w:t>全部收集作为生产超高功率石墨电极的原料综合利用</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color w:val="auto"/>
                      <w:szCs w:val="21"/>
                    </w:rPr>
                    <w:t>石墨化炉更换的废保温料</w:t>
                  </w:r>
                </w:p>
              </w:tc>
              <w:tc>
                <w:tcPr>
                  <w:tcW w:w="3422" w:type="pct"/>
                  <w:gridSpan w:val="2"/>
                  <w:tcBorders>
                    <w:tl2br w:val="nil"/>
                    <w:tr2bl w:val="nil"/>
                  </w:tcBorders>
                  <w:vAlign w:val="center"/>
                </w:tcPr>
                <w:p>
                  <w:pPr>
                    <w:pStyle w:val="38"/>
                    <w:rPr>
                      <w:color w:val="auto"/>
                      <w:szCs w:val="21"/>
                    </w:rPr>
                  </w:pPr>
                  <w:r>
                    <w:rPr>
                      <w:rFonts w:hint="eastAsia"/>
                      <w:color w:val="auto"/>
                      <w:szCs w:val="21"/>
                    </w:rPr>
                    <w:t>作为增炭剂全部外售综合利用</w:t>
                  </w:r>
                </w:p>
              </w:tc>
              <w:tc>
                <w:tcPr>
                  <w:tcW w:w="405" w:type="pct"/>
                  <w:vMerge w:val="restart"/>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石墨化炉检修产生的废耐火材料</w:t>
                  </w:r>
                </w:p>
              </w:tc>
              <w:tc>
                <w:tcPr>
                  <w:tcW w:w="3422" w:type="pct"/>
                  <w:gridSpan w:val="2"/>
                  <w:tcBorders>
                    <w:tl2br w:val="nil"/>
                    <w:tr2bl w:val="nil"/>
                  </w:tcBorders>
                  <w:vAlign w:val="center"/>
                </w:tcPr>
                <w:p>
                  <w:pPr>
                    <w:pStyle w:val="38"/>
                    <w:rPr>
                      <w:color w:val="auto"/>
                      <w:szCs w:val="21"/>
                    </w:rPr>
                  </w:pPr>
                  <w:r>
                    <w:rPr>
                      <w:rFonts w:hint="eastAsia"/>
                      <w:color w:val="auto"/>
                      <w:szCs w:val="21"/>
                    </w:rPr>
                    <w:t>出售给耐火材料厂</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脱硫渣</w:t>
                  </w:r>
                </w:p>
              </w:tc>
              <w:tc>
                <w:tcPr>
                  <w:tcW w:w="3422" w:type="pct"/>
                  <w:gridSpan w:val="2"/>
                  <w:tcBorders>
                    <w:tl2br w:val="nil"/>
                    <w:tr2bl w:val="nil"/>
                  </w:tcBorders>
                  <w:vAlign w:val="center"/>
                </w:tcPr>
                <w:p>
                  <w:pPr>
                    <w:pStyle w:val="38"/>
                    <w:rPr>
                      <w:color w:val="auto"/>
                      <w:szCs w:val="21"/>
                    </w:rPr>
                  </w:pPr>
                  <w:r>
                    <w:rPr>
                      <w:rFonts w:hint="eastAsia"/>
                      <w:color w:val="auto"/>
                      <w:szCs w:val="21"/>
                    </w:rPr>
                    <w:t>外售至水泥厂等建材企业进行综合利用</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黑法吸附装置炭粉</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使用石油焦粉作为吸附剂，吸附净化后炭粉返回工艺配料生产</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电捕焦油器废焦油</w:t>
                  </w:r>
                </w:p>
              </w:tc>
              <w:tc>
                <w:tcPr>
                  <w:tcW w:w="3422" w:type="pct"/>
                  <w:gridSpan w:val="2"/>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回用于混捏成型工序</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炭块冷却水隔油产生的废油</w:t>
                  </w:r>
                </w:p>
              </w:tc>
              <w:tc>
                <w:tcPr>
                  <w:tcW w:w="3422" w:type="pct"/>
                  <w:gridSpan w:val="2"/>
                  <w:vMerge w:val="restart"/>
                  <w:tcBorders>
                    <w:tl2br w:val="nil"/>
                    <w:tr2bl w:val="nil"/>
                  </w:tcBorders>
                  <w:vAlign w:val="center"/>
                </w:tcPr>
                <w:p>
                  <w:pPr>
                    <w:pStyle w:val="38"/>
                    <w:rPr>
                      <w:rFonts w:hint="default" w:ascii="Times New Roman" w:hAnsi="Times New Roman" w:eastAsia="宋体" w:cs="Times New Roman"/>
                      <w:snapToGrid w:val="0"/>
                      <w:color w:val="auto"/>
                      <w:kern w:val="0"/>
                      <w:sz w:val="21"/>
                      <w:szCs w:val="21"/>
                      <w:lang w:val="en-US" w:eastAsia="zh-CN" w:bidi="ar-SA"/>
                    </w:rPr>
                  </w:pPr>
                  <w:r>
                    <w:rPr>
                      <w:rFonts w:hint="eastAsia"/>
                      <w:color w:val="auto"/>
                      <w:szCs w:val="21"/>
                    </w:rPr>
                    <w:t>厂内设危废暂存间，危废委托有资质单位清运、处置</w:t>
                  </w:r>
                  <w:r>
                    <w:rPr>
                      <w:rFonts w:hint="eastAsia"/>
                      <w:color w:val="auto"/>
                      <w:szCs w:val="21"/>
                      <w:lang w:eastAsia="zh-CN"/>
                    </w:rPr>
                    <w:t>。</w:t>
                  </w:r>
                  <w:r>
                    <w:rPr>
                      <w:rFonts w:hint="eastAsia"/>
                      <w:color w:val="auto"/>
                      <w:szCs w:val="21"/>
                      <w:lang w:val="en-US" w:eastAsia="zh-CN"/>
                    </w:rPr>
                    <w:t>危废暂存间位于压型车间东侧靠近厂界区域，占地面积20m</w:t>
                  </w:r>
                  <w:r>
                    <w:rPr>
                      <w:rFonts w:hint="eastAsia"/>
                      <w:color w:val="auto"/>
                      <w:szCs w:val="21"/>
                      <w:vertAlign w:val="superscript"/>
                      <w:lang w:val="en-US" w:eastAsia="zh-CN"/>
                    </w:rPr>
                    <w:t>2</w:t>
                  </w:r>
                </w:p>
              </w:tc>
              <w:tc>
                <w:tcPr>
                  <w:tcW w:w="405" w:type="pct"/>
                  <w:vMerge w:val="continue"/>
                  <w:tcBorders>
                    <w:tl2br w:val="nil"/>
                    <w:tr2bl w:val="nil"/>
                  </w:tcBorders>
                  <w:vAlign w:val="center"/>
                </w:tcPr>
                <w:p>
                  <w:pPr>
                    <w:pStyle w:val="38"/>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atLeast"/>
                <w:jc w:val="center"/>
              </w:trPr>
              <w:tc>
                <w:tcPr>
                  <w:tcW w:w="254" w:type="pct"/>
                  <w:vMerge w:val="continue"/>
                  <w:tcBorders>
                    <w:tl2br w:val="nil"/>
                    <w:tr2bl w:val="nil"/>
                  </w:tcBorders>
                  <w:vAlign w:val="center"/>
                </w:tcPr>
                <w:p>
                  <w:pPr>
                    <w:pStyle w:val="38"/>
                    <w:jc w:val="both"/>
                    <w:rPr>
                      <w:color w:val="auto"/>
                      <w:szCs w:val="21"/>
                    </w:rPr>
                  </w:pPr>
                </w:p>
              </w:tc>
              <w:tc>
                <w:tcPr>
                  <w:tcW w:w="917" w:type="pct"/>
                  <w:gridSpan w:val="2"/>
                  <w:tcBorders>
                    <w:tl2br w:val="nil"/>
                    <w:tr2bl w:val="nil"/>
                  </w:tcBorders>
                  <w:vAlign w:val="center"/>
                </w:tcPr>
                <w:p>
                  <w:pPr>
                    <w:pStyle w:val="38"/>
                    <w:rPr>
                      <w:color w:val="auto"/>
                      <w:szCs w:val="21"/>
                    </w:rPr>
                  </w:pPr>
                  <w:r>
                    <w:rPr>
                      <w:rFonts w:hint="eastAsia"/>
                      <w:color w:val="auto"/>
                      <w:szCs w:val="21"/>
                    </w:rPr>
                    <w:t>废机油</w:t>
                  </w:r>
                </w:p>
              </w:tc>
              <w:tc>
                <w:tcPr>
                  <w:tcW w:w="3422" w:type="pct"/>
                  <w:gridSpan w:val="2"/>
                  <w:vMerge w:val="continue"/>
                  <w:tcBorders>
                    <w:tl2br w:val="nil"/>
                    <w:tr2bl w:val="nil"/>
                  </w:tcBorders>
                  <w:vAlign w:val="center"/>
                </w:tcPr>
                <w:p>
                  <w:pPr>
                    <w:pStyle w:val="38"/>
                    <w:rPr>
                      <w:color w:val="auto"/>
                      <w:szCs w:val="21"/>
                    </w:rPr>
                  </w:pPr>
                </w:p>
              </w:tc>
              <w:tc>
                <w:tcPr>
                  <w:tcW w:w="405" w:type="pct"/>
                  <w:vMerge w:val="continue"/>
                  <w:tcBorders>
                    <w:tl2br w:val="nil"/>
                    <w:tr2bl w:val="nil"/>
                  </w:tcBorders>
                  <w:vAlign w:val="center"/>
                </w:tcPr>
                <w:p>
                  <w:pPr>
                    <w:pStyle w:val="38"/>
                    <w:rPr>
                      <w:color w:val="auto"/>
                      <w:szCs w:val="21"/>
                    </w:rPr>
                  </w:pPr>
                </w:p>
              </w:tc>
            </w:tr>
          </w:tbl>
          <w:p>
            <w:pPr>
              <w:spacing w:line="360" w:lineRule="auto"/>
              <w:ind w:firstLine="241" w:firstLineChars="100"/>
              <w:rPr>
                <w:b/>
                <w:color w:val="auto"/>
                <w:sz w:val="24"/>
              </w:rPr>
            </w:pPr>
            <w:r>
              <w:rPr>
                <w:b/>
                <w:color w:val="auto"/>
                <w:sz w:val="24"/>
              </w:rPr>
              <w:t>（2）建设规模</w:t>
            </w:r>
          </w:p>
          <w:p>
            <w:pPr>
              <w:adjustRightInd w:val="0"/>
              <w:snapToGrid w:val="0"/>
              <w:spacing w:line="360" w:lineRule="auto"/>
              <w:ind w:firstLine="480" w:firstLineChars="200"/>
              <w:rPr>
                <w:bCs/>
                <w:color w:val="auto"/>
                <w:sz w:val="24"/>
              </w:rPr>
            </w:pPr>
            <w:r>
              <w:rPr>
                <w:bCs/>
                <w:color w:val="auto"/>
                <w:sz w:val="24"/>
              </w:rPr>
              <w:t>项目最终生产规模为年产3万吨超高功率石墨电极制品（含接头）。</w:t>
            </w:r>
          </w:p>
          <w:p>
            <w:pPr>
              <w:pStyle w:val="2"/>
              <w:spacing w:line="360" w:lineRule="auto"/>
              <w:ind w:left="0" w:leftChars="0" w:firstLine="0" w:firstLineChars="0"/>
              <w:rPr>
                <w:rFonts w:hint="default" w:eastAsia="宋体"/>
                <w:color w:val="auto"/>
                <w:lang w:val="en-US" w:eastAsia="zh-CN"/>
              </w:rPr>
            </w:pPr>
            <w:r>
              <w:rPr>
                <w:rFonts w:hint="eastAsia"/>
                <w:bCs/>
                <w:color w:val="auto"/>
                <w:sz w:val="24"/>
                <w:lang w:val="en-US" w:eastAsia="zh-CN"/>
              </w:rPr>
              <w:t>项目每组石墨化炉生产能力为50t/d，年工作300d，两组石墨化生产能力合计为3万吨。项目石墨化生产能力能够满足项目需求。</w:t>
            </w:r>
          </w:p>
          <w:p>
            <w:pPr>
              <w:pStyle w:val="2"/>
              <w:spacing w:after="0" w:line="360" w:lineRule="auto"/>
              <w:ind w:left="0" w:leftChars="0" w:firstLine="0" w:firstLineChars="0"/>
              <w:rPr>
                <w:bCs/>
                <w:color w:val="auto"/>
                <w:sz w:val="24"/>
              </w:rPr>
            </w:pPr>
            <w:r>
              <w:rPr>
                <w:bCs/>
                <w:color w:val="auto"/>
                <w:sz w:val="24"/>
              </w:rPr>
              <w:t xml:space="preserve">  </w:t>
            </w:r>
            <w:r>
              <w:rPr>
                <w:b/>
                <w:color w:val="auto"/>
                <w:sz w:val="24"/>
              </w:rPr>
              <w:t>（3）产品方案</w:t>
            </w:r>
          </w:p>
          <w:p>
            <w:pPr>
              <w:spacing w:line="360" w:lineRule="auto"/>
              <w:rPr>
                <w:color w:val="auto"/>
              </w:rPr>
            </w:pPr>
            <w:r>
              <w:rPr>
                <w:bCs/>
                <w:color w:val="auto"/>
                <w:sz w:val="24"/>
              </w:rPr>
              <w:t xml:space="preserve">    成品超高功率石墨电极规格为：（φ600~φ700）×（2200~2700）mm</w:t>
            </w:r>
          </w:p>
          <w:p>
            <w:pPr>
              <w:snapToGrid w:val="0"/>
              <w:spacing w:line="360" w:lineRule="auto"/>
              <w:ind w:firstLine="480" w:firstLineChars="200"/>
              <w:rPr>
                <w:rFonts w:hAnsi="宋体" w:cs="宋体"/>
                <w:snapToGrid w:val="0"/>
                <w:color w:val="auto"/>
                <w:kern w:val="0"/>
                <w:sz w:val="24"/>
                <w:lang w:bidi="ar"/>
              </w:rPr>
            </w:pPr>
            <w:r>
              <w:rPr>
                <w:rFonts w:hint="eastAsia" w:hAnsi="宋体" w:cs="宋体"/>
                <w:snapToGrid w:val="0"/>
                <w:color w:val="auto"/>
                <w:kern w:val="0"/>
                <w:sz w:val="24"/>
                <w:lang w:bidi="ar"/>
              </w:rPr>
              <w:t>超高功率石墨电极理化指标参照 YB/T4090-2015 要求，详见表</w:t>
            </w:r>
            <w:r>
              <w:rPr>
                <w:rFonts w:hint="eastAsia" w:hAnsi="宋体" w:cs="宋体"/>
                <w:snapToGrid w:val="0"/>
                <w:color w:val="auto"/>
                <w:kern w:val="0"/>
                <w:sz w:val="24"/>
                <w:lang w:val="en-US" w:eastAsia="zh-CN" w:bidi="ar"/>
              </w:rPr>
              <w:t>5</w:t>
            </w:r>
            <w:r>
              <w:rPr>
                <w:rFonts w:hint="eastAsia" w:hAnsi="宋体" w:cs="宋体"/>
                <w:snapToGrid w:val="0"/>
                <w:color w:val="auto"/>
                <w:kern w:val="0"/>
                <w:sz w:val="24"/>
                <w:lang w:bidi="ar"/>
              </w:rPr>
              <w:t>。</w:t>
            </w:r>
          </w:p>
          <w:p>
            <w:pPr>
              <w:snapToGrid w:val="0"/>
              <w:spacing w:line="240" w:lineRule="atLeast"/>
              <w:jc w:val="center"/>
              <w:rPr>
                <w:rFonts w:cs="宋体"/>
                <w:b/>
                <w:bCs/>
                <w:color w:val="auto"/>
                <w:sz w:val="24"/>
                <w:lang w:bidi="ar"/>
              </w:rPr>
            </w:pPr>
            <w:r>
              <w:rPr>
                <w:rFonts w:hint="eastAsia" w:cs="宋体"/>
                <w:b/>
                <w:bCs/>
                <w:color w:val="auto"/>
                <w:sz w:val="24"/>
                <w:lang w:bidi="ar"/>
              </w:rPr>
              <w:t>表</w:t>
            </w:r>
            <w:r>
              <w:rPr>
                <w:rFonts w:hint="eastAsia" w:cs="宋体"/>
                <w:b/>
                <w:bCs/>
                <w:color w:val="auto"/>
                <w:sz w:val="24"/>
                <w:lang w:val="en-US" w:eastAsia="zh-CN" w:bidi="ar"/>
              </w:rPr>
              <w:t>5</w:t>
            </w:r>
            <w:r>
              <w:rPr>
                <w:rFonts w:hint="eastAsia" w:cs="宋体"/>
                <w:b/>
                <w:bCs/>
                <w:color w:val="auto"/>
                <w:sz w:val="24"/>
                <w:lang w:bidi="ar"/>
              </w:rPr>
              <w:t>超高功率石墨电极各项理化指标（</w:t>
            </w:r>
            <w:r>
              <w:rPr>
                <w:rFonts w:cs="宋体"/>
                <w:b/>
                <w:bCs/>
                <w:color w:val="auto"/>
                <w:sz w:val="24"/>
                <w:lang w:bidi="ar"/>
              </w:rPr>
              <w:t>YB/T4090-2015</w:t>
            </w:r>
            <w:r>
              <w:rPr>
                <w:rFonts w:hint="eastAsia" w:cs="宋体"/>
                <w:b/>
                <w:bCs/>
                <w:color w:val="auto"/>
                <w:sz w:val="24"/>
                <w:lang w:bidi="ar"/>
              </w:rPr>
              <w:t>）</w:t>
            </w:r>
          </w:p>
          <w:tbl>
            <w:tblPr>
              <w:tblStyle w:val="21"/>
              <w:tblW w:w="0" w:type="auto"/>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90"/>
              <w:gridCol w:w="1000"/>
              <w:gridCol w:w="841"/>
              <w:gridCol w:w="2056"/>
              <w:gridCol w:w="2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 w:hRule="atLeast"/>
              </w:trPr>
              <w:tc>
                <w:tcPr>
                  <w:tcW w:w="2890" w:type="dxa"/>
                  <w:gridSpan w:val="2"/>
                  <w:vMerge w:val="restart"/>
                  <w:vAlign w:val="center"/>
                </w:tcPr>
                <w:p>
                  <w:pPr>
                    <w:pStyle w:val="61"/>
                    <w:widowControl/>
                    <w:tabs>
                      <w:tab w:val="left" w:pos="737"/>
                    </w:tabs>
                    <w:spacing w:line="240" w:lineRule="atLeast"/>
                    <w:jc w:val="center"/>
                    <w:rPr>
                      <w:rFonts w:ascii="黑体" w:hAnsi="宋体" w:eastAsia="黑体" w:cs="黑体"/>
                      <w:color w:val="auto"/>
                      <w:sz w:val="21"/>
                      <w:szCs w:val="21"/>
                    </w:rPr>
                  </w:pPr>
                  <w:r>
                    <w:rPr>
                      <w:rFonts w:hint="eastAsia" w:ascii="黑体" w:hAnsi="宋体" w:eastAsia="黑体" w:cs="黑体"/>
                      <w:color w:val="auto"/>
                      <w:sz w:val="21"/>
                      <w:szCs w:val="21"/>
                    </w:rPr>
                    <w:t>项</w:t>
                  </w:r>
                  <w:r>
                    <w:rPr>
                      <w:rFonts w:hint="eastAsia" w:ascii="黑体" w:hAnsi="宋体" w:eastAsia="黑体" w:cs="黑体"/>
                      <w:color w:val="auto"/>
                      <w:sz w:val="21"/>
                      <w:szCs w:val="21"/>
                    </w:rPr>
                    <w:tab/>
                  </w:r>
                  <w:r>
                    <w:rPr>
                      <w:rFonts w:hint="eastAsia" w:ascii="黑体" w:hAnsi="宋体" w:eastAsia="黑体" w:cs="黑体"/>
                      <w:color w:val="auto"/>
                      <w:sz w:val="21"/>
                      <w:szCs w:val="21"/>
                    </w:rPr>
                    <w:t>目</w:t>
                  </w:r>
                </w:p>
              </w:tc>
              <w:tc>
                <w:tcPr>
                  <w:tcW w:w="841" w:type="dxa"/>
                  <w:vMerge w:val="restart"/>
                  <w:vAlign w:val="center"/>
                </w:tcPr>
                <w:p>
                  <w:pPr>
                    <w:pStyle w:val="61"/>
                    <w:widowControl/>
                    <w:spacing w:line="240" w:lineRule="atLeast"/>
                    <w:jc w:val="center"/>
                    <w:rPr>
                      <w:rFonts w:ascii="黑体" w:hAnsi="宋体" w:eastAsia="黑体" w:cs="黑体"/>
                      <w:color w:val="auto"/>
                      <w:sz w:val="21"/>
                      <w:szCs w:val="21"/>
                    </w:rPr>
                  </w:pPr>
                  <w:r>
                    <w:rPr>
                      <w:rFonts w:hint="eastAsia" w:ascii="黑体" w:hAnsi="宋体" w:eastAsia="黑体" w:cs="黑体"/>
                      <w:color w:val="auto"/>
                      <w:sz w:val="21"/>
                      <w:szCs w:val="21"/>
                    </w:rPr>
                    <w:t>单位</w:t>
                  </w:r>
                </w:p>
              </w:tc>
              <w:tc>
                <w:tcPr>
                  <w:tcW w:w="4112" w:type="dxa"/>
                  <w:gridSpan w:val="2"/>
                  <w:vAlign w:val="center"/>
                </w:tcPr>
                <w:p>
                  <w:pPr>
                    <w:pStyle w:val="61"/>
                    <w:widowControl/>
                    <w:spacing w:line="240" w:lineRule="atLeast"/>
                    <w:jc w:val="center"/>
                    <w:rPr>
                      <w:rFonts w:ascii="黑体" w:hAnsi="宋体" w:eastAsia="黑体" w:cs="黑体"/>
                      <w:color w:val="auto"/>
                      <w:sz w:val="21"/>
                      <w:szCs w:val="21"/>
                    </w:rPr>
                  </w:pPr>
                  <w:r>
                    <w:rPr>
                      <w:rFonts w:hint="eastAsia" w:ascii="黑体" w:hAnsi="宋体" w:eastAsia="黑体" w:cs="黑体"/>
                      <w:color w:val="auto"/>
                      <w:sz w:val="21"/>
                      <w:szCs w:val="21"/>
                    </w:rPr>
                    <w:t>超高</w:t>
                  </w:r>
                  <w:r>
                    <w:rPr>
                      <w:rFonts w:hint="eastAsia" w:ascii="黑体" w:hAnsi="宋体" w:eastAsia="黑体" w:cs="黑体"/>
                      <w:color w:val="auto"/>
                      <w:spacing w:val="-3"/>
                      <w:sz w:val="21"/>
                      <w:szCs w:val="21"/>
                    </w:rPr>
                    <w:t>功</w:t>
                  </w:r>
                  <w:r>
                    <w:rPr>
                      <w:rFonts w:hint="eastAsia" w:ascii="黑体" w:hAnsi="宋体" w:eastAsia="黑体" w:cs="黑体"/>
                      <w:color w:val="auto"/>
                      <w:sz w:val="21"/>
                      <w:szCs w:val="21"/>
                    </w:rPr>
                    <w:t>率</w:t>
                  </w:r>
                  <w:r>
                    <w:rPr>
                      <w:rFonts w:hint="eastAsia" w:ascii="黑体" w:hAnsi="宋体" w:eastAsia="黑体" w:cs="黑体"/>
                      <w:color w:val="auto"/>
                      <w:spacing w:val="-3"/>
                      <w:sz w:val="21"/>
                      <w:szCs w:val="21"/>
                    </w:rPr>
                    <w:t>直</w:t>
                  </w:r>
                  <w:r>
                    <w:rPr>
                      <w:rFonts w:hint="eastAsia" w:ascii="黑体" w:hAnsi="宋体" w:eastAsia="黑体" w:cs="黑体"/>
                      <w:color w:val="auto"/>
                      <w:sz w:val="21"/>
                      <w:szCs w:val="21"/>
                    </w:rPr>
                    <w:t>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trPr>
              <w:tc>
                <w:tcPr>
                  <w:tcW w:w="2890" w:type="dxa"/>
                  <w:gridSpan w:val="2"/>
                  <w:vMerge w:val="continue"/>
                  <w:vAlign w:val="center"/>
                </w:tcPr>
                <w:p>
                  <w:pPr>
                    <w:spacing w:line="240" w:lineRule="atLeast"/>
                    <w:jc w:val="center"/>
                    <w:rPr>
                      <w:color w:val="auto"/>
                    </w:rPr>
                  </w:pPr>
                </w:p>
              </w:tc>
              <w:tc>
                <w:tcPr>
                  <w:tcW w:w="841" w:type="dxa"/>
                  <w:vMerge w:val="continue"/>
                  <w:vAlign w:val="center"/>
                </w:tcPr>
                <w:p>
                  <w:pPr>
                    <w:spacing w:line="240" w:lineRule="atLeast"/>
                    <w:jc w:val="center"/>
                    <w:rPr>
                      <w:color w:val="auto"/>
                    </w:rPr>
                  </w:pPr>
                </w:p>
              </w:tc>
              <w:tc>
                <w:tcPr>
                  <w:tcW w:w="2056" w:type="dxa"/>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黑体" w:hAnsi="宋体" w:eastAsia="黑体" w:cs="黑体"/>
                      <w:color w:val="auto"/>
                      <w:sz w:val="21"/>
                      <w:szCs w:val="21"/>
                    </w:rPr>
                    <w:t>Φ</w:t>
                  </w:r>
                  <w:r>
                    <w:rPr>
                      <w:rFonts w:ascii="Times New Roman" w:hAnsi="Times New Roman" w:eastAsia="Times New Roman"/>
                      <w:color w:val="auto"/>
                      <w:sz w:val="21"/>
                      <w:szCs w:val="21"/>
                    </w:rPr>
                    <w:t>60</w:t>
                  </w:r>
                  <w:r>
                    <w:rPr>
                      <w:rFonts w:ascii="Times New Roman" w:hAnsi="Times New Roman" w:eastAsia="Times New Roman"/>
                      <w:color w:val="auto"/>
                      <w:spacing w:val="-3"/>
                      <w:sz w:val="21"/>
                      <w:szCs w:val="21"/>
                    </w:rPr>
                    <w:t>0</w:t>
                  </w:r>
                  <w:r>
                    <w:rPr>
                      <w:rFonts w:ascii="Times New Roman" w:hAnsi="Times New Roman" w:eastAsia="Times New Roman"/>
                      <w:color w:val="auto"/>
                      <w:sz w:val="21"/>
                      <w:szCs w:val="21"/>
                    </w:rPr>
                    <w:t>~6</w:t>
                  </w:r>
                  <w:r>
                    <w:rPr>
                      <w:rFonts w:ascii="Times New Roman" w:hAnsi="Times New Roman" w:eastAsia="Times New Roman"/>
                      <w:color w:val="auto"/>
                      <w:spacing w:val="-3"/>
                      <w:sz w:val="21"/>
                      <w:szCs w:val="21"/>
                    </w:rPr>
                    <w:t>5</w:t>
                  </w:r>
                  <w:r>
                    <w:rPr>
                      <w:rFonts w:ascii="Times New Roman" w:hAnsi="Times New Roman" w:eastAsia="Times New Roman"/>
                      <w:color w:val="auto"/>
                      <w:sz w:val="21"/>
                      <w:szCs w:val="21"/>
                    </w:rPr>
                    <w:t>0</w:t>
                  </w:r>
                  <w:r>
                    <w:rPr>
                      <w:rFonts w:ascii="Times New Roman" w:hAnsi="Times New Roman" w:eastAsia="Times New Roman"/>
                      <w:color w:val="auto"/>
                      <w:spacing w:val="-2"/>
                      <w:sz w:val="21"/>
                      <w:szCs w:val="21"/>
                    </w:rPr>
                    <w:t>mm</w:t>
                  </w:r>
                </w:p>
              </w:tc>
              <w:tc>
                <w:tcPr>
                  <w:tcW w:w="2056" w:type="dxa"/>
                  <w:vAlign w:val="center"/>
                </w:tcPr>
                <w:p>
                  <w:pPr>
                    <w:pStyle w:val="61"/>
                    <w:widowControl/>
                    <w:spacing w:line="240" w:lineRule="atLeast"/>
                    <w:jc w:val="center"/>
                    <w:rPr>
                      <w:rFonts w:ascii="黑体" w:hAnsi="宋体" w:eastAsia="黑体" w:cs="黑体"/>
                      <w:color w:val="auto"/>
                      <w:sz w:val="21"/>
                      <w:szCs w:val="21"/>
                    </w:rPr>
                  </w:pPr>
                  <w:r>
                    <w:rPr>
                      <w:rFonts w:hint="eastAsia" w:ascii="黑体" w:hAnsi="宋体" w:eastAsia="黑体" w:cs="黑体"/>
                      <w:color w:val="auto"/>
                      <w:sz w:val="21"/>
                      <w:szCs w:val="21"/>
                    </w:rPr>
                    <w:t>Φ</w:t>
                  </w:r>
                  <w:r>
                    <w:rPr>
                      <w:rFonts w:hint="eastAsia" w:ascii="等线" w:hAnsi="等线" w:eastAsia="等线" w:cs="等线"/>
                      <w:color w:val="auto"/>
                      <w:sz w:val="21"/>
                      <w:szCs w:val="21"/>
                    </w:rPr>
                    <w:t>650~700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宋体" w:hAnsi="宋体" w:cs="宋体"/>
                      <w:color w:val="auto"/>
                      <w:sz w:val="21"/>
                      <w:szCs w:val="21"/>
                    </w:rPr>
                    <w:t>电阻率</w:t>
                  </w:r>
                  <w:r>
                    <w:rPr>
                      <w:rFonts w:ascii="Times New Roman" w:hAnsi="Times New Roman" w:eastAsia="Times New Roman"/>
                      <w:color w:val="auto"/>
                      <w:sz w:val="21"/>
                      <w:szCs w:val="21"/>
                    </w:rPr>
                    <w:t>≤</w:t>
                  </w: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电极</w:t>
                  </w:r>
                </w:p>
              </w:tc>
              <w:tc>
                <w:tcPr>
                  <w:tcW w:w="841"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μ</w:t>
                  </w:r>
                  <w:r>
                    <w:rPr>
                      <w:rFonts w:ascii="Times New Roman" w:hAnsi="Times New Roman" w:eastAsia="Times New Roman"/>
                      <w:color w:val="auto"/>
                      <w:spacing w:val="-2"/>
                      <w:sz w:val="21"/>
                      <w:szCs w:val="21"/>
                    </w:rPr>
                    <w:t>Ω</w:t>
                  </w:r>
                  <w:r>
                    <w:rPr>
                      <w:rFonts w:ascii="Times New Roman" w:hAnsi="Times New Roman" w:eastAsia="Times New Roman"/>
                      <w:color w:val="auto"/>
                      <w:spacing w:val="-1"/>
                      <w:sz w:val="21"/>
                      <w:szCs w:val="21"/>
                    </w:rPr>
                    <w:t>·</w:t>
                  </w:r>
                  <w:r>
                    <w:rPr>
                      <w:rFonts w:ascii="Times New Roman" w:hAnsi="Times New Roman" w:eastAsia="Times New Roman"/>
                      <w:color w:val="auto"/>
                      <w:sz w:val="21"/>
                      <w:szCs w:val="21"/>
                    </w:rPr>
                    <w:t>m</w:t>
                  </w: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6.0</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continue"/>
                  <w:vAlign w:val="center"/>
                </w:tcPr>
                <w:p>
                  <w:pPr>
                    <w:spacing w:line="240" w:lineRule="atLeast"/>
                    <w:jc w:val="center"/>
                    <w:rPr>
                      <w:color w:val="auto"/>
                    </w:rPr>
                  </w:pP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接头</w:t>
                  </w:r>
                </w:p>
              </w:tc>
              <w:tc>
                <w:tcPr>
                  <w:tcW w:w="841" w:type="dxa"/>
                  <w:vMerge w:val="continue"/>
                  <w:vAlign w:val="center"/>
                </w:tcPr>
                <w:p>
                  <w:pPr>
                    <w:spacing w:line="240" w:lineRule="atLeast"/>
                    <w:jc w:val="center"/>
                    <w:rPr>
                      <w:color w:val="auto"/>
                    </w:rPr>
                  </w:pP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4.5</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trPr>
              <w:tc>
                <w:tcPr>
                  <w:tcW w:w="1890"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宋体" w:hAnsi="宋体" w:cs="宋体"/>
                      <w:color w:val="auto"/>
                      <w:sz w:val="21"/>
                      <w:szCs w:val="21"/>
                    </w:rPr>
                    <w:t>抗折</w:t>
                  </w:r>
                  <w:r>
                    <w:rPr>
                      <w:rFonts w:hint="eastAsia" w:ascii="宋体" w:hAnsi="宋体" w:cs="宋体"/>
                      <w:color w:val="auto"/>
                      <w:spacing w:val="-3"/>
                      <w:sz w:val="21"/>
                      <w:szCs w:val="21"/>
                    </w:rPr>
                    <w:t>强</w:t>
                  </w:r>
                  <w:r>
                    <w:rPr>
                      <w:rFonts w:ascii="Times New Roman" w:hAnsi="Times New Roman" w:eastAsia="Times New Roman"/>
                      <w:color w:val="auto"/>
                      <w:sz w:val="21"/>
                      <w:szCs w:val="21"/>
                    </w:rPr>
                    <w:t>≥</w:t>
                  </w: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电极</w:t>
                  </w:r>
                </w:p>
              </w:tc>
              <w:tc>
                <w:tcPr>
                  <w:tcW w:w="841" w:type="dxa"/>
                  <w:vMerge w:val="restart"/>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MPa</w:t>
                  </w: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10</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continue"/>
                  <w:vAlign w:val="center"/>
                </w:tcPr>
                <w:p>
                  <w:pPr>
                    <w:spacing w:line="240" w:lineRule="atLeast"/>
                    <w:jc w:val="center"/>
                    <w:rPr>
                      <w:color w:val="auto"/>
                    </w:rPr>
                  </w:pP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接头</w:t>
                  </w:r>
                </w:p>
              </w:tc>
              <w:tc>
                <w:tcPr>
                  <w:tcW w:w="841" w:type="dxa"/>
                  <w:vMerge w:val="continue"/>
                  <w:vAlign w:val="center"/>
                </w:tcPr>
                <w:p>
                  <w:pPr>
                    <w:spacing w:line="240" w:lineRule="atLeast"/>
                    <w:jc w:val="center"/>
                    <w:rPr>
                      <w:color w:val="auto"/>
                    </w:rPr>
                  </w:pPr>
                </w:p>
              </w:tc>
              <w:tc>
                <w:tcPr>
                  <w:tcW w:w="2056" w:type="dxa"/>
                  <w:vAlign w:val="center"/>
                </w:tcPr>
                <w:p>
                  <w:pPr>
                    <w:pStyle w:val="61"/>
                    <w:widowControl/>
                    <w:spacing w:before="35"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22</w:t>
                  </w:r>
                </w:p>
              </w:tc>
              <w:tc>
                <w:tcPr>
                  <w:tcW w:w="2056" w:type="dxa"/>
                  <w:vAlign w:val="center"/>
                </w:tcPr>
                <w:p>
                  <w:pPr>
                    <w:pStyle w:val="61"/>
                    <w:widowControl/>
                    <w:spacing w:before="35" w:line="240" w:lineRule="atLeast"/>
                    <w:jc w:val="center"/>
                    <w:rPr>
                      <w:rFonts w:ascii="Times New Roman" w:hAnsi="Times New Roman"/>
                      <w:color w:val="auto"/>
                      <w:sz w:val="21"/>
                      <w:szCs w:val="21"/>
                    </w:rPr>
                  </w:pPr>
                  <w:r>
                    <w:rPr>
                      <w:rFonts w:hint="eastAsia" w:ascii="Times New Roman" w:hAnsi="Times New Roman"/>
                      <w:color w:val="auto"/>
                      <w:sz w:val="21"/>
                      <w:szCs w:val="21"/>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宋体" w:hAnsi="宋体" w:cs="宋体"/>
                      <w:color w:val="auto"/>
                      <w:sz w:val="21"/>
                      <w:szCs w:val="21"/>
                    </w:rPr>
                    <w:t>弹性</w:t>
                  </w:r>
                  <w:r>
                    <w:rPr>
                      <w:rFonts w:hint="eastAsia" w:ascii="宋体" w:hAnsi="宋体" w:cs="宋体"/>
                      <w:color w:val="auto"/>
                      <w:spacing w:val="-3"/>
                      <w:sz w:val="21"/>
                      <w:szCs w:val="21"/>
                    </w:rPr>
                    <w:t>模</w:t>
                  </w:r>
                  <w:r>
                    <w:rPr>
                      <w:rFonts w:ascii="Times New Roman" w:hAnsi="Times New Roman" w:eastAsia="Times New Roman"/>
                      <w:color w:val="auto"/>
                      <w:sz w:val="21"/>
                      <w:szCs w:val="21"/>
                    </w:rPr>
                    <w:t>≤</w:t>
                  </w: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电极</w:t>
                  </w:r>
                </w:p>
              </w:tc>
              <w:tc>
                <w:tcPr>
                  <w:tcW w:w="841"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ascii="Times New Roman" w:hAnsi="Times New Roman" w:eastAsia="Times New Roman"/>
                      <w:color w:val="auto"/>
                      <w:spacing w:val="-2"/>
                      <w:sz w:val="21"/>
                      <w:szCs w:val="21"/>
                    </w:rPr>
                    <w:t>G</w:t>
                  </w:r>
                  <w:r>
                    <w:rPr>
                      <w:rFonts w:ascii="Times New Roman" w:hAnsi="Times New Roman" w:eastAsia="Times New Roman"/>
                      <w:color w:val="auto"/>
                      <w:spacing w:val="2"/>
                      <w:sz w:val="21"/>
                      <w:szCs w:val="21"/>
                    </w:rPr>
                    <w:t>P</w:t>
                  </w:r>
                  <w:r>
                    <w:rPr>
                      <w:rFonts w:ascii="Times New Roman" w:hAnsi="Times New Roman" w:eastAsia="Times New Roman"/>
                      <w:color w:val="auto"/>
                      <w:sz w:val="21"/>
                      <w:szCs w:val="21"/>
                    </w:rPr>
                    <w:t>a</w:t>
                  </w: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14</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continue"/>
                  <w:vAlign w:val="center"/>
                </w:tcPr>
                <w:p>
                  <w:pPr>
                    <w:spacing w:line="240" w:lineRule="atLeast"/>
                    <w:jc w:val="center"/>
                    <w:rPr>
                      <w:color w:val="auto"/>
                    </w:rPr>
                  </w:pP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接头</w:t>
                  </w:r>
                </w:p>
              </w:tc>
              <w:tc>
                <w:tcPr>
                  <w:tcW w:w="841" w:type="dxa"/>
                  <w:vMerge w:val="continue"/>
                  <w:vAlign w:val="center"/>
                </w:tcPr>
                <w:p>
                  <w:pPr>
                    <w:spacing w:line="240" w:lineRule="atLeast"/>
                    <w:jc w:val="center"/>
                    <w:rPr>
                      <w:color w:val="auto"/>
                    </w:rPr>
                  </w:pP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22</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宋体" w:hAnsi="宋体" w:cs="宋体"/>
                      <w:color w:val="auto"/>
                      <w:sz w:val="21"/>
                      <w:szCs w:val="21"/>
                    </w:rPr>
                    <w:t>体积</w:t>
                  </w:r>
                  <w:r>
                    <w:rPr>
                      <w:rFonts w:hint="eastAsia" w:ascii="宋体" w:hAnsi="宋体" w:cs="宋体"/>
                      <w:color w:val="auto"/>
                      <w:spacing w:val="-3"/>
                      <w:sz w:val="21"/>
                      <w:szCs w:val="21"/>
                    </w:rPr>
                    <w:t>密</w:t>
                  </w:r>
                  <w:r>
                    <w:rPr>
                      <w:rFonts w:ascii="Times New Roman" w:hAnsi="Times New Roman" w:eastAsia="Times New Roman"/>
                      <w:color w:val="auto"/>
                      <w:sz w:val="21"/>
                      <w:szCs w:val="21"/>
                    </w:rPr>
                    <w:t>≥</w:t>
                  </w: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电极</w:t>
                  </w:r>
                </w:p>
              </w:tc>
              <w:tc>
                <w:tcPr>
                  <w:tcW w:w="841" w:type="dxa"/>
                  <w:vMerge w:val="restart"/>
                  <w:vAlign w:val="center"/>
                </w:tcPr>
                <w:p>
                  <w:pPr>
                    <w:pStyle w:val="61"/>
                    <w:widowControl/>
                    <w:spacing w:before="3" w:line="240" w:lineRule="atLeast"/>
                    <w:jc w:val="center"/>
                    <w:rPr>
                      <w:rFonts w:ascii="Times New Roman" w:hAnsi="Times New Roman" w:eastAsia="Times New Roman"/>
                      <w:color w:val="auto"/>
                      <w:sz w:val="14"/>
                      <w:szCs w:val="14"/>
                    </w:rPr>
                  </w:pPr>
                  <w:r>
                    <w:rPr>
                      <w:rFonts w:ascii="Times New Roman" w:hAnsi="Times New Roman" w:eastAsia="Times New Roman"/>
                      <w:color w:val="auto"/>
                      <w:sz w:val="21"/>
                      <w:szCs w:val="21"/>
                    </w:rPr>
                    <w:t>g</w:t>
                  </w:r>
                  <w:r>
                    <w:rPr>
                      <w:rFonts w:ascii="Times New Roman" w:hAnsi="Times New Roman" w:eastAsia="Times New Roman"/>
                      <w:color w:val="auto"/>
                      <w:spacing w:val="-2"/>
                      <w:sz w:val="21"/>
                      <w:szCs w:val="21"/>
                    </w:rPr>
                    <w:t>/</w:t>
                  </w:r>
                  <w:r>
                    <w:rPr>
                      <w:rFonts w:ascii="Times New Roman" w:hAnsi="Times New Roman" w:eastAsia="Times New Roman"/>
                      <w:color w:val="auto"/>
                      <w:sz w:val="21"/>
                      <w:szCs w:val="21"/>
                    </w:rPr>
                    <w:t>c</w:t>
                  </w:r>
                  <w:r>
                    <w:rPr>
                      <w:rFonts w:ascii="Times New Roman" w:hAnsi="Times New Roman" w:eastAsia="Times New Roman"/>
                      <w:color w:val="auto"/>
                      <w:spacing w:val="-4"/>
                      <w:sz w:val="21"/>
                      <w:szCs w:val="21"/>
                    </w:rPr>
                    <w:t>m</w:t>
                  </w:r>
                  <w:r>
                    <w:rPr>
                      <w:rFonts w:ascii="Times New Roman" w:hAnsi="Times New Roman" w:eastAsia="Times New Roman"/>
                      <w:color w:val="auto"/>
                      <w:position w:val="10"/>
                      <w:sz w:val="14"/>
                      <w:szCs w:val="14"/>
                    </w:rPr>
                    <w:t>3</w:t>
                  </w: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1.66</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1.68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continue"/>
                  <w:vAlign w:val="center"/>
                </w:tcPr>
                <w:p>
                  <w:pPr>
                    <w:spacing w:line="240" w:lineRule="atLeast"/>
                    <w:jc w:val="center"/>
                    <w:rPr>
                      <w:color w:val="auto"/>
                    </w:rPr>
                  </w:pP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接头</w:t>
                  </w:r>
                </w:p>
              </w:tc>
              <w:tc>
                <w:tcPr>
                  <w:tcW w:w="841" w:type="dxa"/>
                  <w:vMerge w:val="continue"/>
                  <w:vAlign w:val="center"/>
                </w:tcPr>
                <w:p>
                  <w:pPr>
                    <w:spacing w:line="240" w:lineRule="atLeast"/>
                    <w:jc w:val="center"/>
                    <w:rPr>
                      <w:color w:val="auto"/>
                    </w:rPr>
                  </w:pP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1.78</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restart"/>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宋体" w:hAnsi="宋体" w:cs="宋体"/>
                      <w:color w:val="auto"/>
                      <w:sz w:val="21"/>
                      <w:szCs w:val="21"/>
                    </w:rPr>
                    <w:t>热膨</w:t>
                  </w:r>
                  <w:r>
                    <w:rPr>
                      <w:rFonts w:hint="eastAsia" w:ascii="宋体" w:hAnsi="宋体" w:cs="宋体"/>
                      <w:color w:val="auto"/>
                      <w:spacing w:val="-3"/>
                      <w:sz w:val="21"/>
                      <w:szCs w:val="21"/>
                    </w:rPr>
                    <w:t>胀</w:t>
                  </w:r>
                  <w:r>
                    <w:rPr>
                      <w:rFonts w:hint="eastAsia" w:ascii="宋体" w:hAnsi="宋体" w:cs="宋体"/>
                      <w:color w:val="auto"/>
                      <w:sz w:val="21"/>
                      <w:szCs w:val="21"/>
                    </w:rPr>
                    <w:t>系</w:t>
                  </w:r>
                  <w:r>
                    <w:rPr>
                      <w:rFonts w:hint="eastAsia" w:ascii="宋体" w:hAnsi="宋体" w:cs="宋体"/>
                      <w:color w:val="auto"/>
                      <w:spacing w:val="-1"/>
                      <w:sz w:val="21"/>
                      <w:szCs w:val="21"/>
                    </w:rPr>
                    <w:t>数</w:t>
                  </w:r>
                  <w:r>
                    <w:rPr>
                      <w:rFonts w:ascii="Times New Roman" w:hAnsi="Times New Roman" w:eastAsia="Times New Roman"/>
                      <w:color w:val="auto"/>
                      <w:sz w:val="21"/>
                      <w:szCs w:val="21"/>
                    </w:rPr>
                    <w:t>≤</w:t>
                  </w: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电极</w:t>
                  </w:r>
                </w:p>
              </w:tc>
              <w:tc>
                <w:tcPr>
                  <w:tcW w:w="841" w:type="dxa"/>
                  <w:vMerge w:val="restart"/>
                  <w:vAlign w:val="center"/>
                </w:tcPr>
                <w:p>
                  <w:pPr>
                    <w:pStyle w:val="61"/>
                    <w:widowControl/>
                    <w:spacing w:line="240" w:lineRule="atLeast"/>
                    <w:jc w:val="center"/>
                    <w:rPr>
                      <w:rFonts w:ascii="宋体" w:hAnsi="宋体" w:cs="宋体"/>
                      <w:color w:val="auto"/>
                      <w:sz w:val="21"/>
                      <w:szCs w:val="21"/>
                    </w:rPr>
                  </w:pPr>
                  <w:r>
                    <w:rPr>
                      <w:rFonts w:ascii="Times New Roman" w:hAnsi="Times New Roman" w:eastAsia="Times New Roman"/>
                      <w:color w:val="auto"/>
                      <w:sz w:val="21"/>
                      <w:szCs w:val="21"/>
                    </w:rPr>
                    <w:t>10</w:t>
                  </w:r>
                  <w:r>
                    <w:rPr>
                      <w:rFonts w:ascii="Times New Roman" w:hAnsi="Times New Roman" w:eastAsia="Times New Roman"/>
                      <w:color w:val="auto"/>
                      <w:spacing w:val="-1"/>
                      <w:position w:val="10"/>
                      <w:sz w:val="14"/>
                      <w:szCs w:val="14"/>
                    </w:rPr>
                    <w:t>-</w:t>
                  </w:r>
                  <w:r>
                    <w:rPr>
                      <w:rFonts w:ascii="Times New Roman" w:hAnsi="Times New Roman" w:eastAsia="Times New Roman"/>
                      <w:color w:val="auto"/>
                      <w:position w:val="10"/>
                      <w:sz w:val="14"/>
                      <w:szCs w:val="14"/>
                    </w:rPr>
                    <w:t>6</w:t>
                  </w:r>
                  <w:r>
                    <w:rPr>
                      <w:rFonts w:ascii="Times New Roman" w:hAnsi="Times New Roman" w:eastAsia="Times New Roman"/>
                      <w:color w:val="auto"/>
                      <w:spacing w:val="-2"/>
                      <w:sz w:val="21"/>
                      <w:szCs w:val="21"/>
                    </w:rPr>
                    <w:t>/</w:t>
                  </w:r>
                  <w:r>
                    <w:rPr>
                      <w:rFonts w:hint="eastAsia" w:ascii="宋体" w:hAnsi="宋体" w:cs="宋体"/>
                      <w:color w:val="auto"/>
                      <w:sz w:val="21"/>
                      <w:szCs w:val="21"/>
                    </w:rPr>
                    <w:t>℃</w:t>
                  </w: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1.5</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890" w:type="dxa"/>
                  <w:vMerge w:val="continue"/>
                  <w:vAlign w:val="center"/>
                </w:tcPr>
                <w:p>
                  <w:pPr>
                    <w:spacing w:line="240" w:lineRule="atLeast"/>
                    <w:jc w:val="center"/>
                    <w:rPr>
                      <w:color w:val="auto"/>
                    </w:rPr>
                  </w:pPr>
                </w:p>
              </w:tc>
              <w:tc>
                <w:tcPr>
                  <w:tcW w:w="1000" w:type="dxa"/>
                  <w:vAlign w:val="center"/>
                </w:tcPr>
                <w:p>
                  <w:pPr>
                    <w:pStyle w:val="61"/>
                    <w:widowControl/>
                    <w:spacing w:line="240" w:lineRule="atLeast"/>
                    <w:jc w:val="center"/>
                    <w:rPr>
                      <w:rFonts w:ascii="宋体" w:hAnsi="宋体" w:cs="宋体"/>
                      <w:color w:val="auto"/>
                      <w:sz w:val="21"/>
                      <w:szCs w:val="21"/>
                    </w:rPr>
                  </w:pPr>
                  <w:r>
                    <w:rPr>
                      <w:rFonts w:hint="eastAsia" w:ascii="宋体" w:hAnsi="宋体" w:cs="宋体"/>
                      <w:color w:val="auto"/>
                      <w:sz w:val="21"/>
                      <w:szCs w:val="21"/>
                    </w:rPr>
                    <w:t>接头</w:t>
                  </w:r>
                </w:p>
              </w:tc>
              <w:tc>
                <w:tcPr>
                  <w:tcW w:w="841" w:type="dxa"/>
                  <w:vMerge w:val="continue"/>
                  <w:vAlign w:val="center"/>
                </w:tcPr>
                <w:p>
                  <w:pPr>
                    <w:spacing w:line="240" w:lineRule="atLeast"/>
                    <w:jc w:val="center"/>
                    <w:rPr>
                      <w:color w:val="auto"/>
                    </w:rPr>
                  </w:pPr>
                </w:p>
              </w:tc>
              <w:tc>
                <w:tcPr>
                  <w:tcW w:w="2056" w:type="dxa"/>
                  <w:vAlign w:val="center"/>
                </w:tcPr>
                <w:p>
                  <w:pPr>
                    <w:pStyle w:val="61"/>
                    <w:widowControl/>
                    <w:spacing w:before="36"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1.3</w:t>
                  </w:r>
                </w:p>
              </w:tc>
              <w:tc>
                <w:tcPr>
                  <w:tcW w:w="2056" w:type="dxa"/>
                  <w:vAlign w:val="center"/>
                </w:tcPr>
                <w:p>
                  <w:pPr>
                    <w:pStyle w:val="61"/>
                    <w:widowControl/>
                    <w:spacing w:before="36" w:line="240" w:lineRule="atLeast"/>
                    <w:jc w:val="center"/>
                    <w:rPr>
                      <w:rFonts w:ascii="Times New Roman" w:hAnsi="Times New Roman"/>
                      <w:color w:val="auto"/>
                      <w:sz w:val="21"/>
                      <w:szCs w:val="21"/>
                    </w:rPr>
                  </w:pPr>
                  <w:r>
                    <w:rPr>
                      <w:rFonts w:hint="eastAsia" w:ascii="Times New Roman" w:hAnsi="Times New Roman"/>
                      <w:color w:val="auto"/>
                      <w:sz w:val="21"/>
                      <w:szCs w:val="21"/>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trPr>
              <w:tc>
                <w:tcPr>
                  <w:tcW w:w="1890" w:type="dxa"/>
                  <w:vAlign w:val="center"/>
                </w:tcPr>
                <w:p>
                  <w:pPr>
                    <w:pStyle w:val="61"/>
                    <w:widowControl/>
                    <w:spacing w:line="240" w:lineRule="atLeast"/>
                    <w:jc w:val="center"/>
                    <w:rPr>
                      <w:rFonts w:ascii="Times New Roman" w:hAnsi="Times New Roman" w:eastAsia="Times New Roman"/>
                      <w:color w:val="auto"/>
                      <w:sz w:val="21"/>
                      <w:szCs w:val="21"/>
                    </w:rPr>
                  </w:pPr>
                  <w:r>
                    <w:rPr>
                      <w:rFonts w:hint="eastAsia" w:ascii="宋体" w:hAnsi="宋体" w:cs="宋体"/>
                      <w:color w:val="auto"/>
                      <w:sz w:val="21"/>
                      <w:szCs w:val="21"/>
                    </w:rPr>
                    <w:t>灰分</w:t>
                  </w:r>
                  <w:r>
                    <w:rPr>
                      <w:rFonts w:ascii="Times New Roman" w:hAnsi="Times New Roman" w:eastAsia="Times New Roman"/>
                      <w:color w:val="auto"/>
                      <w:spacing w:val="-1"/>
                      <w:sz w:val="21"/>
                      <w:szCs w:val="21"/>
                    </w:rPr>
                    <w:t>≤%</w:t>
                  </w:r>
                </w:p>
              </w:tc>
              <w:tc>
                <w:tcPr>
                  <w:tcW w:w="1000" w:type="dxa"/>
                  <w:vAlign w:val="center"/>
                </w:tcPr>
                <w:p>
                  <w:pPr>
                    <w:spacing w:line="240" w:lineRule="atLeast"/>
                    <w:jc w:val="center"/>
                    <w:rPr>
                      <w:color w:val="auto"/>
                    </w:rPr>
                  </w:pPr>
                </w:p>
              </w:tc>
              <w:tc>
                <w:tcPr>
                  <w:tcW w:w="841" w:type="dxa"/>
                  <w:vAlign w:val="center"/>
                </w:tcPr>
                <w:p>
                  <w:pPr>
                    <w:spacing w:line="240" w:lineRule="atLeast"/>
                    <w:jc w:val="center"/>
                    <w:rPr>
                      <w:color w:val="auto"/>
                    </w:rPr>
                  </w:pPr>
                </w:p>
              </w:tc>
              <w:tc>
                <w:tcPr>
                  <w:tcW w:w="2056" w:type="dxa"/>
                  <w:vAlign w:val="center"/>
                </w:tcPr>
                <w:p>
                  <w:pPr>
                    <w:pStyle w:val="61"/>
                    <w:widowControl/>
                    <w:spacing w:before="33" w:line="240" w:lineRule="atLeast"/>
                    <w:jc w:val="center"/>
                    <w:rPr>
                      <w:rFonts w:ascii="Times New Roman" w:hAnsi="Times New Roman" w:eastAsia="Times New Roman"/>
                      <w:color w:val="auto"/>
                      <w:sz w:val="21"/>
                      <w:szCs w:val="21"/>
                    </w:rPr>
                  </w:pPr>
                  <w:r>
                    <w:rPr>
                      <w:rFonts w:ascii="Times New Roman" w:hAnsi="Times New Roman" w:eastAsia="Times New Roman"/>
                      <w:color w:val="auto"/>
                      <w:sz w:val="21"/>
                      <w:szCs w:val="21"/>
                    </w:rPr>
                    <w:t>0.5</w:t>
                  </w:r>
                </w:p>
              </w:tc>
              <w:tc>
                <w:tcPr>
                  <w:tcW w:w="2056" w:type="dxa"/>
                  <w:vAlign w:val="center"/>
                </w:tcPr>
                <w:p>
                  <w:pPr>
                    <w:pStyle w:val="61"/>
                    <w:widowControl/>
                    <w:spacing w:before="33" w:line="240" w:lineRule="atLeast"/>
                    <w:jc w:val="center"/>
                    <w:rPr>
                      <w:rFonts w:ascii="Times New Roman" w:hAnsi="Times New Roman"/>
                      <w:color w:val="auto"/>
                      <w:sz w:val="21"/>
                      <w:szCs w:val="21"/>
                    </w:rPr>
                  </w:pPr>
                  <w:r>
                    <w:rPr>
                      <w:rFonts w:hint="eastAsia" w:ascii="Times New Roman" w:hAnsi="Times New Roman"/>
                      <w:color w:val="auto"/>
                      <w:sz w:val="21"/>
                      <w:szCs w:val="21"/>
                    </w:rPr>
                    <w:t>0.5</w:t>
                  </w:r>
                </w:p>
              </w:tc>
            </w:tr>
          </w:tbl>
          <w:p>
            <w:pPr>
              <w:adjustRightInd w:val="0"/>
              <w:snapToGrid w:val="0"/>
              <w:spacing w:before="240" w:beforeLines="100" w:line="360" w:lineRule="auto"/>
              <w:ind w:firstLine="482" w:firstLineChars="200"/>
              <w:rPr>
                <w:rFonts w:cs="宋体"/>
                <w:b/>
                <w:color w:val="auto"/>
                <w:sz w:val="24"/>
              </w:rPr>
            </w:pPr>
            <w:r>
              <w:rPr>
                <w:rFonts w:hint="eastAsia" w:cs="宋体"/>
                <w:b/>
                <w:color w:val="auto"/>
                <w:sz w:val="24"/>
              </w:rPr>
              <w:t>2、主要设备</w:t>
            </w:r>
          </w:p>
          <w:p>
            <w:pPr>
              <w:pStyle w:val="10"/>
              <w:spacing w:line="360" w:lineRule="auto"/>
              <w:ind w:left="0" w:leftChars="0" w:right="0" w:rightChars="0" w:firstLine="480" w:firstLineChars="200"/>
              <w:rPr>
                <w:rFonts w:hint="eastAsia"/>
                <w:color w:val="auto"/>
                <w:sz w:val="24"/>
              </w:rPr>
            </w:pPr>
            <w:r>
              <w:rPr>
                <w:rFonts w:hint="eastAsia"/>
                <w:color w:val="auto"/>
                <w:sz w:val="24"/>
              </w:rPr>
              <w:t>项目主要设备设置情况见表</w:t>
            </w:r>
            <w:r>
              <w:rPr>
                <w:rFonts w:hint="eastAsia"/>
                <w:color w:val="auto"/>
                <w:sz w:val="24"/>
                <w:lang w:val="en-US" w:eastAsia="zh-CN"/>
              </w:rPr>
              <w:t>6</w:t>
            </w:r>
            <w:r>
              <w:rPr>
                <w:rFonts w:hint="eastAsia"/>
                <w:color w:val="auto"/>
                <w:sz w:val="24"/>
              </w:rPr>
              <w:t>。</w:t>
            </w:r>
          </w:p>
          <w:p>
            <w:pPr>
              <w:pStyle w:val="10"/>
              <w:spacing w:line="240" w:lineRule="auto"/>
              <w:ind w:left="0" w:leftChars="0" w:right="0" w:rightChars="0" w:firstLine="482" w:firstLineChars="200"/>
              <w:jc w:val="center"/>
              <w:rPr>
                <w:b/>
                <w:bCs/>
                <w:color w:val="auto"/>
                <w:sz w:val="24"/>
              </w:rPr>
            </w:pPr>
            <w:r>
              <w:rPr>
                <w:rFonts w:hint="eastAsia"/>
                <w:b/>
                <w:bCs/>
                <w:color w:val="auto"/>
                <w:sz w:val="24"/>
              </w:rPr>
              <w:t>表</w:t>
            </w:r>
            <w:r>
              <w:rPr>
                <w:rFonts w:hint="eastAsia"/>
                <w:b/>
                <w:bCs/>
                <w:color w:val="auto"/>
                <w:sz w:val="24"/>
                <w:lang w:val="en-US" w:eastAsia="zh-CN"/>
              </w:rPr>
              <w:t>6</w:t>
            </w:r>
            <w:r>
              <w:rPr>
                <w:rFonts w:hint="eastAsia"/>
                <w:b/>
                <w:bCs/>
                <w:color w:val="auto"/>
                <w:sz w:val="24"/>
              </w:rPr>
              <w:t xml:space="preserve"> 项目主要设备一览表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367"/>
              <w:gridCol w:w="1077"/>
              <w:gridCol w:w="2044"/>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b/>
                      <w:bCs/>
                      <w:color w:val="auto"/>
                      <w:szCs w:val="21"/>
                    </w:rPr>
                  </w:pPr>
                  <w:r>
                    <w:rPr>
                      <w:rFonts w:hint="eastAsia"/>
                      <w:b/>
                      <w:bCs/>
                      <w:color w:val="auto"/>
                      <w:szCs w:val="21"/>
                    </w:rPr>
                    <w:t>序号</w:t>
                  </w:r>
                </w:p>
              </w:tc>
              <w:tc>
                <w:tcPr>
                  <w:tcW w:w="1510" w:type="pct"/>
                  <w:tcBorders>
                    <w:tl2br w:val="nil"/>
                    <w:tr2bl w:val="nil"/>
                  </w:tcBorders>
                  <w:vAlign w:val="center"/>
                </w:tcPr>
                <w:p>
                  <w:pPr>
                    <w:pStyle w:val="38"/>
                    <w:rPr>
                      <w:b/>
                      <w:bCs/>
                      <w:color w:val="auto"/>
                      <w:szCs w:val="21"/>
                    </w:rPr>
                  </w:pPr>
                  <w:r>
                    <w:rPr>
                      <w:rFonts w:hint="eastAsia"/>
                      <w:b/>
                      <w:bCs/>
                      <w:color w:val="auto"/>
                      <w:szCs w:val="21"/>
                    </w:rPr>
                    <w:t>设备名称</w:t>
                  </w:r>
                </w:p>
              </w:tc>
              <w:tc>
                <w:tcPr>
                  <w:tcW w:w="687" w:type="pct"/>
                  <w:tcBorders>
                    <w:tl2br w:val="nil"/>
                    <w:tr2bl w:val="nil"/>
                  </w:tcBorders>
                  <w:vAlign w:val="center"/>
                </w:tcPr>
                <w:p>
                  <w:pPr>
                    <w:pStyle w:val="38"/>
                    <w:rPr>
                      <w:b/>
                      <w:bCs/>
                      <w:color w:val="auto"/>
                      <w:szCs w:val="21"/>
                    </w:rPr>
                  </w:pPr>
                  <w:r>
                    <w:rPr>
                      <w:rFonts w:hint="eastAsia"/>
                      <w:b/>
                      <w:bCs/>
                      <w:color w:val="auto"/>
                      <w:szCs w:val="21"/>
                    </w:rPr>
                    <w:t>设备</w:t>
                  </w:r>
                </w:p>
                <w:p>
                  <w:pPr>
                    <w:pStyle w:val="38"/>
                    <w:rPr>
                      <w:b/>
                      <w:bCs/>
                      <w:color w:val="auto"/>
                      <w:szCs w:val="21"/>
                    </w:rPr>
                  </w:pPr>
                  <w:r>
                    <w:rPr>
                      <w:rFonts w:hint="eastAsia"/>
                      <w:b/>
                      <w:bCs/>
                      <w:color w:val="auto"/>
                      <w:szCs w:val="21"/>
                    </w:rPr>
                    <w:t>台套数</w:t>
                  </w:r>
                </w:p>
              </w:tc>
              <w:tc>
                <w:tcPr>
                  <w:tcW w:w="1304" w:type="pct"/>
                  <w:tcBorders>
                    <w:tl2br w:val="nil"/>
                    <w:tr2bl w:val="nil"/>
                  </w:tcBorders>
                  <w:vAlign w:val="center"/>
                </w:tcPr>
                <w:p>
                  <w:pPr>
                    <w:pStyle w:val="38"/>
                    <w:rPr>
                      <w:b/>
                      <w:bCs/>
                      <w:color w:val="auto"/>
                      <w:szCs w:val="21"/>
                    </w:rPr>
                  </w:pPr>
                  <w:r>
                    <w:rPr>
                      <w:rFonts w:hint="eastAsia"/>
                      <w:b/>
                      <w:bCs/>
                      <w:color w:val="auto"/>
                      <w:szCs w:val="21"/>
                    </w:rPr>
                    <w:t>工作时间（天/年×班/天×小时/班）</w:t>
                  </w:r>
                </w:p>
              </w:tc>
              <w:tc>
                <w:tcPr>
                  <w:tcW w:w="1061" w:type="pct"/>
                  <w:tcBorders>
                    <w:tl2br w:val="nil"/>
                    <w:tr2bl w:val="nil"/>
                  </w:tcBorders>
                  <w:vAlign w:val="center"/>
                </w:tcPr>
                <w:p>
                  <w:pPr>
                    <w:pStyle w:val="38"/>
                    <w:rPr>
                      <w:b/>
                      <w:bCs/>
                      <w:color w:val="auto"/>
                      <w:szCs w:val="21"/>
                    </w:rPr>
                  </w:pPr>
                  <w:r>
                    <w:rPr>
                      <w:rFonts w:hint="eastAsia"/>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437" w:type="pct"/>
                  <w:tcBorders>
                    <w:tl2br w:val="nil"/>
                    <w:tr2bl w:val="nil"/>
                  </w:tcBorders>
                  <w:vAlign w:val="center"/>
                </w:tcPr>
                <w:p>
                  <w:pPr>
                    <w:pStyle w:val="38"/>
                    <w:rPr>
                      <w:b/>
                      <w:bCs/>
                      <w:color w:val="auto"/>
                      <w:szCs w:val="21"/>
                    </w:rPr>
                  </w:pPr>
                  <w:r>
                    <w:rPr>
                      <w:rFonts w:hint="eastAsia"/>
                      <w:b/>
                      <w:bCs/>
                      <w:color w:val="auto"/>
                      <w:szCs w:val="21"/>
                    </w:rPr>
                    <w:t>1</w:t>
                  </w:r>
                </w:p>
              </w:tc>
              <w:tc>
                <w:tcPr>
                  <w:tcW w:w="4562" w:type="pct"/>
                  <w:gridSpan w:val="4"/>
                  <w:tcBorders>
                    <w:tl2br w:val="nil"/>
                    <w:tr2bl w:val="nil"/>
                  </w:tcBorders>
                  <w:vAlign w:val="center"/>
                </w:tcPr>
                <w:p>
                  <w:pPr>
                    <w:pStyle w:val="38"/>
                    <w:jc w:val="both"/>
                    <w:rPr>
                      <w:b/>
                      <w:bCs/>
                      <w:color w:val="auto"/>
                      <w:szCs w:val="21"/>
                    </w:rPr>
                  </w:pPr>
                  <w:r>
                    <w:rPr>
                      <w:rFonts w:hint="eastAsia"/>
                      <w:b/>
                      <w:bCs/>
                      <w:color w:val="auto"/>
                      <w:szCs w:val="21"/>
                    </w:rPr>
                    <w:t>中碎筛分、磨粉配料及混捏成型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1.1</w:t>
                  </w:r>
                </w:p>
              </w:tc>
              <w:tc>
                <w:tcPr>
                  <w:tcW w:w="1510" w:type="pct"/>
                  <w:tcBorders>
                    <w:tl2br w:val="nil"/>
                    <w:tr2bl w:val="nil"/>
                  </w:tcBorders>
                  <w:vAlign w:val="center"/>
                </w:tcPr>
                <w:p>
                  <w:pPr>
                    <w:pStyle w:val="38"/>
                    <w:rPr>
                      <w:color w:val="auto"/>
                      <w:szCs w:val="21"/>
                    </w:rPr>
                  </w:pPr>
                  <w:r>
                    <w:rPr>
                      <w:rFonts w:hint="eastAsia"/>
                      <w:color w:val="auto"/>
                      <w:szCs w:val="21"/>
                    </w:rPr>
                    <w:t>针状焦、石油焦中碎筛分系统</w:t>
                  </w:r>
                </w:p>
              </w:tc>
              <w:tc>
                <w:tcPr>
                  <w:tcW w:w="687" w:type="pct"/>
                  <w:tcBorders>
                    <w:tl2br w:val="nil"/>
                    <w:tr2bl w:val="nil"/>
                  </w:tcBorders>
                  <w:vAlign w:val="center"/>
                </w:tcPr>
                <w:p>
                  <w:pPr>
                    <w:pStyle w:val="38"/>
                    <w:rPr>
                      <w:color w:val="auto"/>
                      <w:szCs w:val="21"/>
                    </w:rPr>
                  </w:pPr>
                  <w:r>
                    <w:rPr>
                      <w:rFonts w:hint="eastAsia"/>
                      <w:color w:val="auto"/>
                      <w:szCs w:val="21"/>
                    </w:rPr>
                    <w:t>3</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系统能力10t/h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1.2</w:t>
                  </w:r>
                </w:p>
              </w:tc>
              <w:tc>
                <w:tcPr>
                  <w:tcW w:w="1510" w:type="pct"/>
                  <w:tcBorders>
                    <w:tl2br w:val="nil"/>
                    <w:tr2bl w:val="nil"/>
                  </w:tcBorders>
                  <w:vAlign w:val="center"/>
                </w:tcPr>
                <w:p>
                  <w:pPr>
                    <w:pStyle w:val="38"/>
                    <w:rPr>
                      <w:color w:val="auto"/>
                      <w:szCs w:val="21"/>
                    </w:rPr>
                  </w:pPr>
                  <w:r>
                    <w:rPr>
                      <w:rFonts w:hint="eastAsia"/>
                      <w:color w:val="auto"/>
                      <w:szCs w:val="21"/>
                    </w:rPr>
                    <w:t>返回料中碎筛分系统</w:t>
                  </w:r>
                </w:p>
              </w:tc>
              <w:tc>
                <w:tcPr>
                  <w:tcW w:w="687" w:type="pct"/>
                  <w:tcBorders>
                    <w:tl2br w:val="nil"/>
                    <w:tr2bl w:val="nil"/>
                  </w:tcBorders>
                  <w:vAlign w:val="center"/>
                </w:tcPr>
                <w:p>
                  <w:pPr>
                    <w:pStyle w:val="38"/>
                    <w:rPr>
                      <w:color w:val="auto"/>
                      <w:szCs w:val="21"/>
                    </w:rPr>
                  </w:pPr>
                  <w:r>
                    <w:rPr>
                      <w:rFonts w:hint="eastAsia"/>
                      <w:color w:val="auto"/>
                      <w:szCs w:val="21"/>
                    </w:rPr>
                    <w:t>1</w:t>
                  </w:r>
                </w:p>
              </w:tc>
              <w:tc>
                <w:tcPr>
                  <w:tcW w:w="1304" w:type="pct"/>
                  <w:tcBorders>
                    <w:tl2br w:val="nil"/>
                    <w:tr2bl w:val="nil"/>
                  </w:tcBorders>
                  <w:vAlign w:val="center"/>
                </w:tcPr>
                <w:p>
                  <w:pPr>
                    <w:pStyle w:val="38"/>
                    <w:rPr>
                      <w:color w:val="auto"/>
                      <w:szCs w:val="21"/>
                    </w:rPr>
                  </w:pPr>
                  <w:r>
                    <w:rPr>
                      <w:rFonts w:hint="eastAsia"/>
                      <w:color w:val="auto"/>
                      <w:szCs w:val="21"/>
                    </w:rPr>
                    <w:t>300×2×7</w:t>
                  </w:r>
                </w:p>
              </w:tc>
              <w:tc>
                <w:tcPr>
                  <w:tcW w:w="1061" w:type="pct"/>
                  <w:tcBorders>
                    <w:tl2br w:val="nil"/>
                    <w:tr2bl w:val="nil"/>
                  </w:tcBorders>
                  <w:vAlign w:val="center"/>
                </w:tcPr>
                <w:p>
                  <w:pPr>
                    <w:pStyle w:val="38"/>
                    <w:rPr>
                      <w:color w:val="auto"/>
                      <w:szCs w:val="21"/>
                    </w:rPr>
                  </w:pPr>
                  <w:r>
                    <w:rPr>
                      <w:rFonts w:hint="eastAsia"/>
                      <w:color w:val="auto"/>
                      <w:szCs w:val="21"/>
                      <w:lang w:val="en-US" w:eastAsia="zh-CN"/>
                    </w:rPr>
                    <w:t>系统能力5t/h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1.3</w:t>
                  </w:r>
                </w:p>
              </w:tc>
              <w:tc>
                <w:tcPr>
                  <w:tcW w:w="1510" w:type="pct"/>
                  <w:tcBorders>
                    <w:tl2br w:val="nil"/>
                    <w:tr2bl w:val="nil"/>
                  </w:tcBorders>
                  <w:vAlign w:val="center"/>
                </w:tcPr>
                <w:p>
                  <w:pPr>
                    <w:pStyle w:val="38"/>
                    <w:rPr>
                      <w:color w:val="auto"/>
                      <w:szCs w:val="21"/>
                    </w:rPr>
                  </w:pPr>
                  <w:r>
                    <w:rPr>
                      <w:rFonts w:hint="eastAsia"/>
                      <w:color w:val="auto"/>
                      <w:szCs w:val="21"/>
                    </w:rPr>
                    <w:t>磨粉系统</w:t>
                  </w:r>
                </w:p>
              </w:tc>
              <w:tc>
                <w:tcPr>
                  <w:tcW w:w="687" w:type="pct"/>
                  <w:tcBorders>
                    <w:tl2br w:val="nil"/>
                    <w:tr2bl w:val="nil"/>
                  </w:tcBorders>
                  <w:vAlign w:val="center"/>
                </w:tcPr>
                <w:p>
                  <w:pPr>
                    <w:pStyle w:val="38"/>
                    <w:rPr>
                      <w:color w:val="auto"/>
                      <w:szCs w:val="21"/>
                    </w:rPr>
                  </w:pPr>
                  <w:r>
                    <w:rPr>
                      <w:rFonts w:hint="eastAsia"/>
                      <w:color w:val="auto"/>
                      <w:szCs w:val="21"/>
                    </w:rPr>
                    <w:t>3</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color w:val="auto"/>
                      <w:szCs w:val="21"/>
                    </w:rPr>
                  </w:pPr>
                  <w:r>
                    <w:rPr>
                      <w:rFonts w:hint="eastAsia"/>
                      <w:color w:val="auto"/>
                      <w:szCs w:val="21"/>
                    </w:rPr>
                    <w:t>石油焦1套，针状焦2套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1.4</w:t>
                  </w:r>
                </w:p>
              </w:tc>
              <w:tc>
                <w:tcPr>
                  <w:tcW w:w="1510" w:type="pct"/>
                  <w:tcBorders>
                    <w:tl2br w:val="nil"/>
                    <w:tr2bl w:val="nil"/>
                  </w:tcBorders>
                  <w:vAlign w:val="center"/>
                </w:tcPr>
                <w:p>
                  <w:pPr>
                    <w:pStyle w:val="38"/>
                    <w:rPr>
                      <w:color w:val="auto"/>
                      <w:szCs w:val="21"/>
                    </w:rPr>
                  </w:pPr>
                  <w:r>
                    <w:rPr>
                      <w:rFonts w:hint="eastAsia"/>
                      <w:color w:val="auto"/>
                      <w:szCs w:val="21"/>
                    </w:rPr>
                    <w:t>配料系统</w:t>
                  </w:r>
                </w:p>
              </w:tc>
              <w:tc>
                <w:tcPr>
                  <w:tcW w:w="687" w:type="pct"/>
                  <w:tcBorders>
                    <w:tl2br w:val="nil"/>
                    <w:tr2bl w:val="nil"/>
                  </w:tcBorders>
                  <w:vAlign w:val="center"/>
                </w:tcPr>
                <w:p>
                  <w:pPr>
                    <w:pStyle w:val="38"/>
                    <w:rPr>
                      <w:color w:val="auto"/>
                      <w:szCs w:val="21"/>
                    </w:rPr>
                  </w:pPr>
                  <w:r>
                    <w:rPr>
                      <w:rFonts w:hint="eastAsia"/>
                      <w:color w:val="auto"/>
                      <w:szCs w:val="21"/>
                    </w:rPr>
                    <w:t>1</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color w:val="auto"/>
                      <w:szCs w:val="21"/>
                    </w:rPr>
                  </w:pPr>
                  <w:r>
                    <w:rPr>
                      <w:rFonts w:hint="eastAsia"/>
                      <w:color w:val="auto"/>
                      <w:szCs w:val="21"/>
                      <w:lang w:val="en-US" w:eastAsia="zh-CN"/>
                    </w:rPr>
                    <w:t>系统能力10t/h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1.5</w:t>
                  </w:r>
                </w:p>
              </w:tc>
              <w:tc>
                <w:tcPr>
                  <w:tcW w:w="1510" w:type="pct"/>
                  <w:tcBorders>
                    <w:tl2br w:val="nil"/>
                    <w:tr2bl w:val="nil"/>
                  </w:tcBorders>
                  <w:vAlign w:val="center"/>
                </w:tcPr>
                <w:p>
                  <w:pPr>
                    <w:pStyle w:val="38"/>
                    <w:rPr>
                      <w:color w:val="auto"/>
                      <w:szCs w:val="21"/>
                    </w:rPr>
                  </w:pPr>
                  <w:r>
                    <w:rPr>
                      <w:rFonts w:hint="eastAsia"/>
                      <w:color w:val="auto"/>
                      <w:szCs w:val="21"/>
                    </w:rPr>
                    <w:t>混捏系统—4000L预热锅+4000L混捏锅+4000L冷却锅</w:t>
                  </w:r>
                </w:p>
              </w:tc>
              <w:tc>
                <w:tcPr>
                  <w:tcW w:w="687" w:type="pct"/>
                  <w:tcBorders>
                    <w:tl2br w:val="nil"/>
                    <w:tr2bl w:val="nil"/>
                  </w:tcBorders>
                  <w:vAlign w:val="center"/>
                </w:tcPr>
                <w:p>
                  <w:pPr>
                    <w:pStyle w:val="38"/>
                    <w:rPr>
                      <w:color w:val="auto"/>
                      <w:szCs w:val="21"/>
                    </w:rPr>
                  </w:pPr>
                  <w:r>
                    <w:rPr>
                      <w:rFonts w:hint="eastAsia"/>
                      <w:color w:val="auto"/>
                      <w:szCs w:val="21"/>
                    </w:rPr>
                    <w:t>3</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rFonts w:hint="eastAsia"/>
                      <w:color w:val="auto"/>
                      <w:szCs w:val="21"/>
                    </w:rPr>
                  </w:pPr>
                  <w:r>
                    <w:rPr>
                      <w:rFonts w:hint="eastAsia"/>
                      <w:color w:val="auto"/>
                      <w:szCs w:val="21"/>
                    </w:rPr>
                    <w:t>与两台压机</w:t>
                  </w:r>
                </w:p>
                <w:p>
                  <w:pPr>
                    <w:pStyle w:val="38"/>
                    <w:rPr>
                      <w:color w:val="auto"/>
                      <w:szCs w:val="21"/>
                    </w:rPr>
                  </w:pPr>
                  <w:r>
                    <w:rPr>
                      <w:rFonts w:hint="eastAsia"/>
                      <w:color w:val="auto"/>
                      <w:szCs w:val="21"/>
                    </w:rPr>
                    <w:t>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1.6</w:t>
                  </w:r>
                </w:p>
              </w:tc>
              <w:tc>
                <w:tcPr>
                  <w:tcW w:w="1510" w:type="pct"/>
                  <w:tcBorders>
                    <w:tl2br w:val="nil"/>
                    <w:tr2bl w:val="nil"/>
                  </w:tcBorders>
                  <w:vAlign w:val="center"/>
                </w:tcPr>
                <w:p>
                  <w:pPr>
                    <w:pStyle w:val="38"/>
                    <w:rPr>
                      <w:color w:val="auto"/>
                      <w:szCs w:val="21"/>
                    </w:rPr>
                  </w:pPr>
                  <w:r>
                    <w:rPr>
                      <w:rFonts w:hint="eastAsia"/>
                      <w:color w:val="auto"/>
                      <w:szCs w:val="21"/>
                    </w:rPr>
                    <w:t>成型系统</w:t>
                  </w:r>
                </w:p>
              </w:tc>
              <w:tc>
                <w:tcPr>
                  <w:tcW w:w="687" w:type="pct"/>
                  <w:tcBorders>
                    <w:tl2br w:val="nil"/>
                    <w:tr2bl w:val="nil"/>
                  </w:tcBorders>
                  <w:vAlign w:val="center"/>
                </w:tcPr>
                <w:p>
                  <w:pPr>
                    <w:pStyle w:val="38"/>
                    <w:rPr>
                      <w:color w:val="auto"/>
                      <w:szCs w:val="21"/>
                    </w:rPr>
                  </w:pPr>
                  <w:r>
                    <w:rPr>
                      <w:rFonts w:hint="eastAsia"/>
                      <w:color w:val="auto"/>
                      <w:szCs w:val="21"/>
                    </w:rPr>
                    <w:t>2</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tcBorders>
                    <w:tl2br w:val="nil"/>
                    <w:tr2bl w:val="nil"/>
                  </w:tcBorders>
                  <w:vAlign w:val="center"/>
                </w:tcPr>
                <w:p>
                  <w:pPr>
                    <w:pStyle w:val="38"/>
                    <w:rPr>
                      <w:color w:val="auto"/>
                      <w:szCs w:val="21"/>
                    </w:rPr>
                  </w:pPr>
                  <w:r>
                    <w:rPr>
                      <w:rFonts w:hint="eastAsia"/>
                      <w:color w:val="auto"/>
                      <w:szCs w:val="21"/>
                    </w:rPr>
                    <w:t>1.6.1</w:t>
                  </w:r>
                </w:p>
              </w:tc>
              <w:tc>
                <w:tcPr>
                  <w:tcW w:w="1510" w:type="pct"/>
                  <w:tcBorders>
                    <w:tl2br w:val="nil"/>
                    <w:tr2bl w:val="nil"/>
                  </w:tcBorders>
                  <w:vAlign w:val="center"/>
                </w:tcPr>
                <w:p>
                  <w:pPr>
                    <w:pStyle w:val="38"/>
                    <w:rPr>
                      <w:color w:val="auto"/>
                      <w:szCs w:val="21"/>
                    </w:rPr>
                  </w:pPr>
                  <w:r>
                    <w:rPr>
                      <w:rFonts w:hint="eastAsia"/>
                      <w:color w:val="auto"/>
                      <w:szCs w:val="21"/>
                    </w:rPr>
                    <w:t>3500t成型机</w:t>
                  </w:r>
                </w:p>
              </w:tc>
              <w:tc>
                <w:tcPr>
                  <w:tcW w:w="687" w:type="pct"/>
                  <w:tcBorders>
                    <w:tl2br w:val="nil"/>
                    <w:tr2bl w:val="nil"/>
                  </w:tcBorders>
                  <w:vAlign w:val="center"/>
                </w:tcPr>
                <w:p>
                  <w:pPr>
                    <w:pStyle w:val="38"/>
                    <w:rPr>
                      <w:color w:val="auto"/>
                      <w:szCs w:val="21"/>
                    </w:rPr>
                  </w:pPr>
                  <w:r>
                    <w:rPr>
                      <w:rFonts w:hint="eastAsia"/>
                      <w:color w:val="auto"/>
                      <w:szCs w:val="21"/>
                    </w:rPr>
                    <w:t>1</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1.6.2</w:t>
                  </w:r>
                </w:p>
              </w:tc>
              <w:tc>
                <w:tcPr>
                  <w:tcW w:w="1510" w:type="pct"/>
                  <w:tcBorders>
                    <w:tl2br w:val="nil"/>
                    <w:tr2bl w:val="nil"/>
                  </w:tcBorders>
                  <w:vAlign w:val="center"/>
                </w:tcPr>
                <w:p>
                  <w:pPr>
                    <w:pStyle w:val="38"/>
                    <w:rPr>
                      <w:color w:val="auto"/>
                      <w:szCs w:val="21"/>
                    </w:rPr>
                  </w:pPr>
                  <w:r>
                    <w:rPr>
                      <w:rFonts w:hint="eastAsia"/>
                      <w:color w:val="auto"/>
                      <w:szCs w:val="21"/>
                    </w:rPr>
                    <w:t>2500t成型机</w:t>
                  </w:r>
                </w:p>
              </w:tc>
              <w:tc>
                <w:tcPr>
                  <w:tcW w:w="687" w:type="pct"/>
                  <w:tcBorders>
                    <w:tl2br w:val="nil"/>
                    <w:tr2bl w:val="nil"/>
                  </w:tcBorders>
                  <w:vAlign w:val="center"/>
                </w:tcPr>
                <w:p>
                  <w:pPr>
                    <w:pStyle w:val="38"/>
                    <w:rPr>
                      <w:color w:val="auto"/>
                      <w:szCs w:val="21"/>
                    </w:rPr>
                  </w:pPr>
                  <w:r>
                    <w:rPr>
                      <w:rFonts w:hint="eastAsia"/>
                      <w:color w:val="auto"/>
                      <w:szCs w:val="21"/>
                    </w:rPr>
                    <w:t>1</w:t>
                  </w:r>
                </w:p>
              </w:tc>
              <w:tc>
                <w:tcPr>
                  <w:tcW w:w="1304" w:type="pct"/>
                  <w:tcBorders>
                    <w:tl2br w:val="nil"/>
                    <w:tr2bl w:val="nil"/>
                  </w:tcBorders>
                  <w:vAlign w:val="center"/>
                </w:tcPr>
                <w:p>
                  <w:pPr>
                    <w:pStyle w:val="38"/>
                    <w:rPr>
                      <w:color w:val="auto"/>
                      <w:szCs w:val="21"/>
                    </w:rPr>
                  </w:pPr>
                  <w:r>
                    <w:rPr>
                      <w:rFonts w:hint="eastAsia"/>
                      <w:color w:val="auto"/>
                      <w:szCs w:val="21"/>
                    </w:rPr>
                    <w:t>300×3×7</w:t>
                  </w:r>
                </w:p>
              </w:tc>
              <w:tc>
                <w:tcPr>
                  <w:tcW w:w="1061" w:type="pc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b/>
                      <w:bCs/>
                      <w:color w:val="auto"/>
                      <w:szCs w:val="21"/>
                    </w:rPr>
                  </w:pPr>
                  <w:r>
                    <w:rPr>
                      <w:rFonts w:hint="eastAsia"/>
                      <w:b/>
                      <w:bCs/>
                      <w:color w:val="auto"/>
                      <w:szCs w:val="21"/>
                    </w:rPr>
                    <w:t>2</w:t>
                  </w:r>
                </w:p>
              </w:tc>
              <w:tc>
                <w:tcPr>
                  <w:tcW w:w="4562" w:type="pct"/>
                  <w:gridSpan w:val="4"/>
                  <w:tcBorders>
                    <w:tl2br w:val="nil"/>
                    <w:tr2bl w:val="nil"/>
                  </w:tcBorders>
                  <w:vAlign w:val="center"/>
                </w:tcPr>
                <w:p>
                  <w:pPr>
                    <w:pStyle w:val="38"/>
                    <w:jc w:val="both"/>
                    <w:rPr>
                      <w:b/>
                      <w:bCs/>
                      <w:color w:val="auto"/>
                      <w:szCs w:val="21"/>
                    </w:rPr>
                  </w:pPr>
                  <w:r>
                    <w:rPr>
                      <w:rFonts w:hint="eastAsia"/>
                      <w:b/>
                      <w:bCs/>
                      <w:color w:val="auto"/>
                      <w:szCs w:val="21"/>
                    </w:rPr>
                    <w:t>石墨化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2.1</w:t>
                  </w:r>
                </w:p>
              </w:tc>
              <w:tc>
                <w:tcPr>
                  <w:tcW w:w="1510" w:type="pct"/>
                  <w:tcBorders>
                    <w:tl2br w:val="nil"/>
                    <w:tr2bl w:val="nil"/>
                  </w:tcBorders>
                  <w:vAlign w:val="center"/>
                </w:tcPr>
                <w:p>
                  <w:pPr>
                    <w:pStyle w:val="38"/>
                    <w:rPr>
                      <w:color w:val="auto"/>
                      <w:szCs w:val="21"/>
                    </w:rPr>
                  </w:pPr>
                  <w:r>
                    <w:rPr>
                      <w:rFonts w:hint="eastAsia"/>
                      <w:color w:val="auto"/>
                      <w:szCs w:val="21"/>
                    </w:rPr>
                    <w:t>串接石墨化炉</w:t>
                  </w:r>
                </w:p>
              </w:tc>
              <w:tc>
                <w:tcPr>
                  <w:tcW w:w="687" w:type="pct"/>
                  <w:tcBorders>
                    <w:tl2br w:val="nil"/>
                    <w:tr2bl w:val="nil"/>
                  </w:tcBorders>
                  <w:vAlign w:val="center"/>
                </w:tcPr>
                <w:p>
                  <w:pPr>
                    <w:pStyle w:val="38"/>
                    <w:rPr>
                      <w:color w:val="auto"/>
                      <w:szCs w:val="21"/>
                    </w:rPr>
                  </w:pPr>
                  <w:r>
                    <w:rPr>
                      <w:rFonts w:hint="eastAsia"/>
                      <w:color w:val="auto"/>
                      <w:szCs w:val="21"/>
                    </w:rPr>
                    <w:t>2组，每组9台</w:t>
                  </w:r>
                </w:p>
              </w:tc>
              <w:tc>
                <w:tcPr>
                  <w:tcW w:w="1304" w:type="pct"/>
                  <w:tcBorders>
                    <w:tl2br w:val="nil"/>
                    <w:tr2bl w:val="nil"/>
                  </w:tcBorders>
                  <w:vAlign w:val="center"/>
                </w:tcPr>
                <w:p>
                  <w:pPr>
                    <w:pStyle w:val="38"/>
                    <w:rPr>
                      <w:color w:val="auto"/>
                      <w:szCs w:val="21"/>
                    </w:rPr>
                  </w:pPr>
                  <w:r>
                    <w:rPr>
                      <w:rFonts w:hint="eastAsia"/>
                      <w:color w:val="auto"/>
                      <w:szCs w:val="21"/>
                    </w:rPr>
                    <w:t>300×3×8</w:t>
                  </w:r>
                </w:p>
              </w:tc>
              <w:tc>
                <w:tcPr>
                  <w:tcW w:w="1061"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每组生产能力为50t/d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b/>
                      <w:bCs/>
                      <w:color w:val="auto"/>
                      <w:szCs w:val="21"/>
                    </w:rPr>
                  </w:pPr>
                  <w:r>
                    <w:rPr>
                      <w:rFonts w:hint="eastAsia"/>
                      <w:b/>
                      <w:bCs/>
                      <w:color w:val="auto"/>
                      <w:szCs w:val="21"/>
                    </w:rPr>
                    <w:t>3</w:t>
                  </w:r>
                </w:p>
              </w:tc>
              <w:tc>
                <w:tcPr>
                  <w:tcW w:w="4562" w:type="pct"/>
                  <w:gridSpan w:val="4"/>
                  <w:tcBorders>
                    <w:tl2br w:val="nil"/>
                    <w:tr2bl w:val="nil"/>
                  </w:tcBorders>
                  <w:vAlign w:val="center"/>
                </w:tcPr>
                <w:p>
                  <w:pPr>
                    <w:pStyle w:val="38"/>
                    <w:jc w:val="both"/>
                    <w:rPr>
                      <w:color w:val="auto"/>
                      <w:szCs w:val="21"/>
                    </w:rPr>
                  </w:pPr>
                  <w:r>
                    <w:rPr>
                      <w:rFonts w:hint="eastAsia"/>
                      <w:b/>
                      <w:bCs/>
                      <w:color w:val="auto"/>
                      <w:szCs w:val="21"/>
                    </w:rPr>
                    <w:t>加工机组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3.1</w:t>
                  </w:r>
                </w:p>
              </w:tc>
              <w:tc>
                <w:tcPr>
                  <w:tcW w:w="1510" w:type="pct"/>
                  <w:tcBorders>
                    <w:tl2br w:val="nil"/>
                    <w:tr2bl w:val="nil"/>
                  </w:tcBorders>
                  <w:vAlign w:val="center"/>
                </w:tcPr>
                <w:p>
                  <w:pPr>
                    <w:pStyle w:val="38"/>
                    <w:rPr>
                      <w:color w:val="auto"/>
                      <w:szCs w:val="21"/>
                    </w:rPr>
                  </w:pPr>
                  <w:r>
                    <w:rPr>
                      <w:rFonts w:hint="eastAsia"/>
                      <w:color w:val="auto"/>
                      <w:szCs w:val="21"/>
                    </w:rPr>
                    <w:t>电极加工机组</w:t>
                  </w:r>
                </w:p>
              </w:tc>
              <w:tc>
                <w:tcPr>
                  <w:tcW w:w="687" w:type="pct"/>
                  <w:tcBorders>
                    <w:tl2br w:val="nil"/>
                    <w:tr2bl w:val="nil"/>
                  </w:tcBorders>
                  <w:vAlign w:val="center"/>
                </w:tcPr>
                <w:p>
                  <w:pPr>
                    <w:pStyle w:val="38"/>
                    <w:rPr>
                      <w:color w:val="auto"/>
                      <w:szCs w:val="21"/>
                    </w:rPr>
                  </w:pPr>
                  <w:r>
                    <w:rPr>
                      <w:rFonts w:hint="eastAsia"/>
                      <w:color w:val="auto"/>
                      <w:szCs w:val="21"/>
                    </w:rPr>
                    <w:t>1套</w:t>
                  </w:r>
                </w:p>
              </w:tc>
              <w:tc>
                <w:tcPr>
                  <w:tcW w:w="1304" w:type="pct"/>
                  <w:tcBorders>
                    <w:tl2br w:val="nil"/>
                    <w:tr2bl w:val="nil"/>
                  </w:tcBorders>
                  <w:vAlign w:val="center"/>
                </w:tcPr>
                <w:p>
                  <w:pPr>
                    <w:pStyle w:val="38"/>
                    <w:rPr>
                      <w:color w:val="auto"/>
                      <w:szCs w:val="21"/>
                    </w:rPr>
                  </w:pPr>
                  <w:r>
                    <w:rPr>
                      <w:rFonts w:hint="eastAsia"/>
                      <w:color w:val="auto"/>
                      <w:szCs w:val="21"/>
                    </w:rPr>
                    <w:t>300×2×8</w:t>
                  </w:r>
                </w:p>
              </w:tc>
              <w:tc>
                <w:tcPr>
                  <w:tcW w:w="1061" w:type="pc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color w:val="auto"/>
                      <w:szCs w:val="21"/>
                    </w:rPr>
                  </w:pPr>
                  <w:r>
                    <w:rPr>
                      <w:rFonts w:hint="eastAsia"/>
                      <w:color w:val="auto"/>
                      <w:szCs w:val="21"/>
                    </w:rPr>
                    <w:t>3.2</w:t>
                  </w:r>
                </w:p>
              </w:tc>
              <w:tc>
                <w:tcPr>
                  <w:tcW w:w="1510" w:type="pct"/>
                  <w:tcBorders>
                    <w:tl2br w:val="nil"/>
                    <w:tr2bl w:val="nil"/>
                  </w:tcBorders>
                  <w:vAlign w:val="center"/>
                </w:tcPr>
                <w:p>
                  <w:pPr>
                    <w:pStyle w:val="38"/>
                    <w:rPr>
                      <w:color w:val="auto"/>
                      <w:szCs w:val="21"/>
                    </w:rPr>
                  </w:pPr>
                  <w:r>
                    <w:rPr>
                      <w:rFonts w:hint="eastAsia"/>
                      <w:color w:val="auto"/>
                      <w:szCs w:val="21"/>
                    </w:rPr>
                    <w:t>接头加工机组</w:t>
                  </w:r>
                </w:p>
              </w:tc>
              <w:tc>
                <w:tcPr>
                  <w:tcW w:w="687" w:type="pct"/>
                  <w:tcBorders>
                    <w:tl2br w:val="nil"/>
                    <w:tr2bl w:val="nil"/>
                  </w:tcBorders>
                  <w:vAlign w:val="center"/>
                </w:tcPr>
                <w:p>
                  <w:pPr>
                    <w:pStyle w:val="38"/>
                    <w:rPr>
                      <w:color w:val="auto"/>
                      <w:szCs w:val="21"/>
                    </w:rPr>
                  </w:pPr>
                  <w:r>
                    <w:rPr>
                      <w:rFonts w:hint="eastAsia"/>
                      <w:color w:val="auto"/>
                      <w:szCs w:val="21"/>
                    </w:rPr>
                    <w:t>1套</w:t>
                  </w:r>
                </w:p>
              </w:tc>
              <w:tc>
                <w:tcPr>
                  <w:tcW w:w="1304" w:type="pct"/>
                  <w:tcBorders>
                    <w:tl2br w:val="nil"/>
                    <w:tr2bl w:val="nil"/>
                  </w:tcBorders>
                  <w:vAlign w:val="center"/>
                </w:tcPr>
                <w:p>
                  <w:pPr>
                    <w:pStyle w:val="38"/>
                    <w:rPr>
                      <w:color w:val="auto"/>
                      <w:szCs w:val="21"/>
                    </w:rPr>
                  </w:pPr>
                  <w:r>
                    <w:rPr>
                      <w:rFonts w:hint="eastAsia"/>
                      <w:color w:val="auto"/>
                      <w:szCs w:val="21"/>
                    </w:rPr>
                    <w:t>300×2×8</w:t>
                  </w:r>
                </w:p>
              </w:tc>
              <w:tc>
                <w:tcPr>
                  <w:tcW w:w="1061" w:type="pct"/>
                  <w:tcBorders>
                    <w:tl2br w:val="nil"/>
                    <w:tr2bl w:val="nil"/>
                  </w:tcBorders>
                  <w:vAlign w:val="center"/>
                </w:tcPr>
                <w:p>
                  <w:pPr>
                    <w:pStyle w:val="38"/>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rFonts w:hint="eastAsia" w:eastAsia="宋体"/>
                      <w:b/>
                      <w:bCs/>
                      <w:color w:val="auto"/>
                      <w:szCs w:val="21"/>
                      <w:lang w:val="en-US" w:eastAsia="zh-CN"/>
                    </w:rPr>
                  </w:pPr>
                  <w:r>
                    <w:rPr>
                      <w:rFonts w:hint="eastAsia"/>
                      <w:b/>
                      <w:bCs/>
                      <w:color w:val="auto"/>
                      <w:szCs w:val="21"/>
                      <w:lang w:val="en-US" w:eastAsia="zh-CN"/>
                    </w:rPr>
                    <w:t>4</w:t>
                  </w:r>
                </w:p>
              </w:tc>
              <w:tc>
                <w:tcPr>
                  <w:tcW w:w="4562" w:type="pct"/>
                  <w:gridSpan w:val="4"/>
                  <w:tcBorders>
                    <w:tl2br w:val="nil"/>
                    <w:tr2bl w:val="nil"/>
                  </w:tcBorders>
                  <w:vAlign w:val="center"/>
                </w:tcPr>
                <w:p>
                  <w:pPr>
                    <w:pStyle w:val="38"/>
                    <w:jc w:val="both"/>
                    <w:rPr>
                      <w:rFonts w:hint="default" w:eastAsia="宋体"/>
                      <w:b/>
                      <w:bCs/>
                      <w:color w:val="auto"/>
                      <w:szCs w:val="21"/>
                      <w:lang w:val="en-US" w:eastAsia="zh-CN"/>
                    </w:rPr>
                  </w:pPr>
                  <w:r>
                    <w:rPr>
                      <w:rFonts w:hint="eastAsia"/>
                      <w:b/>
                      <w:bCs/>
                      <w:color w:val="auto"/>
                      <w:szCs w:val="21"/>
                      <w:lang w:val="en-US" w:eastAsia="zh-CN"/>
                    </w:rPr>
                    <w:t>沥青加热系统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pct"/>
                  <w:tcBorders>
                    <w:tl2br w:val="nil"/>
                    <w:tr2bl w:val="nil"/>
                  </w:tcBorders>
                  <w:vAlign w:val="center"/>
                </w:tcPr>
                <w:p>
                  <w:pPr>
                    <w:pStyle w:val="38"/>
                    <w:rPr>
                      <w:rFonts w:hint="default"/>
                      <w:color w:val="auto"/>
                      <w:szCs w:val="21"/>
                      <w:lang w:val="en-US" w:eastAsia="zh-CN"/>
                    </w:rPr>
                  </w:pPr>
                  <w:r>
                    <w:rPr>
                      <w:rFonts w:hint="eastAsia"/>
                      <w:color w:val="auto"/>
                      <w:szCs w:val="21"/>
                      <w:lang w:val="en-US" w:eastAsia="zh-CN"/>
                    </w:rPr>
                    <w:t>4.1</w:t>
                  </w:r>
                </w:p>
              </w:tc>
              <w:tc>
                <w:tcPr>
                  <w:tcW w:w="1510"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导热油炉</w:t>
                  </w:r>
                </w:p>
              </w:tc>
              <w:tc>
                <w:tcPr>
                  <w:tcW w:w="687"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1台</w:t>
                  </w:r>
                </w:p>
              </w:tc>
              <w:tc>
                <w:tcPr>
                  <w:tcW w:w="1304" w:type="pct"/>
                  <w:tcBorders>
                    <w:tl2br w:val="nil"/>
                    <w:tr2bl w:val="nil"/>
                  </w:tcBorders>
                  <w:vAlign w:val="center"/>
                </w:tcPr>
                <w:p>
                  <w:pPr>
                    <w:pStyle w:val="38"/>
                    <w:rPr>
                      <w:rFonts w:hint="eastAsia"/>
                      <w:color w:val="auto"/>
                      <w:szCs w:val="21"/>
                    </w:rPr>
                  </w:pPr>
                  <w:r>
                    <w:rPr>
                      <w:rFonts w:hint="eastAsia"/>
                      <w:color w:val="auto"/>
                      <w:szCs w:val="21"/>
                    </w:rPr>
                    <w:t>240万大卡</w:t>
                  </w:r>
                </w:p>
              </w:tc>
              <w:tc>
                <w:tcPr>
                  <w:tcW w:w="1061" w:type="pct"/>
                  <w:tcBorders>
                    <w:tl2br w:val="nil"/>
                    <w:tr2bl w:val="nil"/>
                  </w:tcBorders>
                  <w:vAlign w:val="center"/>
                </w:tcPr>
                <w:p>
                  <w:pPr>
                    <w:pStyle w:val="38"/>
                    <w:rPr>
                      <w:rFonts w:hint="eastAsia" w:eastAsia="宋体"/>
                      <w:color w:val="auto"/>
                      <w:szCs w:val="21"/>
                      <w:lang w:val="en-US" w:eastAsia="zh-CN"/>
                    </w:rPr>
                  </w:pPr>
                  <w:r>
                    <w:rPr>
                      <w:rFonts w:hint="eastAsia"/>
                      <w:color w:val="auto"/>
                      <w:szCs w:val="21"/>
                      <w:lang w:val="en-US" w:eastAsia="zh-CN"/>
                    </w:rPr>
                    <w:t>/</w:t>
                  </w: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36" w:lineRule="auto"/>
              <w:ind w:firstLine="482" w:firstLineChars="200"/>
              <w:textAlignment w:val="auto"/>
              <w:rPr>
                <w:rFonts w:cs="宋体"/>
                <w:b/>
                <w:color w:val="auto"/>
                <w:sz w:val="24"/>
              </w:rPr>
            </w:pPr>
            <w:r>
              <w:rPr>
                <w:rFonts w:hint="eastAsia" w:cs="宋体"/>
                <w:b/>
                <w:color w:val="auto"/>
                <w:sz w:val="24"/>
              </w:rPr>
              <w:t>原辅材料使用情况</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ascii="仿宋_GB2312" w:eastAsia="仿宋_GB2312"/>
                <w:color w:val="auto"/>
                <w:sz w:val="28"/>
                <w:szCs w:val="28"/>
              </w:rPr>
            </w:pPr>
            <w:r>
              <w:rPr>
                <w:rFonts w:hint="eastAsia"/>
                <w:color w:val="auto"/>
                <w:sz w:val="24"/>
              </w:rPr>
              <w:t>本工程产品为高品质的超高功率石墨电极，生产原料主要为针状焦、煅后石油焦和沥青；冶金焦作为石墨化工艺的填充料和保温料，需定期补充。本工程原辅材料用量见下表</w:t>
            </w:r>
            <w:r>
              <w:rPr>
                <w:rFonts w:hint="eastAsia"/>
                <w:color w:val="auto"/>
                <w:sz w:val="24"/>
                <w:lang w:val="en-US" w:eastAsia="zh-CN"/>
              </w:rPr>
              <w:t>7</w:t>
            </w:r>
            <w:r>
              <w:rPr>
                <w:rFonts w:hint="eastAsia"/>
                <w:color w:val="auto"/>
                <w:sz w:val="24"/>
              </w:rPr>
              <w:t>。</w:t>
            </w:r>
          </w:p>
          <w:p>
            <w:pPr>
              <w:adjustRightInd w:val="0"/>
              <w:snapToGrid w:val="0"/>
              <w:spacing w:line="420" w:lineRule="exact"/>
              <w:ind w:firstLine="482" w:firstLineChars="200"/>
              <w:jc w:val="center"/>
              <w:rPr>
                <w:b/>
                <w:bCs/>
                <w:color w:val="auto"/>
                <w:sz w:val="24"/>
              </w:rPr>
            </w:pPr>
            <w:r>
              <w:rPr>
                <w:rFonts w:hint="eastAsia"/>
                <w:b/>
                <w:bCs/>
                <w:color w:val="auto"/>
                <w:sz w:val="24"/>
              </w:rPr>
              <w:t>表</w:t>
            </w:r>
            <w:r>
              <w:rPr>
                <w:rFonts w:hint="eastAsia"/>
                <w:b/>
                <w:bCs/>
                <w:color w:val="auto"/>
                <w:sz w:val="24"/>
                <w:lang w:val="en-US" w:eastAsia="zh-CN"/>
              </w:rPr>
              <w:t>7</w:t>
            </w:r>
            <w:r>
              <w:rPr>
                <w:rFonts w:hint="eastAsia"/>
                <w:b/>
                <w:bCs/>
                <w:color w:val="auto"/>
                <w:sz w:val="24"/>
              </w:rPr>
              <w:t xml:space="preserve"> 本工程主要原辅材料用量</w:t>
            </w:r>
          </w:p>
          <w:tbl>
            <w:tblPr>
              <w:tblStyle w:val="2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1299"/>
              <w:gridCol w:w="1317"/>
              <w:gridCol w:w="1408"/>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6" w:type="pct"/>
                  <w:tcBorders>
                    <w:tl2br w:val="nil"/>
                    <w:tr2bl w:val="nil"/>
                  </w:tcBorders>
                  <w:vAlign w:val="center"/>
                </w:tcPr>
                <w:p>
                  <w:pPr>
                    <w:pStyle w:val="38"/>
                    <w:rPr>
                      <w:color w:val="auto"/>
                      <w:szCs w:val="21"/>
                    </w:rPr>
                  </w:pPr>
                  <w:r>
                    <w:rPr>
                      <w:rFonts w:hint="eastAsia"/>
                      <w:color w:val="auto"/>
                      <w:szCs w:val="21"/>
                    </w:rPr>
                    <w:t>品种</w:t>
                  </w:r>
                </w:p>
              </w:tc>
              <w:tc>
                <w:tcPr>
                  <w:tcW w:w="828" w:type="pct"/>
                  <w:tcBorders>
                    <w:tl2br w:val="nil"/>
                    <w:tr2bl w:val="nil"/>
                  </w:tcBorders>
                  <w:vAlign w:val="center"/>
                </w:tcPr>
                <w:p>
                  <w:pPr>
                    <w:pStyle w:val="38"/>
                    <w:rPr>
                      <w:color w:val="auto"/>
                      <w:szCs w:val="21"/>
                    </w:rPr>
                  </w:pPr>
                  <w:r>
                    <w:rPr>
                      <w:rFonts w:hint="eastAsia"/>
                      <w:color w:val="auto"/>
                      <w:szCs w:val="21"/>
                    </w:rPr>
                    <w:t>单位</w:t>
                  </w:r>
                </w:p>
              </w:tc>
              <w:tc>
                <w:tcPr>
                  <w:tcW w:w="840" w:type="pct"/>
                  <w:tcBorders>
                    <w:tl2br w:val="nil"/>
                    <w:tr2bl w:val="nil"/>
                  </w:tcBorders>
                  <w:vAlign w:val="center"/>
                </w:tcPr>
                <w:p>
                  <w:pPr>
                    <w:pStyle w:val="38"/>
                    <w:rPr>
                      <w:color w:val="auto"/>
                      <w:szCs w:val="21"/>
                    </w:rPr>
                  </w:pPr>
                  <w:r>
                    <w:rPr>
                      <w:rFonts w:hint="eastAsia"/>
                      <w:color w:val="auto"/>
                      <w:szCs w:val="21"/>
                    </w:rPr>
                    <w:t>消耗量</w:t>
                  </w:r>
                </w:p>
              </w:tc>
              <w:tc>
                <w:tcPr>
                  <w:tcW w:w="898"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存储方式</w:t>
                  </w:r>
                </w:p>
              </w:tc>
              <w:tc>
                <w:tcPr>
                  <w:tcW w:w="865"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最大存储量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6" w:type="pct"/>
                  <w:tcBorders>
                    <w:tl2br w:val="nil"/>
                    <w:tr2bl w:val="nil"/>
                  </w:tcBorders>
                  <w:vAlign w:val="center"/>
                </w:tcPr>
                <w:p>
                  <w:pPr>
                    <w:pStyle w:val="38"/>
                    <w:rPr>
                      <w:color w:val="auto"/>
                      <w:szCs w:val="21"/>
                    </w:rPr>
                  </w:pPr>
                  <w:r>
                    <w:rPr>
                      <w:rFonts w:hint="eastAsia"/>
                      <w:color w:val="auto"/>
                      <w:szCs w:val="21"/>
                    </w:rPr>
                    <w:t>针状焦</w:t>
                  </w:r>
                </w:p>
              </w:tc>
              <w:tc>
                <w:tcPr>
                  <w:tcW w:w="828" w:type="pct"/>
                  <w:tcBorders>
                    <w:tl2br w:val="nil"/>
                    <w:tr2bl w:val="nil"/>
                  </w:tcBorders>
                  <w:vAlign w:val="center"/>
                </w:tcPr>
                <w:p>
                  <w:pPr>
                    <w:pStyle w:val="38"/>
                    <w:rPr>
                      <w:color w:val="auto"/>
                      <w:szCs w:val="21"/>
                    </w:rPr>
                  </w:pPr>
                  <w:r>
                    <w:rPr>
                      <w:rFonts w:hint="eastAsia"/>
                      <w:color w:val="auto"/>
                      <w:szCs w:val="21"/>
                    </w:rPr>
                    <w:t>t/a</w:t>
                  </w:r>
                </w:p>
              </w:tc>
              <w:tc>
                <w:tcPr>
                  <w:tcW w:w="840" w:type="pct"/>
                  <w:tcBorders>
                    <w:tl2br w:val="nil"/>
                    <w:tr2bl w:val="nil"/>
                  </w:tcBorders>
                  <w:vAlign w:val="center"/>
                </w:tcPr>
                <w:p>
                  <w:pPr>
                    <w:pStyle w:val="38"/>
                    <w:rPr>
                      <w:color w:val="auto"/>
                      <w:szCs w:val="21"/>
                    </w:rPr>
                  </w:pPr>
                  <w:r>
                    <w:rPr>
                      <w:rFonts w:hint="eastAsia"/>
                      <w:color w:val="auto"/>
                      <w:szCs w:val="21"/>
                    </w:rPr>
                    <w:t>25055</w:t>
                  </w:r>
                </w:p>
              </w:tc>
              <w:tc>
                <w:tcPr>
                  <w:tcW w:w="898"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料仓</w:t>
                  </w:r>
                </w:p>
              </w:tc>
              <w:tc>
                <w:tcPr>
                  <w:tcW w:w="865"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600t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6" w:type="pct"/>
                  <w:tcBorders>
                    <w:tl2br w:val="nil"/>
                    <w:tr2bl w:val="nil"/>
                  </w:tcBorders>
                  <w:shd w:val="clear" w:color="auto" w:fill="auto"/>
                </w:tcPr>
                <w:p>
                  <w:pPr>
                    <w:pStyle w:val="38"/>
                    <w:rPr>
                      <w:color w:val="auto"/>
                      <w:szCs w:val="21"/>
                    </w:rPr>
                  </w:pPr>
                  <w:bookmarkStart w:id="3" w:name="OLE_LINK14" w:colFirst="3" w:colLast="3"/>
                  <w:bookmarkStart w:id="4" w:name="OLE_LINK13" w:colFirst="3" w:colLast="3"/>
                  <w:bookmarkStart w:id="5" w:name="OLE_LINK15" w:colFirst="3" w:colLast="3"/>
                  <w:bookmarkStart w:id="6" w:name="_Hlk214700995"/>
                  <w:r>
                    <w:rPr>
                      <w:rFonts w:hint="eastAsia"/>
                      <w:color w:val="auto"/>
                      <w:szCs w:val="21"/>
                    </w:rPr>
                    <w:t>煅后石油焦</w:t>
                  </w:r>
                </w:p>
              </w:tc>
              <w:tc>
                <w:tcPr>
                  <w:tcW w:w="828" w:type="pct"/>
                  <w:tcBorders>
                    <w:tl2br w:val="nil"/>
                    <w:tr2bl w:val="nil"/>
                  </w:tcBorders>
                  <w:shd w:val="clear" w:color="auto" w:fill="auto"/>
                  <w:vAlign w:val="center"/>
                </w:tcPr>
                <w:p>
                  <w:pPr>
                    <w:pStyle w:val="38"/>
                    <w:rPr>
                      <w:color w:val="auto"/>
                      <w:szCs w:val="21"/>
                    </w:rPr>
                  </w:pPr>
                  <w:r>
                    <w:rPr>
                      <w:rFonts w:hint="eastAsia"/>
                      <w:color w:val="auto"/>
                      <w:szCs w:val="21"/>
                    </w:rPr>
                    <w:t>t/a</w:t>
                  </w:r>
                </w:p>
              </w:tc>
              <w:tc>
                <w:tcPr>
                  <w:tcW w:w="840" w:type="pct"/>
                  <w:tcBorders>
                    <w:tl2br w:val="nil"/>
                    <w:tr2bl w:val="nil"/>
                  </w:tcBorders>
                  <w:vAlign w:val="center"/>
                </w:tcPr>
                <w:p>
                  <w:pPr>
                    <w:pStyle w:val="38"/>
                    <w:rPr>
                      <w:color w:val="auto"/>
                      <w:szCs w:val="21"/>
                    </w:rPr>
                  </w:pPr>
                  <w:r>
                    <w:rPr>
                      <w:rFonts w:hint="eastAsia"/>
                      <w:color w:val="auto"/>
                      <w:szCs w:val="21"/>
                    </w:rPr>
                    <w:t>6264</w:t>
                  </w:r>
                </w:p>
              </w:tc>
              <w:tc>
                <w:tcPr>
                  <w:tcW w:w="898" w:type="pct"/>
                  <w:tcBorders>
                    <w:tl2br w:val="nil"/>
                    <w:tr2bl w:val="nil"/>
                  </w:tcBorders>
                  <w:vAlign w:val="center"/>
                </w:tcPr>
                <w:p>
                  <w:pPr>
                    <w:pStyle w:val="38"/>
                    <w:rPr>
                      <w:rFonts w:hint="eastAsia" w:eastAsia="宋体"/>
                      <w:color w:val="auto"/>
                      <w:szCs w:val="21"/>
                      <w:lang w:val="en-US" w:eastAsia="zh-CN"/>
                    </w:rPr>
                  </w:pPr>
                  <w:r>
                    <w:rPr>
                      <w:rFonts w:hint="eastAsia"/>
                      <w:color w:val="auto"/>
                      <w:szCs w:val="21"/>
                      <w:lang w:val="en-US" w:eastAsia="zh-CN"/>
                    </w:rPr>
                    <w:t>料仓</w:t>
                  </w:r>
                </w:p>
              </w:tc>
              <w:tc>
                <w:tcPr>
                  <w:tcW w:w="865"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130t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6" w:type="pct"/>
                  <w:tcBorders>
                    <w:tl2br w:val="nil"/>
                    <w:tr2bl w:val="nil"/>
                  </w:tcBorders>
                  <w:shd w:val="clear" w:color="auto" w:fill="auto"/>
                  <w:vAlign w:val="center"/>
                </w:tcPr>
                <w:p>
                  <w:pPr>
                    <w:pStyle w:val="38"/>
                    <w:rPr>
                      <w:color w:val="auto"/>
                      <w:szCs w:val="21"/>
                    </w:rPr>
                  </w:pPr>
                  <w:r>
                    <w:rPr>
                      <w:rFonts w:hint="eastAsia"/>
                      <w:color w:val="auto"/>
                      <w:szCs w:val="21"/>
                    </w:rPr>
                    <w:t>粘结剂沥青</w:t>
                  </w:r>
                </w:p>
              </w:tc>
              <w:tc>
                <w:tcPr>
                  <w:tcW w:w="828" w:type="pct"/>
                  <w:tcBorders>
                    <w:tl2br w:val="nil"/>
                    <w:tr2bl w:val="nil"/>
                  </w:tcBorders>
                  <w:shd w:val="clear" w:color="auto" w:fill="auto"/>
                  <w:vAlign w:val="center"/>
                </w:tcPr>
                <w:p>
                  <w:pPr>
                    <w:pStyle w:val="38"/>
                    <w:rPr>
                      <w:color w:val="auto"/>
                      <w:szCs w:val="21"/>
                    </w:rPr>
                  </w:pPr>
                  <w:r>
                    <w:rPr>
                      <w:rFonts w:hint="eastAsia"/>
                      <w:color w:val="auto"/>
                      <w:szCs w:val="21"/>
                    </w:rPr>
                    <w:t>t/a</w:t>
                  </w:r>
                </w:p>
              </w:tc>
              <w:tc>
                <w:tcPr>
                  <w:tcW w:w="840" w:type="pct"/>
                  <w:tcBorders>
                    <w:tl2br w:val="nil"/>
                    <w:tr2bl w:val="nil"/>
                  </w:tcBorders>
                  <w:vAlign w:val="center"/>
                </w:tcPr>
                <w:p>
                  <w:pPr>
                    <w:pStyle w:val="38"/>
                    <w:rPr>
                      <w:color w:val="auto"/>
                      <w:szCs w:val="21"/>
                    </w:rPr>
                  </w:pPr>
                  <w:r>
                    <w:rPr>
                      <w:rFonts w:hint="eastAsia"/>
                      <w:color w:val="auto"/>
                      <w:szCs w:val="21"/>
                    </w:rPr>
                    <w:t>9004</w:t>
                  </w:r>
                </w:p>
              </w:tc>
              <w:tc>
                <w:tcPr>
                  <w:tcW w:w="898"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储罐</w:t>
                  </w:r>
                </w:p>
              </w:tc>
              <w:tc>
                <w:tcPr>
                  <w:tcW w:w="865"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450t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6" w:type="pct"/>
                  <w:tcBorders>
                    <w:tl2br w:val="nil"/>
                    <w:tr2bl w:val="nil"/>
                  </w:tcBorders>
                  <w:shd w:val="clear" w:color="auto" w:fill="auto"/>
                  <w:vAlign w:val="center"/>
                </w:tcPr>
                <w:p>
                  <w:pPr>
                    <w:pStyle w:val="38"/>
                    <w:rPr>
                      <w:color w:val="auto"/>
                      <w:szCs w:val="21"/>
                    </w:rPr>
                  </w:pPr>
                  <w:r>
                    <w:rPr>
                      <w:rFonts w:hint="eastAsia"/>
                      <w:color w:val="auto"/>
                      <w:szCs w:val="21"/>
                    </w:rPr>
                    <w:t>填充料（冶金焦）</w:t>
                  </w:r>
                </w:p>
              </w:tc>
              <w:tc>
                <w:tcPr>
                  <w:tcW w:w="828" w:type="pct"/>
                  <w:tcBorders>
                    <w:tl2br w:val="nil"/>
                    <w:tr2bl w:val="nil"/>
                  </w:tcBorders>
                  <w:shd w:val="clear" w:color="auto" w:fill="auto"/>
                  <w:vAlign w:val="center"/>
                </w:tcPr>
                <w:p>
                  <w:pPr>
                    <w:pStyle w:val="38"/>
                    <w:rPr>
                      <w:color w:val="auto"/>
                      <w:szCs w:val="21"/>
                    </w:rPr>
                  </w:pPr>
                  <w:r>
                    <w:rPr>
                      <w:rFonts w:hint="eastAsia"/>
                      <w:color w:val="auto"/>
                      <w:szCs w:val="21"/>
                    </w:rPr>
                    <w:t>t/a</w:t>
                  </w:r>
                </w:p>
              </w:tc>
              <w:tc>
                <w:tcPr>
                  <w:tcW w:w="840" w:type="pct"/>
                  <w:tcBorders>
                    <w:tl2br w:val="nil"/>
                    <w:tr2bl w:val="nil"/>
                  </w:tcBorders>
                  <w:vAlign w:val="center"/>
                </w:tcPr>
                <w:p>
                  <w:pPr>
                    <w:pStyle w:val="38"/>
                    <w:rPr>
                      <w:color w:val="auto"/>
                      <w:szCs w:val="21"/>
                    </w:rPr>
                  </w:pPr>
                  <w:r>
                    <w:rPr>
                      <w:rFonts w:hint="eastAsia"/>
                      <w:color w:val="auto"/>
                      <w:szCs w:val="21"/>
                    </w:rPr>
                    <w:t>9430</w:t>
                  </w:r>
                </w:p>
              </w:tc>
              <w:tc>
                <w:tcPr>
                  <w:tcW w:w="898" w:type="pct"/>
                  <w:tcBorders>
                    <w:tl2br w:val="nil"/>
                    <w:tr2bl w:val="nil"/>
                  </w:tcBorders>
                  <w:vAlign w:val="center"/>
                </w:tcPr>
                <w:p>
                  <w:pPr>
                    <w:pStyle w:val="38"/>
                    <w:rPr>
                      <w:rFonts w:hint="eastAsia" w:eastAsia="宋体"/>
                      <w:color w:val="auto"/>
                      <w:szCs w:val="21"/>
                      <w:lang w:val="en-US" w:eastAsia="zh-CN"/>
                    </w:rPr>
                  </w:pPr>
                  <w:r>
                    <w:rPr>
                      <w:rFonts w:hint="eastAsia"/>
                      <w:color w:val="auto"/>
                      <w:szCs w:val="21"/>
                      <w:lang w:val="en-US" w:eastAsia="zh-CN"/>
                    </w:rPr>
                    <w:t>料仓</w:t>
                  </w:r>
                </w:p>
              </w:tc>
              <w:tc>
                <w:tcPr>
                  <w:tcW w:w="865" w:type="pct"/>
                  <w:tcBorders>
                    <w:tl2br w:val="nil"/>
                    <w:tr2bl w:val="nil"/>
                  </w:tcBorders>
                  <w:vAlign w:val="center"/>
                </w:tcPr>
                <w:p>
                  <w:pPr>
                    <w:pStyle w:val="38"/>
                    <w:rPr>
                      <w:rFonts w:hint="default" w:eastAsia="宋体"/>
                      <w:color w:val="auto"/>
                      <w:szCs w:val="21"/>
                      <w:lang w:val="en-US" w:eastAsia="zh-CN"/>
                    </w:rPr>
                  </w:pPr>
                  <w:r>
                    <w:rPr>
                      <w:rFonts w:hint="eastAsia"/>
                      <w:color w:val="auto"/>
                      <w:szCs w:val="21"/>
                      <w:lang w:val="en-US" w:eastAsia="zh-CN"/>
                    </w:rPr>
                    <w:t>200t</w:t>
                  </w:r>
                </w:p>
              </w:tc>
            </w:tr>
            <w:bookmarkEnd w:id="3"/>
            <w:bookmarkEnd w:id="4"/>
            <w:bookmarkEnd w:id="5"/>
            <w:bookmarkEnd w:id="6"/>
          </w:tbl>
          <w:p>
            <w:pPr>
              <w:spacing w:line="360" w:lineRule="auto"/>
              <w:ind w:firstLine="480" w:firstLineChars="200"/>
              <w:rPr>
                <w:color w:val="auto"/>
                <w:sz w:val="24"/>
              </w:rPr>
            </w:pPr>
            <w:r>
              <w:rPr>
                <w:rFonts w:hint="eastAsia"/>
                <w:color w:val="auto"/>
                <w:sz w:val="24"/>
              </w:rPr>
              <w:t>项目针状焦技术要求按表</w:t>
            </w:r>
            <w:r>
              <w:rPr>
                <w:rFonts w:hint="eastAsia"/>
                <w:color w:val="auto"/>
                <w:sz w:val="24"/>
                <w:lang w:val="en-US" w:eastAsia="zh-CN"/>
              </w:rPr>
              <w:t>8</w:t>
            </w:r>
            <w:r>
              <w:rPr>
                <w:rFonts w:hint="eastAsia"/>
                <w:color w:val="auto"/>
                <w:sz w:val="24"/>
              </w:rPr>
              <w:t>执行。</w:t>
            </w:r>
          </w:p>
          <w:p>
            <w:pPr>
              <w:ind w:firstLine="482" w:firstLineChars="200"/>
              <w:jc w:val="center"/>
              <w:rPr>
                <w:b/>
                <w:bCs/>
                <w:color w:val="auto"/>
                <w:sz w:val="24"/>
              </w:rPr>
            </w:pPr>
            <w:r>
              <w:rPr>
                <w:rFonts w:hint="eastAsia"/>
                <w:b/>
                <w:bCs/>
                <w:color w:val="auto"/>
                <w:sz w:val="24"/>
              </w:rPr>
              <w:t>表</w:t>
            </w:r>
            <w:r>
              <w:rPr>
                <w:rFonts w:hint="eastAsia"/>
                <w:b/>
                <w:bCs/>
                <w:color w:val="auto"/>
                <w:sz w:val="24"/>
                <w:lang w:val="en-US" w:eastAsia="zh-CN"/>
              </w:rPr>
              <w:t>8</w:t>
            </w:r>
            <w:r>
              <w:rPr>
                <w:rFonts w:hint="eastAsia"/>
                <w:b/>
                <w:bCs/>
                <w:color w:val="auto"/>
                <w:sz w:val="24"/>
              </w:rPr>
              <w:t xml:space="preserve"> 针状焦技术要求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459"/>
              <w:gridCol w:w="2613"/>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项目</w:t>
                  </w:r>
                </w:p>
              </w:tc>
              <w:tc>
                <w:tcPr>
                  <w:tcW w:w="2613" w:type="dxa"/>
                  <w:vAlign w:val="center"/>
                </w:tcPr>
                <w:p>
                  <w:pPr>
                    <w:pStyle w:val="2"/>
                    <w:spacing w:after="0"/>
                    <w:ind w:left="0" w:leftChars="0" w:firstLine="0" w:firstLineChars="0"/>
                    <w:jc w:val="center"/>
                    <w:rPr>
                      <w:color w:val="auto"/>
                    </w:rPr>
                  </w:pPr>
                  <w:r>
                    <w:rPr>
                      <w:rFonts w:hint="eastAsia"/>
                      <w:color w:val="auto"/>
                    </w:rPr>
                    <w:t>石油系针状焦</w:t>
                  </w:r>
                </w:p>
              </w:tc>
              <w:tc>
                <w:tcPr>
                  <w:tcW w:w="2613" w:type="dxa"/>
                  <w:vAlign w:val="center"/>
                </w:tcPr>
                <w:p>
                  <w:pPr>
                    <w:pStyle w:val="2"/>
                    <w:spacing w:after="0"/>
                    <w:ind w:left="0" w:leftChars="0" w:firstLine="0" w:firstLineChars="0"/>
                    <w:jc w:val="center"/>
                    <w:rPr>
                      <w:color w:val="auto"/>
                    </w:rPr>
                  </w:pPr>
                  <w:r>
                    <w:rPr>
                      <w:rFonts w:hint="eastAsia"/>
                      <w:color w:val="auto"/>
                    </w:rPr>
                    <w:t>煤系针状焦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灰分（%）</w:t>
                  </w:r>
                </w:p>
              </w:tc>
              <w:tc>
                <w:tcPr>
                  <w:tcW w:w="2613" w:type="dxa"/>
                  <w:vAlign w:val="center"/>
                </w:tcPr>
                <w:p>
                  <w:pPr>
                    <w:pStyle w:val="2"/>
                    <w:spacing w:after="0"/>
                    <w:ind w:left="0" w:leftChars="0" w:firstLine="0" w:firstLineChars="0"/>
                    <w:jc w:val="center"/>
                    <w:rPr>
                      <w:color w:val="auto"/>
                    </w:rPr>
                  </w:pPr>
                  <w:r>
                    <w:rPr>
                      <w:rFonts w:hint="eastAsia"/>
                      <w:color w:val="auto"/>
                    </w:rPr>
                    <w:t>≤0.2</w:t>
                  </w:r>
                </w:p>
              </w:tc>
              <w:tc>
                <w:tcPr>
                  <w:tcW w:w="2613" w:type="dxa"/>
                  <w:vAlign w:val="center"/>
                </w:tcPr>
                <w:p>
                  <w:pPr>
                    <w:pStyle w:val="2"/>
                    <w:spacing w:after="0"/>
                    <w:ind w:left="0" w:leftChars="0" w:firstLine="0" w:firstLineChars="0"/>
                    <w:jc w:val="center"/>
                    <w:rPr>
                      <w:color w:val="auto"/>
                    </w:rPr>
                  </w:pPr>
                  <w:r>
                    <w:rPr>
                      <w:rFonts w:hint="eastAsia"/>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硫分（%）</w:t>
                  </w:r>
                </w:p>
              </w:tc>
              <w:tc>
                <w:tcPr>
                  <w:tcW w:w="2613" w:type="dxa"/>
                  <w:vAlign w:val="center"/>
                </w:tcPr>
                <w:p>
                  <w:pPr>
                    <w:pStyle w:val="2"/>
                    <w:spacing w:after="0"/>
                    <w:ind w:left="0" w:leftChars="0" w:firstLine="0" w:firstLineChars="0"/>
                    <w:jc w:val="center"/>
                    <w:rPr>
                      <w:color w:val="auto"/>
                    </w:rPr>
                  </w:pPr>
                  <w:r>
                    <w:rPr>
                      <w:rFonts w:hint="eastAsia"/>
                      <w:color w:val="auto"/>
                    </w:rPr>
                    <w:t>≤0.5</w:t>
                  </w:r>
                </w:p>
              </w:tc>
              <w:tc>
                <w:tcPr>
                  <w:tcW w:w="2613" w:type="dxa"/>
                  <w:vAlign w:val="center"/>
                </w:tcPr>
                <w:p>
                  <w:pPr>
                    <w:pStyle w:val="2"/>
                    <w:spacing w:after="0"/>
                    <w:ind w:left="0" w:leftChars="0" w:firstLine="0" w:firstLineChars="0"/>
                    <w:jc w:val="center"/>
                    <w:rPr>
                      <w:color w:val="auto"/>
                    </w:rPr>
                  </w:pPr>
                  <w:r>
                    <w:rPr>
                      <w:rFonts w:hint="eastAsia"/>
                      <w:color w:val="auto"/>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水分（%）</w:t>
                  </w:r>
                </w:p>
              </w:tc>
              <w:tc>
                <w:tcPr>
                  <w:tcW w:w="2613" w:type="dxa"/>
                  <w:vAlign w:val="center"/>
                </w:tcPr>
                <w:p>
                  <w:pPr>
                    <w:pStyle w:val="2"/>
                    <w:spacing w:after="0"/>
                    <w:ind w:left="0" w:leftChars="0" w:firstLine="0" w:firstLineChars="0"/>
                    <w:jc w:val="center"/>
                    <w:rPr>
                      <w:color w:val="auto"/>
                    </w:rPr>
                  </w:pPr>
                  <w:r>
                    <w:rPr>
                      <w:rFonts w:hint="eastAsia"/>
                      <w:color w:val="auto"/>
                    </w:rPr>
                    <w:t>≤0.5</w:t>
                  </w:r>
                </w:p>
              </w:tc>
              <w:tc>
                <w:tcPr>
                  <w:tcW w:w="2613" w:type="dxa"/>
                  <w:vAlign w:val="center"/>
                </w:tcPr>
                <w:p>
                  <w:pPr>
                    <w:pStyle w:val="2"/>
                    <w:spacing w:after="0"/>
                    <w:ind w:left="0" w:leftChars="0" w:firstLine="0" w:firstLineChars="0"/>
                    <w:jc w:val="center"/>
                    <w:rPr>
                      <w:color w:val="auto"/>
                    </w:rPr>
                  </w:pPr>
                  <w:r>
                    <w:rPr>
                      <w:rFonts w:hint="eastAsia"/>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挥发分（%）</w:t>
                  </w:r>
                </w:p>
              </w:tc>
              <w:tc>
                <w:tcPr>
                  <w:tcW w:w="2613" w:type="dxa"/>
                  <w:vAlign w:val="center"/>
                </w:tcPr>
                <w:p>
                  <w:pPr>
                    <w:pStyle w:val="2"/>
                    <w:spacing w:after="0"/>
                    <w:ind w:left="0" w:leftChars="0" w:firstLine="0" w:firstLineChars="0"/>
                    <w:jc w:val="center"/>
                    <w:rPr>
                      <w:color w:val="auto"/>
                    </w:rPr>
                  </w:pPr>
                  <w:r>
                    <w:rPr>
                      <w:rFonts w:hint="eastAsia"/>
                      <w:color w:val="auto"/>
                    </w:rPr>
                    <w:t>≤0.3</w:t>
                  </w:r>
                </w:p>
              </w:tc>
              <w:tc>
                <w:tcPr>
                  <w:tcW w:w="2613" w:type="dxa"/>
                  <w:vAlign w:val="center"/>
                </w:tcPr>
                <w:p>
                  <w:pPr>
                    <w:pStyle w:val="2"/>
                    <w:spacing w:after="0"/>
                    <w:ind w:left="0" w:leftChars="0" w:firstLine="0" w:firstLineChars="0"/>
                    <w:jc w:val="center"/>
                    <w:rPr>
                      <w:color w:val="auto"/>
                    </w:rPr>
                  </w:pPr>
                  <w:r>
                    <w:rPr>
                      <w:rFonts w:hint="eastAsia"/>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真密度（g/cm</w:t>
                  </w:r>
                  <w:r>
                    <w:rPr>
                      <w:rFonts w:hint="eastAsia"/>
                      <w:color w:val="auto"/>
                      <w:vertAlign w:val="superscript"/>
                    </w:rPr>
                    <w:t>3</w:t>
                  </w:r>
                  <w:r>
                    <w:rPr>
                      <w:rFonts w:hint="eastAsia"/>
                      <w:color w:val="auto"/>
                    </w:rPr>
                    <w:t>）</w:t>
                  </w:r>
                </w:p>
              </w:tc>
              <w:tc>
                <w:tcPr>
                  <w:tcW w:w="2613" w:type="dxa"/>
                  <w:vAlign w:val="center"/>
                </w:tcPr>
                <w:p>
                  <w:pPr>
                    <w:pStyle w:val="2"/>
                    <w:spacing w:after="0"/>
                    <w:ind w:left="0" w:leftChars="0" w:firstLine="0" w:firstLineChars="0"/>
                    <w:jc w:val="center"/>
                    <w:rPr>
                      <w:color w:val="auto"/>
                    </w:rPr>
                  </w:pPr>
                  <w:r>
                    <w:rPr>
                      <w:rFonts w:hint="eastAsia"/>
                      <w:color w:val="auto"/>
                    </w:rPr>
                    <w:t>≥2.12</w:t>
                  </w:r>
                </w:p>
              </w:tc>
              <w:tc>
                <w:tcPr>
                  <w:tcW w:w="2613" w:type="dxa"/>
                  <w:vAlign w:val="center"/>
                </w:tcPr>
                <w:p>
                  <w:pPr>
                    <w:pStyle w:val="2"/>
                    <w:spacing w:after="0"/>
                    <w:ind w:left="0" w:leftChars="0" w:firstLine="0" w:firstLineChars="0"/>
                    <w:jc w:val="center"/>
                    <w:rPr>
                      <w:color w:val="auto"/>
                    </w:rPr>
                  </w:pPr>
                  <w:r>
                    <w:rPr>
                      <w:rFonts w:hint="eastAsia"/>
                      <w:color w:val="auto"/>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振实密度（g/cm</w:t>
                  </w:r>
                  <w:r>
                    <w:rPr>
                      <w:rFonts w:hint="eastAsia"/>
                      <w:color w:val="auto"/>
                      <w:vertAlign w:val="superscript"/>
                    </w:rPr>
                    <w:t>3</w:t>
                  </w:r>
                  <w:r>
                    <w:rPr>
                      <w:rFonts w:hint="eastAsia"/>
                      <w:color w:val="auto"/>
                    </w:rPr>
                    <w:t>）</w:t>
                  </w:r>
                </w:p>
              </w:tc>
              <w:tc>
                <w:tcPr>
                  <w:tcW w:w="2613" w:type="dxa"/>
                  <w:vAlign w:val="center"/>
                </w:tcPr>
                <w:p>
                  <w:pPr>
                    <w:pStyle w:val="2"/>
                    <w:spacing w:after="0"/>
                    <w:ind w:left="0" w:leftChars="0" w:firstLine="0" w:firstLineChars="0"/>
                    <w:jc w:val="center"/>
                    <w:rPr>
                      <w:color w:val="auto"/>
                    </w:rPr>
                  </w:pPr>
                  <w:r>
                    <w:rPr>
                      <w:rFonts w:hint="eastAsia"/>
                      <w:color w:val="auto"/>
                    </w:rPr>
                    <w:t>≥0.88</w:t>
                  </w:r>
                </w:p>
              </w:tc>
              <w:tc>
                <w:tcPr>
                  <w:tcW w:w="2613" w:type="dxa"/>
                  <w:vAlign w:val="center"/>
                </w:tcPr>
                <w:p>
                  <w:pPr>
                    <w:pStyle w:val="2"/>
                    <w:spacing w:after="0"/>
                    <w:ind w:left="0" w:leftChars="0" w:firstLine="0" w:firstLineChars="0"/>
                    <w:jc w:val="center"/>
                    <w:rPr>
                      <w:color w:val="auto"/>
                    </w:rPr>
                  </w:pPr>
                  <w:r>
                    <w:rPr>
                      <w:rFonts w:hint="eastAsia"/>
                      <w:color w:val="auto"/>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热膨胀系数（10</w:t>
                  </w:r>
                  <w:r>
                    <w:rPr>
                      <w:rFonts w:hint="eastAsia"/>
                      <w:color w:val="auto"/>
                      <w:vertAlign w:val="superscript"/>
                    </w:rPr>
                    <w:t>-6</w:t>
                  </w:r>
                  <w:r>
                    <w:rPr>
                      <w:rFonts w:hint="eastAsia"/>
                      <w:color w:val="auto"/>
                    </w:rPr>
                    <w:t>/℃）</w:t>
                  </w:r>
                </w:p>
              </w:tc>
              <w:tc>
                <w:tcPr>
                  <w:tcW w:w="2613" w:type="dxa"/>
                  <w:vAlign w:val="center"/>
                </w:tcPr>
                <w:p>
                  <w:pPr>
                    <w:pStyle w:val="2"/>
                    <w:spacing w:after="0"/>
                    <w:ind w:left="0" w:leftChars="0" w:firstLine="0" w:firstLineChars="0"/>
                    <w:jc w:val="center"/>
                    <w:rPr>
                      <w:color w:val="auto"/>
                    </w:rPr>
                  </w:pPr>
                  <w:r>
                    <w:rPr>
                      <w:rFonts w:hint="eastAsia"/>
                      <w:color w:val="auto"/>
                    </w:rPr>
                    <w:t>≤1.20</w:t>
                  </w:r>
                </w:p>
              </w:tc>
              <w:tc>
                <w:tcPr>
                  <w:tcW w:w="2613" w:type="dxa"/>
                  <w:vAlign w:val="center"/>
                </w:tcPr>
                <w:p>
                  <w:pPr>
                    <w:pStyle w:val="2"/>
                    <w:spacing w:after="0"/>
                    <w:ind w:left="0" w:leftChars="0" w:firstLine="0" w:firstLineChars="0"/>
                    <w:jc w:val="center"/>
                    <w:rPr>
                      <w:color w:val="auto"/>
                    </w:rPr>
                  </w:pPr>
                  <w:r>
                    <w:rPr>
                      <w:rFonts w:hint="eastAsia"/>
                      <w:color w:val="auto"/>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14" w:type="dxa"/>
                  <w:gridSpan w:val="2"/>
                  <w:vAlign w:val="center"/>
                </w:tcPr>
                <w:p>
                  <w:pPr>
                    <w:pStyle w:val="2"/>
                    <w:spacing w:after="0"/>
                    <w:ind w:left="0" w:leftChars="0" w:firstLine="0" w:firstLineChars="0"/>
                    <w:jc w:val="center"/>
                    <w:rPr>
                      <w:color w:val="auto"/>
                    </w:rPr>
                  </w:pPr>
                  <w:r>
                    <w:rPr>
                      <w:rFonts w:hint="eastAsia"/>
                      <w:color w:val="auto"/>
                    </w:rPr>
                    <w:t>K值（长宽比）</w:t>
                  </w:r>
                </w:p>
              </w:tc>
              <w:tc>
                <w:tcPr>
                  <w:tcW w:w="2613" w:type="dxa"/>
                  <w:vAlign w:val="center"/>
                </w:tcPr>
                <w:p>
                  <w:pPr>
                    <w:pStyle w:val="2"/>
                    <w:spacing w:after="0"/>
                    <w:ind w:left="0" w:leftChars="0" w:firstLine="0" w:firstLineChars="0"/>
                    <w:jc w:val="center"/>
                    <w:rPr>
                      <w:color w:val="auto"/>
                    </w:rPr>
                  </w:pPr>
                  <w:r>
                    <w:rPr>
                      <w:rFonts w:hint="eastAsia"/>
                      <w:color w:val="auto"/>
                    </w:rPr>
                    <w:t>≥1.65</w:t>
                  </w:r>
                </w:p>
              </w:tc>
              <w:tc>
                <w:tcPr>
                  <w:tcW w:w="2613" w:type="dxa"/>
                  <w:vAlign w:val="center"/>
                </w:tcPr>
                <w:p>
                  <w:pPr>
                    <w:pStyle w:val="2"/>
                    <w:spacing w:after="0"/>
                    <w:ind w:left="0" w:leftChars="0" w:firstLine="0" w:firstLineChars="0"/>
                    <w:jc w:val="center"/>
                    <w:rPr>
                      <w:color w:val="auto"/>
                    </w:rPr>
                  </w:pPr>
                  <w:r>
                    <w:rPr>
                      <w:rFonts w:hint="eastAsia"/>
                      <w:color w:val="auto"/>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55" w:type="dxa"/>
                  <w:vMerge w:val="restart"/>
                  <w:vAlign w:val="center"/>
                </w:tcPr>
                <w:p>
                  <w:pPr>
                    <w:pStyle w:val="2"/>
                    <w:spacing w:after="0"/>
                    <w:ind w:left="0" w:leftChars="0" w:firstLine="0" w:firstLineChars="0"/>
                    <w:jc w:val="center"/>
                    <w:rPr>
                      <w:color w:val="auto"/>
                    </w:rPr>
                  </w:pPr>
                  <w:r>
                    <w:rPr>
                      <w:rFonts w:hint="eastAsia"/>
                      <w:color w:val="auto"/>
                    </w:rPr>
                    <w:t>粒度（%）</w:t>
                  </w:r>
                </w:p>
              </w:tc>
              <w:tc>
                <w:tcPr>
                  <w:tcW w:w="1459" w:type="dxa"/>
                  <w:vAlign w:val="center"/>
                </w:tcPr>
                <w:p>
                  <w:pPr>
                    <w:pStyle w:val="2"/>
                    <w:spacing w:after="0"/>
                    <w:ind w:left="0" w:leftChars="0" w:firstLine="0" w:firstLineChars="0"/>
                    <w:jc w:val="center"/>
                    <w:rPr>
                      <w:color w:val="auto"/>
                    </w:rPr>
                  </w:pPr>
                  <w:r>
                    <w:rPr>
                      <w:rFonts w:hint="eastAsia"/>
                      <w:color w:val="auto"/>
                    </w:rPr>
                    <w:t>（+10mm）</w:t>
                  </w:r>
                </w:p>
              </w:tc>
              <w:tc>
                <w:tcPr>
                  <w:tcW w:w="2613" w:type="dxa"/>
                  <w:vAlign w:val="center"/>
                </w:tcPr>
                <w:p>
                  <w:pPr>
                    <w:pStyle w:val="2"/>
                    <w:spacing w:after="0"/>
                    <w:ind w:left="0" w:leftChars="0" w:firstLine="0" w:firstLineChars="0"/>
                    <w:jc w:val="center"/>
                    <w:rPr>
                      <w:color w:val="auto"/>
                    </w:rPr>
                  </w:pPr>
                  <w:r>
                    <w:rPr>
                      <w:rFonts w:hint="eastAsia"/>
                      <w:color w:val="auto"/>
                    </w:rPr>
                    <w:t>≥50</w:t>
                  </w:r>
                </w:p>
              </w:tc>
              <w:tc>
                <w:tcPr>
                  <w:tcW w:w="2613" w:type="dxa"/>
                  <w:vAlign w:val="center"/>
                </w:tcPr>
                <w:p>
                  <w:pPr>
                    <w:pStyle w:val="2"/>
                    <w:spacing w:after="0"/>
                    <w:ind w:left="0" w:leftChars="0" w:firstLine="0" w:firstLineChars="0"/>
                    <w:jc w:val="center"/>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55" w:type="dxa"/>
                  <w:vMerge w:val="continue"/>
                  <w:vAlign w:val="center"/>
                </w:tcPr>
                <w:p>
                  <w:pPr>
                    <w:pStyle w:val="2"/>
                    <w:spacing w:after="0"/>
                    <w:ind w:left="0" w:leftChars="0" w:firstLine="0" w:firstLineChars="0"/>
                    <w:jc w:val="center"/>
                    <w:rPr>
                      <w:color w:val="auto"/>
                    </w:rPr>
                  </w:pPr>
                </w:p>
              </w:tc>
              <w:tc>
                <w:tcPr>
                  <w:tcW w:w="1459" w:type="dxa"/>
                  <w:vAlign w:val="center"/>
                </w:tcPr>
                <w:p>
                  <w:pPr>
                    <w:pStyle w:val="2"/>
                    <w:spacing w:after="0"/>
                    <w:ind w:left="0" w:leftChars="0" w:firstLine="0" w:firstLineChars="0"/>
                    <w:jc w:val="center"/>
                    <w:rPr>
                      <w:color w:val="auto"/>
                    </w:rPr>
                  </w:pPr>
                  <w:r>
                    <w:rPr>
                      <w:rFonts w:hint="eastAsia"/>
                      <w:color w:val="auto"/>
                    </w:rPr>
                    <w:t>（-1mm）</w:t>
                  </w:r>
                </w:p>
              </w:tc>
              <w:tc>
                <w:tcPr>
                  <w:tcW w:w="2613" w:type="dxa"/>
                  <w:vAlign w:val="center"/>
                </w:tcPr>
                <w:p>
                  <w:pPr>
                    <w:pStyle w:val="2"/>
                    <w:spacing w:after="0"/>
                    <w:ind w:left="0" w:leftChars="0" w:firstLine="0" w:firstLineChars="0"/>
                    <w:jc w:val="center"/>
                    <w:rPr>
                      <w:color w:val="auto"/>
                    </w:rPr>
                  </w:pPr>
                  <w:r>
                    <w:rPr>
                      <w:rFonts w:hint="eastAsia"/>
                      <w:color w:val="auto"/>
                    </w:rPr>
                    <w:t>≤5</w:t>
                  </w:r>
                </w:p>
              </w:tc>
              <w:tc>
                <w:tcPr>
                  <w:tcW w:w="2613" w:type="dxa"/>
                  <w:vAlign w:val="center"/>
                </w:tcPr>
                <w:p>
                  <w:pPr>
                    <w:pStyle w:val="2"/>
                    <w:spacing w:after="0"/>
                    <w:ind w:left="0" w:leftChars="0" w:firstLine="0" w:firstLineChars="0"/>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40" w:type="dxa"/>
                  <w:gridSpan w:val="4"/>
                  <w:vAlign w:val="center"/>
                </w:tcPr>
                <w:p>
                  <w:pPr>
                    <w:pStyle w:val="2"/>
                    <w:spacing w:after="0"/>
                    <w:ind w:left="0" w:leftChars="0" w:firstLine="0" w:firstLineChars="0"/>
                    <w:jc w:val="both"/>
                    <w:rPr>
                      <w:rFonts w:hint="eastAsia"/>
                      <w:color w:val="auto"/>
                    </w:rPr>
                  </w:pPr>
                  <w:r>
                    <w:rPr>
                      <w:rFonts w:hint="eastAsia"/>
                      <w:color w:val="auto"/>
                      <w:lang w:val="en-US" w:eastAsia="zh-CN"/>
                    </w:rPr>
                    <w:t>针状焦是外观为银灰色、有金属光泽的多孔固体, 其结构具有明显流动纹理, 孔大而少且略呈椭圆形, 颗粒有较大的长宽比, 有如纤维状或针状的纹理走向, 摸之有润滑感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生产超高功率石墨电极用优质煅后石油焦目前尚无国家标准，根据</w:t>
            </w:r>
            <w:r>
              <w:rPr>
                <w:color w:val="auto"/>
                <w:sz w:val="24"/>
              </w:rPr>
              <w:t>本项目实际情况，其指标暂按表</w:t>
            </w:r>
            <w:r>
              <w:rPr>
                <w:rFonts w:hint="eastAsia"/>
                <w:color w:val="auto"/>
                <w:sz w:val="24"/>
                <w:lang w:val="en-US" w:eastAsia="zh-CN"/>
              </w:rPr>
              <w:t>9</w:t>
            </w:r>
            <w:r>
              <w:rPr>
                <w:color w:val="auto"/>
                <w:sz w:val="24"/>
              </w:rPr>
              <w:t>执行，实际生产过程中，企业根据具体情况对此技术要求略做调整，以满足生产出优质超高功率石墨电极。</w:t>
            </w:r>
          </w:p>
          <w:p>
            <w:pPr>
              <w:jc w:val="center"/>
              <w:rPr>
                <w:rFonts w:hint="default" w:eastAsia="宋体"/>
                <w:b/>
                <w:bCs/>
                <w:color w:val="auto"/>
                <w:sz w:val="24"/>
                <w:lang w:val="en-US" w:eastAsia="zh-CN"/>
              </w:rPr>
            </w:pPr>
            <w:r>
              <w:rPr>
                <w:rFonts w:hint="eastAsia"/>
                <w:b/>
                <w:bCs/>
                <w:color w:val="auto"/>
                <w:sz w:val="24"/>
              </w:rPr>
              <w:t>表</w:t>
            </w:r>
            <w:r>
              <w:rPr>
                <w:rFonts w:hint="eastAsia"/>
                <w:b/>
                <w:bCs/>
                <w:color w:val="auto"/>
                <w:sz w:val="24"/>
                <w:lang w:val="en-US" w:eastAsia="zh-CN"/>
              </w:rPr>
              <w:t xml:space="preserve">9 </w:t>
            </w:r>
            <w:r>
              <w:rPr>
                <w:rFonts w:hint="eastAsia"/>
                <w:b/>
                <w:bCs/>
                <w:color w:val="auto"/>
                <w:sz w:val="24"/>
              </w:rPr>
              <w:t>煅后石油焦技术要求</w:t>
            </w:r>
            <w:r>
              <w:rPr>
                <w:rFonts w:hint="eastAsia"/>
                <w:b/>
                <w:bCs/>
                <w:color w:val="auto"/>
                <w:sz w:val="24"/>
                <w:lang w:val="en-US" w:eastAsia="zh-CN"/>
              </w:rPr>
              <w:t>及理化性质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306"/>
              <w:gridCol w:w="1306"/>
              <w:gridCol w:w="1306"/>
              <w:gridCol w:w="1307"/>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dxa"/>
                  <w:vAlign w:val="center"/>
                </w:tcPr>
                <w:p>
                  <w:pPr>
                    <w:pStyle w:val="2"/>
                    <w:spacing w:after="0"/>
                    <w:ind w:left="0" w:leftChars="0" w:firstLine="0" w:firstLineChars="0"/>
                    <w:jc w:val="center"/>
                    <w:rPr>
                      <w:color w:val="auto"/>
                    </w:rPr>
                  </w:pPr>
                  <w:r>
                    <w:rPr>
                      <w:rFonts w:hint="eastAsia"/>
                      <w:color w:val="auto"/>
                    </w:rPr>
                    <w:t>项目</w:t>
                  </w:r>
                </w:p>
              </w:tc>
              <w:tc>
                <w:tcPr>
                  <w:tcW w:w="1306" w:type="dxa"/>
                  <w:vAlign w:val="center"/>
                </w:tcPr>
                <w:p>
                  <w:pPr>
                    <w:pStyle w:val="2"/>
                    <w:spacing w:after="0"/>
                    <w:ind w:left="0" w:leftChars="0" w:firstLine="0" w:firstLineChars="0"/>
                    <w:jc w:val="center"/>
                    <w:rPr>
                      <w:color w:val="auto"/>
                    </w:rPr>
                  </w:pPr>
                  <w:r>
                    <w:rPr>
                      <w:rFonts w:hint="eastAsia"/>
                      <w:color w:val="auto"/>
                    </w:rPr>
                    <w:t>硫分</w:t>
                  </w:r>
                </w:p>
              </w:tc>
              <w:tc>
                <w:tcPr>
                  <w:tcW w:w="1306" w:type="dxa"/>
                  <w:vAlign w:val="center"/>
                </w:tcPr>
                <w:p>
                  <w:pPr>
                    <w:pStyle w:val="2"/>
                    <w:spacing w:after="0"/>
                    <w:ind w:left="0" w:leftChars="0" w:firstLine="0" w:firstLineChars="0"/>
                    <w:jc w:val="center"/>
                    <w:rPr>
                      <w:color w:val="auto"/>
                    </w:rPr>
                  </w:pPr>
                  <w:r>
                    <w:rPr>
                      <w:rFonts w:hint="eastAsia"/>
                      <w:color w:val="auto"/>
                    </w:rPr>
                    <w:t>挥发份</w:t>
                  </w:r>
                </w:p>
              </w:tc>
              <w:tc>
                <w:tcPr>
                  <w:tcW w:w="1306" w:type="dxa"/>
                  <w:vAlign w:val="center"/>
                </w:tcPr>
                <w:p>
                  <w:pPr>
                    <w:pStyle w:val="2"/>
                    <w:spacing w:after="0"/>
                    <w:ind w:left="0" w:leftChars="0" w:firstLine="0" w:firstLineChars="0"/>
                    <w:jc w:val="center"/>
                    <w:rPr>
                      <w:color w:val="auto"/>
                    </w:rPr>
                  </w:pPr>
                  <w:r>
                    <w:rPr>
                      <w:rFonts w:hint="eastAsia"/>
                      <w:color w:val="auto"/>
                    </w:rPr>
                    <w:t>灰分</w:t>
                  </w:r>
                </w:p>
              </w:tc>
              <w:tc>
                <w:tcPr>
                  <w:tcW w:w="1307" w:type="dxa"/>
                  <w:vAlign w:val="center"/>
                </w:tcPr>
                <w:p>
                  <w:pPr>
                    <w:pStyle w:val="2"/>
                    <w:spacing w:after="0"/>
                    <w:ind w:left="0" w:leftChars="0" w:firstLine="0" w:firstLineChars="0"/>
                    <w:jc w:val="center"/>
                    <w:rPr>
                      <w:color w:val="auto"/>
                    </w:rPr>
                  </w:pPr>
                  <w:r>
                    <w:rPr>
                      <w:rFonts w:hint="eastAsia"/>
                      <w:color w:val="auto"/>
                    </w:rPr>
                    <w:t>水分</w:t>
                  </w:r>
                </w:p>
              </w:tc>
              <w:tc>
                <w:tcPr>
                  <w:tcW w:w="1309" w:type="dxa"/>
                  <w:vAlign w:val="center"/>
                </w:tcPr>
                <w:p>
                  <w:pPr>
                    <w:pStyle w:val="2"/>
                    <w:spacing w:after="0"/>
                    <w:ind w:left="0" w:leftChars="0" w:firstLine="0" w:firstLineChars="0"/>
                    <w:jc w:val="center"/>
                    <w:rPr>
                      <w:color w:val="auto"/>
                    </w:rPr>
                  </w:pPr>
                  <w:r>
                    <w:rPr>
                      <w:rFonts w:hint="eastAsia"/>
                      <w:color w:val="auto"/>
                    </w:rPr>
                    <w:t>真比重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dxa"/>
                  <w:vAlign w:val="center"/>
                </w:tcPr>
                <w:p>
                  <w:pPr>
                    <w:pStyle w:val="2"/>
                    <w:spacing w:after="0"/>
                    <w:ind w:left="0" w:leftChars="0" w:firstLine="0" w:firstLineChars="0"/>
                    <w:jc w:val="center"/>
                    <w:rPr>
                      <w:color w:val="auto"/>
                    </w:rPr>
                  </w:pPr>
                  <w:r>
                    <w:rPr>
                      <w:rFonts w:hint="eastAsia"/>
                      <w:color w:val="auto"/>
                    </w:rPr>
                    <w:t>单位</w:t>
                  </w:r>
                </w:p>
              </w:tc>
              <w:tc>
                <w:tcPr>
                  <w:tcW w:w="1306" w:type="dxa"/>
                  <w:vAlign w:val="center"/>
                </w:tcPr>
                <w:p>
                  <w:pPr>
                    <w:pStyle w:val="2"/>
                    <w:spacing w:after="0"/>
                    <w:ind w:left="0" w:leftChars="0" w:firstLine="0" w:firstLineChars="0"/>
                    <w:jc w:val="center"/>
                    <w:rPr>
                      <w:color w:val="auto"/>
                    </w:rPr>
                  </w:pPr>
                  <w:r>
                    <w:rPr>
                      <w:rFonts w:hint="eastAsia"/>
                      <w:color w:val="auto"/>
                    </w:rPr>
                    <w:t>%</w:t>
                  </w:r>
                </w:p>
              </w:tc>
              <w:tc>
                <w:tcPr>
                  <w:tcW w:w="1306" w:type="dxa"/>
                  <w:vAlign w:val="center"/>
                </w:tcPr>
                <w:p>
                  <w:pPr>
                    <w:pStyle w:val="2"/>
                    <w:spacing w:after="0"/>
                    <w:ind w:left="0" w:leftChars="0" w:firstLine="0" w:firstLineChars="0"/>
                    <w:jc w:val="center"/>
                    <w:rPr>
                      <w:color w:val="auto"/>
                    </w:rPr>
                  </w:pPr>
                  <w:r>
                    <w:rPr>
                      <w:rFonts w:hint="eastAsia"/>
                      <w:color w:val="auto"/>
                    </w:rPr>
                    <w:t>%</w:t>
                  </w:r>
                </w:p>
              </w:tc>
              <w:tc>
                <w:tcPr>
                  <w:tcW w:w="1306" w:type="dxa"/>
                  <w:vAlign w:val="center"/>
                </w:tcPr>
                <w:p>
                  <w:pPr>
                    <w:pStyle w:val="2"/>
                    <w:spacing w:after="0"/>
                    <w:ind w:left="0" w:leftChars="0" w:firstLine="0" w:firstLineChars="0"/>
                    <w:jc w:val="center"/>
                    <w:rPr>
                      <w:color w:val="auto"/>
                    </w:rPr>
                  </w:pPr>
                  <w:r>
                    <w:rPr>
                      <w:rFonts w:hint="eastAsia"/>
                      <w:color w:val="auto"/>
                    </w:rPr>
                    <w:t>%</w:t>
                  </w:r>
                </w:p>
              </w:tc>
              <w:tc>
                <w:tcPr>
                  <w:tcW w:w="1307" w:type="dxa"/>
                  <w:vAlign w:val="center"/>
                </w:tcPr>
                <w:p>
                  <w:pPr>
                    <w:pStyle w:val="2"/>
                    <w:spacing w:after="0"/>
                    <w:ind w:left="0" w:leftChars="0" w:firstLine="0" w:firstLineChars="0"/>
                    <w:jc w:val="center"/>
                    <w:rPr>
                      <w:color w:val="auto"/>
                    </w:rPr>
                  </w:pPr>
                  <w:r>
                    <w:rPr>
                      <w:rFonts w:hint="eastAsia"/>
                      <w:color w:val="auto"/>
                    </w:rPr>
                    <w:t>%</w:t>
                  </w:r>
                </w:p>
              </w:tc>
              <w:tc>
                <w:tcPr>
                  <w:tcW w:w="1309" w:type="dxa"/>
                  <w:vAlign w:val="center"/>
                </w:tcPr>
                <w:p>
                  <w:pPr>
                    <w:pStyle w:val="2"/>
                    <w:spacing w:after="0"/>
                    <w:ind w:left="0" w:leftChars="0" w:firstLine="0" w:firstLineChars="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dxa"/>
                  <w:vAlign w:val="center"/>
                </w:tcPr>
                <w:p>
                  <w:pPr>
                    <w:pStyle w:val="2"/>
                    <w:spacing w:after="0"/>
                    <w:ind w:left="0" w:leftChars="0" w:firstLine="0" w:firstLineChars="0"/>
                    <w:jc w:val="center"/>
                    <w:rPr>
                      <w:color w:val="auto"/>
                    </w:rPr>
                  </w:pPr>
                  <w:r>
                    <w:rPr>
                      <w:rFonts w:hint="eastAsia"/>
                      <w:color w:val="auto"/>
                    </w:rPr>
                    <w:t>质量指标</w:t>
                  </w:r>
                </w:p>
              </w:tc>
              <w:tc>
                <w:tcPr>
                  <w:tcW w:w="1306" w:type="dxa"/>
                  <w:vAlign w:val="center"/>
                </w:tcPr>
                <w:p>
                  <w:pPr>
                    <w:pStyle w:val="2"/>
                    <w:spacing w:after="0"/>
                    <w:ind w:left="0" w:leftChars="0" w:firstLine="0" w:firstLineChars="0"/>
                    <w:jc w:val="center"/>
                    <w:rPr>
                      <w:color w:val="auto"/>
                    </w:rPr>
                  </w:pPr>
                  <w:r>
                    <w:rPr>
                      <w:rFonts w:hint="eastAsia"/>
                      <w:color w:val="auto"/>
                    </w:rPr>
                    <w:t>≤0.3</w:t>
                  </w:r>
                </w:p>
              </w:tc>
              <w:tc>
                <w:tcPr>
                  <w:tcW w:w="1306" w:type="dxa"/>
                  <w:vAlign w:val="center"/>
                </w:tcPr>
                <w:p>
                  <w:pPr>
                    <w:pStyle w:val="2"/>
                    <w:spacing w:after="0"/>
                    <w:ind w:left="0" w:leftChars="0" w:firstLine="0" w:firstLineChars="0"/>
                    <w:jc w:val="center"/>
                    <w:rPr>
                      <w:color w:val="auto"/>
                    </w:rPr>
                  </w:pPr>
                  <w:r>
                    <w:rPr>
                      <w:rFonts w:hint="eastAsia"/>
                      <w:color w:val="auto"/>
                    </w:rPr>
                    <w:t>≤0.2</w:t>
                  </w:r>
                </w:p>
              </w:tc>
              <w:tc>
                <w:tcPr>
                  <w:tcW w:w="1306" w:type="dxa"/>
                  <w:vAlign w:val="center"/>
                </w:tcPr>
                <w:p>
                  <w:pPr>
                    <w:pStyle w:val="2"/>
                    <w:spacing w:after="0"/>
                    <w:ind w:left="0" w:leftChars="0" w:firstLine="0" w:firstLineChars="0"/>
                    <w:jc w:val="center"/>
                    <w:rPr>
                      <w:color w:val="auto"/>
                    </w:rPr>
                  </w:pPr>
                  <w:r>
                    <w:rPr>
                      <w:rFonts w:hint="eastAsia"/>
                      <w:color w:val="auto"/>
                    </w:rPr>
                    <w:t>≤0.3</w:t>
                  </w:r>
                </w:p>
              </w:tc>
              <w:tc>
                <w:tcPr>
                  <w:tcW w:w="1307" w:type="dxa"/>
                  <w:vAlign w:val="center"/>
                </w:tcPr>
                <w:p>
                  <w:pPr>
                    <w:pStyle w:val="2"/>
                    <w:spacing w:after="0"/>
                    <w:ind w:left="0" w:leftChars="0" w:firstLine="0" w:firstLineChars="0"/>
                    <w:jc w:val="center"/>
                    <w:rPr>
                      <w:color w:val="auto"/>
                    </w:rPr>
                  </w:pPr>
                  <w:r>
                    <w:rPr>
                      <w:rFonts w:hint="eastAsia"/>
                      <w:color w:val="auto"/>
                    </w:rPr>
                    <w:t>≤0.5</w:t>
                  </w:r>
                </w:p>
              </w:tc>
              <w:tc>
                <w:tcPr>
                  <w:tcW w:w="1309" w:type="dxa"/>
                  <w:vAlign w:val="center"/>
                </w:tcPr>
                <w:p>
                  <w:pPr>
                    <w:pStyle w:val="2"/>
                    <w:spacing w:after="0"/>
                    <w:ind w:left="0" w:leftChars="0" w:firstLine="0" w:firstLineChars="0"/>
                    <w:jc w:val="center"/>
                    <w:rPr>
                      <w:color w:val="auto"/>
                    </w:rPr>
                  </w:pPr>
                  <w:r>
                    <w:rPr>
                      <w:rFonts w:hint="eastAsia"/>
                      <w:color w:val="auto"/>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0" w:type="dxa"/>
                  <w:gridSpan w:val="6"/>
                  <w:vAlign w:val="center"/>
                </w:tcPr>
                <w:p>
                  <w:pPr>
                    <w:pStyle w:val="2"/>
                    <w:spacing w:after="0"/>
                    <w:ind w:left="0" w:leftChars="0" w:firstLine="0" w:firstLineChars="0"/>
                    <w:jc w:val="both"/>
                    <w:rPr>
                      <w:rFonts w:hint="default" w:eastAsia="宋体"/>
                      <w:color w:val="auto"/>
                      <w:lang w:val="en-US" w:eastAsia="zh-CN"/>
                    </w:rPr>
                  </w:pPr>
                  <w:r>
                    <w:rPr>
                      <w:rFonts w:hint="eastAsia"/>
                      <w:color w:val="auto"/>
                      <w:lang w:val="en-US" w:eastAsia="zh-CN"/>
                    </w:rPr>
                    <w:t>外观为黑褐色多孔固体不规则块状。</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rPr>
            </w:pPr>
            <w:r>
              <w:rPr>
                <w:rFonts w:hint="eastAsia"/>
                <w:color w:val="auto"/>
              </w:rPr>
              <w:t xml:space="preserve">    </w:t>
            </w:r>
            <w:r>
              <w:rPr>
                <w:rFonts w:hint="eastAsia"/>
                <w:color w:val="auto"/>
                <w:sz w:val="24"/>
              </w:rPr>
              <w:t>项目超高功率石墨电极生产过程中采用改质沥青作为粘结剂，高温改质沥青质量指标应不低于《改质沥青》YB/T5194-2015标准中一级改质沥青质量指标，具体技术要求如表</w:t>
            </w:r>
            <w:r>
              <w:rPr>
                <w:rFonts w:hint="eastAsia"/>
                <w:color w:val="auto"/>
                <w:sz w:val="24"/>
                <w:lang w:val="en-US" w:eastAsia="zh-CN"/>
              </w:rPr>
              <w:t>10</w:t>
            </w:r>
            <w:r>
              <w:rPr>
                <w:rFonts w:hint="eastAsia"/>
                <w:color w:val="auto"/>
                <w:sz w:val="24"/>
              </w:rPr>
              <w:t>所示。</w:t>
            </w:r>
          </w:p>
          <w:p>
            <w:pPr>
              <w:pStyle w:val="2"/>
              <w:spacing w:after="0"/>
              <w:ind w:left="0" w:leftChars="0" w:firstLine="0" w:firstLineChars="0"/>
              <w:jc w:val="center"/>
              <w:rPr>
                <w:b/>
                <w:bCs/>
                <w:color w:val="auto"/>
                <w:sz w:val="24"/>
              </w:rPr>
            </w:pPr>
            <w:r>
              <w:rPr>
                <w:rFonts w:hint="eastAsia"/>
                <w:b/>
                <w:bCs/>
                <w:color w:val="auto"/>
                <w:sz w:val="24"/>
              </w:rPr>
              <w:t>表</w:t>
            </w:r>
            <w:r>
              <w:rPr>
                <w:rFonts w:hint="eastAsia"/>
                <w:b/>
                <w:bCs/>
                <w:color w:val="auto"/>
                <w:sz w:val="24"/>
                <w:lang w:val="en-US" w:eastAsia="zh-CN"/>
              </w:rPr>
              <w:t>10</w:t>
            </w:r>
            <w:r>
              <w:rPr>
                <w:rFonts w:hint="eastAsia"/>
                <w:b/>
                <w:bCs/>
                <w:color w:val="auto"/>
                <w:sz w:val="24"/>
              </w:rPr>
              <w:t xml:space="preserve"> 改性沥青质量指标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379"/>
              <w:gridCol w:w="1960"/>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41" w:type="dxa"/>
                  <w:vAlign w:val="center"/>
                </w:tcPr>
                <w:p>
                  <w:pPr>
                    <w:pStyle w:val="2"/>
                    <w:spacing w:after="0"/>
                    <w:ind w:left="0" w:leftChars="0" w:firstLine="0" w:firstLineChars="0"/>
                    <w:jc w:val="center"/>
                    <w:rPr>
                      <w:color w:val="auto"/>
                      <w:szCs w:val="21"/>
                    </w:rPr>
                  </w:pPr>
                  <w:r>
                    <w:rPr>
                      <w:rFonts w:hint="eastAsia"/>
                      <w:color w:val="auto"/>
                      <w:szCs w:val="21"/>
                    </w:rPr>
                    <w:t>项目</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指标名称</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单位</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1</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软化点（环球法）</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108~114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2</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甲苯不溶物（抽提法）</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28~32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3</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喹啉不溶物</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8~12或6~10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4</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β树脂</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5</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结焦值</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541" w:type="dxa"/>
                  <w:vAlign w:val="center"/>
                </w:tcPr>
                <w:p>
                  <w:pPr>
                    <w:pStyle w:val="2"/>
                    <w:spacing w:after="0"/>
                    <w:ind w:left="0" w:leftChars="0" w:firstLine="0" w:firstLineChars="0"/>
                    <w:jc w:val="center"/>
                    <w:rPr>
                      <w:color w:val="auto"/>
                      <w:szCs w:val="21"/>
                    </w:rPr>
                  </w:pPr>
                  <w:r>
                    <w:rPr>
                      <w:rFonts w:hint="eastAsia"/>
                      <w:color w:val="auto"/>
                      <w:szCs w:val="21"/>
                    </w:rPr>
                    <w:t>6</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灰份</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7</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馏分（0~360℃）</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8</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水份</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center"/>
                </w:tcPr>
                <w:p>
                  <w:pPr>
                    <w:pStyle w:val="2"/>
                    <w:spacing w:after="0"/>
                    <w:ind w:left="0" w:leftChars="0" w:firstLine="0" w:firstLineChars="0"/>
                    <w:jc w:val="center"/>
                    <w:rPr>
                      <w:color w:val="auto"/>
                      <w:szCs w:val="21"/>
                    </w:rPr>
                  </w:pPr>
                  <w:r>
                    <w:rPr>
                      <w:rFonts w:hint="eastAsia"/>
                      <w:color w:val="auto"/>
                      <w:szCs w:val="21"/>
                    </w:rPr>
                    <w:t>9</w:t>
                  </w:r>
                </w:p>
              </w:tc>
              <w:tc>
                <w:tcPr>
                  <w:tcW w:w="2379" w:type="dxa"/>
                  <w:vAlign w:val="center"/>
                </w:tcPr>
                <w:p>
                  <w:pPr>
                    <w:pStyle w:val="2"/>
                    <w:spacing w:after="0"/>
                    <w:ind w:left="0" w:leftChars="0" w:firstLine="0" w:firstLineChars="0"/>
                    <w:jc w:val="center"/>
                    <w:rPr>
                      <w:color w:val="auto"/>
                      <w:szCs w:val="21"/>
                    </w:rPr>
                  </w:pPr>
                  <w:r>
                    <w:rPr>
                      <w:rFonts w:hint="eastAsia"/>
                      <w:color w:val="auto"/>
                      <w:szCs w:val="21"/>
                    </w:rPr>
                    <w:t>硫分</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w:t>
                  </w:r>
                </w:p>
              </w:tc>
              <w:tc>
                <w:tcPr>
                  <w:tcW w:w="1960" w:type="dxa"/>
                  <w:vAlign w:val="center"/>
                </w:tcPr>
                <w:p>
                  <w:pPr>
                    <w:pStyle w:val="2"/>
                    <w:spacing w:after="0"/>
                    <w:ind w:left="0" w:leftChars="0" w:firstLine="0" w:firstLineChars="0"/>
                    <w:jc w:val="center"/>
                    <w:rPr>
                      <w:color w:val="auto"/>
                      <w:szCs w:val="21"/>
                    </w:rPr>
                  </w:pPr>
                  <w:r>
                    <w:rPr>
                      <w:rFonts w:hint="eastAsia"/>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0" w:type="dxa"/>
                  <w:gridSpan w:val="4"/>
                  <w:vAlign w:val="center"/>
                </w:tcPr>
                <w:p>
                  <w:pPr>
                    <w:pStyle w:val="2"/>
                    <w:spacing w:after="0"/>
                    <w:ind w:left="0" w:leftChars="0" w:firstLine="0" w:firstLineChars="0"/>
                    <w:jc w:val="both"/>
                    <w:rPr>
                      <w:rFonts w:hint="eastAsia"/>
                      <w:color w:val="auto"/>
                      <w:szCs w:val="21"/>
                    </w:rPr>
                  </w:pPr>
                  <w:r>
                    <w:rPr>
                      <w:rFonts w:hint="eastAsia"/>
                      <w:color w:val="auto"/>
                      <w:szCs w:val="21"/>
                      <w:lang w:val="en-US" w:eastAsia="zh-CN"/>
                    </w:rPr>
                    <w:t>耐高温，抗低温，适应性强；韧性好，抗疲劳；抗水、油和紫外线辐射，延缓老化；性能稳定，使用寿命长。</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sz w:val="24"/>
              </w:rPr>
            </w:pPr>
            <w:r>
              <w:rPr>
                <w:rFonts w:hint="eastAsia"/>
                <w:color w:val="auto"/>
                <w:sz w:val="24"/>
              </w:rPr>
              <w:t>项目冶金焦技术要求参照冶金焦炭GB/T 1996-2003中一级焦规定执行，见表</w:t>
            </w:r>
            <w:r>
              <w:rPr>
                <w:rFonts w:hint="eastAsia"/>
                <w:color w:val="auto"/>
                <w:sz w:val="24"/>
                <w:lang w:val="en-US" w:eastAsia="zh-CN"/>
              </w:rPr>
              <w:t>11</w:t>
            </w:r>
            <w:r>
              <w:rPr>
                <w:rFonts w:hint="eastAsia"/>
                <w:color w:val="auto"/>
                <w:sz w:val="24"/>
              </w:rPr>
              <w:t>。</w:t>
            </w:r>
          </w:p>
          <w:p>
            <w:pPr>
              <w:pStyle w:val="2"/>
              <w:spacing w:after="0"/>
              <w:ind w:left="0" w:leftChars="0" w:firstLine="0" w:firstLineChars="0"/>
              <w:jc w:val="center"/>
              <w:rPr>
                <w:b/>
                <w:bCs/>
                <w:color w:val="auto"/>
                <w:sz w:val="24"/>
              </w:rPr>
            </w:pPr>
            <w:r>
              <w:rPr>
                <w:rFonts w:hint="eastAsia"/>
                <w:b/>
                <w:bCs/>
                <w:color w:val="auto"/>
                <w:sz w:val="24"/>
              </w:rPr>
              <w:t>表</w:t>
            </w:r>
            <w:r>
              <w:rPr>
                <w:rFonts w:hint="eastAsia"/>
                <w:b/>
                <w:bCs/>
                <w:color w:val="auto"/>
                <w:sz w:val="24"/>
                <w:lang w:val="en-US" w:eastAsia="zh-CN"/>
              </w:rPr>
              <w:t>11</w:t>
            </w:r>
            <w:r>
              <w:rPr>
                <w:rFonts w:hint="eastAsia"/>
                <w:b/>
                <w:bCs/>
                <w:color w:val="auto"/>
                <w:sz w:val="24"/>
              </w:rPr>
              <w:t>冶金焦技术要求（GB/T 1996-2003）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568"/>
              <w:gridCol w:w="1568"/>
              <w:gridCol w:w="156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atLeast"/>
              </w:trPr>
              <w:tc>
                <w:tcPr>
                  <w:tcW w:w="3136" w:type="dxa"/>
                  <w:gridSpan w:val="2"/>
                </w:tcPr>
                <w:p>
                  <w:pPr>
                    <w:pStyle w:val="2"/>
                    <w:snapToGrid w:val="0"/>
                    <w:spacing w:after="0"/>
                    <w:ind w:left="0" w:leftChars="0" w:firstLine="0" w:firstLineChars="0"/>
                    <w:jc w:val="center"/>
                    <w:rPr>
                      <w:color w:val="auto"/>
                    </w:rPr>
                  </w:pPr>
                </w:p>
                <w:p>
                  <w:pPr>
                    <w:rPr>
                      <w:color w:val="auto"/>
                    </w:rPr>
                  </w:pPr>
                  <w:r>
                    <w:rPr>
                      <w:rFonts w:hint="eastAsia"/>
                      <w:color w:val="auto"/>
                      <w:szCs w:val="21"/>
                    </w:rPr>
                    <w:t>粒度，mm</w:t>
                  </w:r>
                </w:p>
                <w:p>
                  <w:pPr>
                    <w:pStyle w:val="2"/>
                    <w:spacing w:after="0"/>
                    <w:ind w:left="0" w:leftChars="0" w:firstLine="0" w:firstLineChars="0"/>
                    <w:jc w:val="center"/>
                    <w:rPr>
                      <w:color w:val="auto"/>
                    </w:rPr>
                  </w:pPr>
                  <w:r>
                    <w:rPr>
                      <w:rFonts w:hint="eastAsia"/>
                      <w:color w:val="auto"/>
                    </w:rPr>
                    <w:t xml:space="preserve">           指标</w:t>
                  </w:r>
                </w:p>
              </w:tc>
              <w:tc>
                <w:tcPr>
                  <w:tcW w:w="1568" w:type="dxa"/>
                  <w:vAlign w:val="center"/>
                </w:tcPr>
                <w:p>
                  <w:pPr>
                    <w:pStyle w:val="2"/>
                    <w:spacing w:after="0"/>
                    <w:ind w:left="0" w:leftChars="0" w:firstLine="0" w:firstLineChars="0"/>
                    <w:jc w:val="center"/>
                    <w:rPr>
                      <w:color w:val="auto"/>
                      <w:szCs w:val="21"/>
                    </w:rPr>
                  </w:pPr>
                  <w:r>
                    <w:rPr>
                      <w:rFonts w:hint="eastAsia"/>
                      <w:color w:val="auto"/>
                      <w:szCs w:val="21"/>
                    </w:rPr>
                    <w:t xml:space="preserve">＞40 </w:t>
                  </w:r>
                </w:p>
              </w:tc>
              <w:tc>
                <w:tcPr>
                  <w:tcW w:w="1568" w:type="dxa"/>
                  <w:vAlign w:val="center"/>
                </w:tcPr>
                <w:p>
                  <w:pPr>
                    <w:pStyle w:val="2"/>
                    <w:spacing w:after="0"/>
                    <w:ind w:left="0" w:leftChars="0" w:firstLine="0" w:firstLineChars="0"/>
                    <w:jc w:val="center"/>
                    <w:rPr>
                      <w:color w:val="auto"/>
                      <w:szCs w:val="21"/>
                    </w:rPr>
                  </w:pPr>
                  <w:r>
                    <w:rPr>
                      <w:rFonts w:hint="eastAsia"/>
                      <w:color w:val="auto"/>
                      <w:szCs w:val="21"/>
                    </w:rPr>
                    <w:t>＞25</w:t>
                  </w:r>
                </w:p>
              </w:tc>
              <w:tc>
                <w:tcPr>
                  <w:tcW w:w="1568" w:type="dxa"/>
                  <w:vAlign w:val="center"/>
                </w:tcPr>
                <w:p>
                  <w:pPr>
                    <w:pStyle w:val="2"/>
                    <w:spacing w:after="0"/>
                    <w:ind w:left="0" w:leftChars="0" w:firstLine="0" w:firstLineChars="0"/>
                    <w:jc w:val="center"/>
                    <w:rPr>
                      <w:color w:val="auto"/>
                      <w:szCs w:val="21"/>
                    </w:rPr>
                  </w:pPr>
                  <w:r>
                    <w:rPr>
                      <w:rFonts w:hint="eastAsia"/>
                      <w:color w:val="auto"/>
                      <w:szCs w:val="21"/>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restart"/>
                  <w:vAlign w:val="center"/>
                </w:tcPr>
                <w:p>
                  <w:pPr>
                    <w:pStyle w:val="2"/>
                    <w:spacing w:after="0"/>
                    <w:ind w:left="0" w:leftChars="0" w:firstLine="0" w:firstLineChars="0"/>
                    <w:jc w:val="center"/>
                    <w:rPr>
                      <w:color w:val="auto"/>
                      <w:szCs w:val="21"/>
                    </w:rPr>
                  </w:pPr>
                  <w:r>
                    <w:rPr>
                      <w:rFonts w:hint="eastAsia"/>
                      <w:color w:val="auto"/>
                      <w:szCs w:val="21"/>
                    </w:rPr>
                    <w:t>灰分，%</w:t>
                  </w:r>
                </w:p>
              </w:tc>
              <w:tc>
                <w:tcPr>
                  <w:tcW w:w="1568" w:type="dxa"/>
                </w:tcPr>
                <w:p>
                  <w:pPr>
                    <w:pStyle w:val="2"/>
                    <w:spacing w:after="0"/>
                    <w:ind w:left="0" w:leftChars="0" w:firstLine="0" w:firstLineChars="0"/>
                    <w:jc w:val="center"/>
                    <w:rPr>
                      <w:color w:val="auto"/>
                      <w:szCs w:val="21"/>
                    </w:rPr>
                  </w:pPr>
                  <w:r>
                    <w:rPr>
                      <w:rFonts w:hint="eastAsia"/>
                      <w:color w:val="auto"/>
                      <w:szCs w:val="21"/>
                    </w:rPr>
                    <w:t>一级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二级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三级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restart"/>
                  <w:vAlign w:val="center"/>
                </w:tcPr>
                <w:p>
                  <w:pPr>
                    <w:pStyle w:val="2"/>
                    <w:spacing w:after="0"/>
                    <w:ind w:left="0" w:leftChars="0" w:firstLine="0" w:firstLineChars="0"/>
                    <w:jc w:val="center"/>
                    <w:rPr>
                      <w:color w:val="auto"/>
                      <w:szCs w:val="21"/>
                    </w:rPr>
                  </w:pPr>
                  <w:r>
                    <w:rPr>
                      <w:rFonts w:hint="eastAsia"/>
                      <w:color w:val="auto"/>
                      <w:szCs w:val="21"/>
                    </w:rPr>
                    <w:t>硫分，%</w:t>
                  </w:r>
                </w:p>
              </w:tc>
              <w:tc>
                <w:tcPr>
                  <w:tcW w:w="1568" w:type="dxa"/>
                </w:tcPr>
                <w:p>
                  <w:pPr>
                    <w:pStyle w:val="2"/>
                    <w:spacing w:after="0"/>
                    <w:ind w:left="0" w:leftChars="0" w:firstLine="0" w:firstLineChars="0"/>
                    <w:jc w:val="center"/>
                    <w:rPr>
                      <w:color w:val="auto"/>
                      <w:szCs w:val="21"/>
                    </w:rPr>
                  </w:pPr>
                  <w:r>
                    <w:rPr>
                      <w:rFonts w:hint="eastAsia"/>
                      <w:color w:val="auto"/>
                      <w:szCs w:val="21"/>
                    </w:rPr>
                    <w:t>一级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二级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三级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restart"/>
                  <w:vAlign w:val="center"/>
                </w:tcPr>
                <w:p>
                  <w:pPr>
                    <w:pStyle w:val="2"/>
                    <w:spacing w:after="0"/>
                    <w:ind w:left="0" w:leftChars="0" w:firstLine="0" w:firstLineChars="0"/>
                    <w:jc w:val="center"/>
                    <w:rPr>
                      <w:color w:val="auto"/>
                      <w:szCs w:val="21"/>
                    </w:rPr>
                  </w:pPr>
                  <w:r>
                    <w:rPr>
                      <w:rFonts w:hint="eastAsia"/>
                      <w:color w:val="auto"/>
                      <w:szCs w:val="21"/>
                    </w:rPr>
                    <w:t>反应性，%</w:t>
                  </w:r>
                </w:p>
              </w:tc>
              <w:tc>
                <w:tcPr>
                  <w:tcW w:w="1568" w:type="dxa"/>
                </w:tcPr>
                <w:p>
                  <w:pPr>
                    <w:pStyle w:val="2"/>
                    <w:spacing w:after="0"/>
                    <w:ind w:left="0" w:leftChars="0" w:firstLine="0" w:firstLineChars="0"/>
                    <w:jc w:val="center"/>
                    <w:rPr>
                      <w:color w:val="auto"/>
                      <w:szCs w:val="21"/>
                    </w:rPr>
                  </w:pPr>
                  <w:r>
                    <w:rPr>
                      <w:rFonts w:hint="eastAsia"/>
                      <w:color w:val="auto"/>
                      <w:szCs w:val="21"/>
                    </w:rPr>
                    <w:t>一级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二级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三级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restart"/>
                  <w:vAlign w:val="center"/>
                </w:tcPr>
                <w:p>
                  <w:pPr>
                    <w:pStyle w:val="2"/>
                    <w:spacing w:after="0"/>
                    <w:ind w:left="0" w:leftChars="0" w:firstLine="0" w:firstLineChars="0"/>
                    <w:jc w:val="center"/>
                    <w:rPr>
                      <w:color w:val="auto"/>
                      <w:szCs w:val="21"/>
                    </w:rPr>
                  </w:pPr>
                  <w:r>
                    <w:rPr>
                      <w:rFonts w:hint="eastAsia"/>
                      <w:color w:val="auto"/>
                      <w:szCs w:val="21"/>
                    </w:rPr>
                    <w:t>反应后强度</w:t>
                  </w:r>
                </w:p>
              </w:tc>
              <w:tc>
                <w:tcPr>
                  <w:tcW w:w="1568" w:type="dxa"/>
                </w:tcPr>
                <w:p>
                  <w:pPr>
                    <w:pStyle w:val="2"/>
                    <w:spacing w:after="0"/>
                    <w:ind w:left="0" w:leftChars="0" w:firstLine="0" w:firstLineChars="0"/>
                    <w:jc w:val="center"/>
                    <w:rPr>
                      <w:color w:val="auto"/>
                      <w:szCs w:val="21"/>
                    </w:rPr>
                  </w:pPr>
                  <w:r>
                    <w:rPr>
                      <w:rFonts w:hint="eastAsia"/>
                      <w:color w:val="auto"/>
                      <w:szCs w:val="21"/>
                    </w:rPr>
                    <w:t>一级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二级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8" w:type="dxa"/>
                  <w:vMerge w:val="continue"/>
                </w:tcPr>
                <w:p>
                  <w:pPr>
                    <w:pStyle w:val="2"/>
                    <w:spacing w:after="0"/>
                    <w:ind w:left="0" w:leftChars="0" w:firstLine="0" w:firstLineChars="0"/>
                    <w:jc w:val="center"/>
                    <w:rPr>
                      <w:color w:val="auto"/>
                      <w:szCs w:val="21"/>
                    </w:rPr>
                  </w:pPr>
                </w:p>
              </w:tc>
              <w:tc>
                <w:tcPr>
                  <w:tcW w:w="1568" w:type="dxa"/>
                </w:tcPr>
                <w:p>
                  <w:pPr>
                    <w:pStyle w:val="2"/>
                    <w:spacing w:after="0"/>
                    <w:ind w:left="0" w:leftChars="0" w:firstLine="0" w:firstLineChars="0"/>
                    <w:jc w:val="center"/>
                    <w:rPr>
                      <w:color w:val="auto"/>
                      <w:szCs w:val="21"/>
                    </w:rPr>
                  </w:pPr>
                  <w:r>
                    <w:rPr>
                      <w:rFonts w:hint="eastAsia"/>
                      <w:color w:val="auto"/>
                      <w:szCs w:val="21"/>
                    </w:rPr>
                    <w:t>三级</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6" w:type="dxa"/>
                  <w:gridSpan w:val="2"/>
                </w:tcPr>
                <w:p>
                  <w:pPr>
                    <w:pStyle w:val="2"/>
                    <w:spacing w:after="0"/>
                    <w:ind w:left="0" w:leftChars="0" w:firstLine="0" w:firstLineChars="0"/>
                    <w:jc w:val="center"/>
                    <w:rPr>
                      <w:color w:val="auto"/>
                      <w:szCs w:val="21"/>
                    </w:rPr>
                  </w:pPr>
                  <w:r>
                    <w:rPr>
                      <w:rFonts w:hint="eastAsia"/>
                      <w:color w:val="auto"/>
                      <w:szCs w:val="21"/>
                    </w:rPr>
                    <w:t>挥发分，%</w:t>
                  </w:r>
                </w:p>
              </w:tc>
              <w:tc>
                <w:tcPr>
                  <w:tcW w:w="4704" w:type="dxa"/>
                  <w:gridSpan w:val="3"/>
                </w:tcPr>
                <w:p>
                  <w:pPr>
                    <w:pStyle w:val="2"/>
                    <w:spacing w:after="0"/>
                    <w:ind w:left="0" w:leftChars="0" w:firstLine="0" w:firstLineChars="0"/>
                    <w:jc w:val="center"/>
                    <w:rPr>
                      <w:color w:val="auto"/>
                      <w:szCs w:val="21"/>
                    </w:rPr>
                  </w:pPr>
                  <w:r>
                    <w:rPr>
                      <w:rFonts w:hint="eastAsia"/>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0" w:type="dxa"/>
                  <w:gridSpan w:val="5"/>
                </w:tcPr>
                <w:p>
                  <w:pPr>
                    <w:pStyle w:val="2"/>
                    <w:spacing w:after="0"/>
                    <w:ind w:left="0" w:leftChars="0" w:firstLine="0" w:firstLineChars="0"/>
                    <w:jc w:val="both"/>
                    <w:rPr>
                      <w:rFonts w:hint="eastAsia" w:eastAsia="宋体"/>
                      <w:color w:val="auto"/>
                      <w:szCs w:val="21"/>
                      <w:lang w:eastAsia="zh-CN"/>
                    </w:rPr>
                  </w:pPr>
                  <w:r>
                    <w:rPr>
                      <w:rFonts w:hint="eastAsia"/>
                      <w:color w:val="auto"/>
                      <w:szCs w:val="21"/>
                    </w:rPr>
                    <w:t>具有金属光泽，一般为银灰色，坚硬而多孔，表面多裂纹</w:t>
                  </w:r>
                  <w:r>
                    <w:rPr>
                      <w:rFonts w:hint="eastAsia"/>
                      <w:color w:val="auto"/>
                      <w:szCs w:val="21"/>
                      <w:lang w:eastAsia="zh-CN"/>
                    </w:rPr>
                    <w:t>。</w:t>
                  </w:r>
                </w:p>
              </w:tc>
            </w:tr>
          </w:tbl>
          <w:p>
            <w:pPr>
              <w:pStyle w:val="2"/>
              <w:spacing w:after="0" w:line="360" w:lineRule="auto"/>
              <w:ind w:left="0" w:leftChars="0" w:firstLine="480"/>
              <w:rPr>
                <w:b/>
                <w:bCs/>
                <w:color w:val="auto"/>
                <w:sz w:val="24"/>
              </w:rPr>
            </w:pPr>
            <w:r>
              <w:rPr>
                <w:rFonts w:hint="eastAsia"/>
                <w:b/>
                <w:bCs/>
                <w:color w:val="auto"/>
                <w:sz w:val="24"/>
              </w:rPr>
              <w:t>4、燃料使用情况</w:t>
            </w:r>
          </w:p>
          <w:p>
            <w:pPr>
              <w:spacing w:line="360" w:lineRule="auto"/>
              <w:rPr>
                <w:color w:val="auto"/>
                <w:sz w:val="24"/>
              </w:rPr>
            </w:pPr>
            <w:r>
              <w:rPr>
                <w:rFonts w:hint="eastAsia"/>
                <w:color w:val="auto"/>
                <w:sz w:val="24"/>
              </w:rPr>
              <w:t xml:space="preserve">    项目使用管道天然作为燃气导热油炉的燃料。天然气</w:t>
            </w:r>
            <w:r>
              <w:rPr>
                <w:rFonts w:hint="eastAsia"/>
                <w:color w:val="auto"/>
                <w:sz w:val="24"/>
                <w:lang w:val="en-US" w:eastAsia="zh-CN"/>
              </w:rPr>
              <w:t>气质检验数据</w:t>
            </w:r>
            <w:r>
              <w:rPr>
                <w:rFonts w:hint="eastAsia"/>
                <w:color w:val="auto"/>
                <w:sz w:val="24"/>
              </w:rPr>
              <w:t>如下表所示：</w:t>
            </w:r>
          </w:p>
          <w:p>
            <w:pPr>
              <w:pStyle w:val="2"/>
              <w:spacing w:after="0"/>
              <w:ind w:left="0" w:leftChars="0" w:firstLine="0" w:firstLineChars="0"/>
              <w:jc w:val="center"/>
              <w:rPr>
                <w:rFonts w:hint="default" w:eastAsia="宋体"/>
                <w:color w:val="auto"/>
                <w:lang w:val="en-US" w:eastAsia="zh-CN"/>
              </w:rPr>
            </w:pPr>
            <w:r>
              <w:rPr>
                <w:rFonts w:hint="eastAsia"/>
                <w:b/>
                <w:bCs/>
                <w:color w:val="auto"/>
                <w:sz w:val="24"/>
              </w:rPr>
              <w:t>表</w:t>
            </w:r>
            <w:r>
              <w:rPr>
                <w:rFonts w:hint="eastAsia"/>
                <w:b/>
                <w:bCs/>
                <w:color w:val="auto"/>
                <w:sz w:val="24"/>
                <w:lang w:val="en-US" w:eastAsia="zh-CN"/>
              </w:rPr>
              <w:t>12</w:t>
            </w:r>
            <w:r>
              <w:rPr>
                <w:rFonts w:hint="eastAsia"/>
                <w:b/>
                <w:bCs/>
                <w:color w:val="auto"/>
                <w:sz w:val="24"/>
              </w:rPr>
              <w:t>天然气</w:t>
            </w:r>
            <w:r>
              <w:rPr>
                <w:rFonts w:hint="eastAsia"/>
                <w:b/>
                <w:bCs/>
                <w:color w:val="auto"/>
                <w:sz w:val="24"/>
                <w:lang w:val="en-US" w:eastAsia="zh-CN"/>
              </w:rPr>
              <w:t>气质检验数据</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398"/>
              <w:gridCol w:w="1280"/>
              <w:gridCol w:w="1280"/>
              <w:gridCol w:w="850"/>
              <w:gridCol w:w="1451"/>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64"/>
                    <w:snapToGrid/>
                    <w:spacing w:before="72" w:after="72" w:line="240" w:lineRule="auto"/>
                    <w:rPr>
                      <w:rFonts w:hint="default" w:hAnsi="宋体"/>
                      <w:color w:val="auto"/>
                      <w:sz w:val="21"/>
                      <w:szCs w:val="21"/>
                    </w:rPr>
                  </w:pPr>
                  <w:r>
                    <w:rPr>
                      <w:rFonts w:hAnsi="宋体"/>
                      <w:color w:val="auto"/>
                      <w:sz w:val="21"/>
                      <w:szCs w:val="21"/>
                    </w:rPr>
                    <w:t>组成</w:t>
                  </w:r>
                </w:p>
              </w:tc>
              <w:tc>
                <w:tcPr>
                  <w:tcW w:w="891"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高位发热量</w:t>
                  </w:r>
                </w:p>
              </w:tc>
              <w:tc>
                <w:tcPr>
                  <w:tcW w:w="816"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总硫</w:t>
                  </w:r>
                </w:p>
              </w:tc>
              <w:tc>
                <w:tcPr>
                  <w:tcW w:w="816" w:type="pct"/>
                  <w:vAlign w:val="center"/>
                </w:tcPr>
                <w:p>
                  <w:pPr>
                    <w:pStyle w:val="64"/>
                    <w:snapToGrid/>
                    <w:spacing w:before="72" w:after="72" w:line="240" w:lineRule="auto"/>
                    <w:rPr>
                      <w:rFonts w:hint="eastAsia" w:hAnsi="宋体" w:eastAsia="宋体"/>
                      <w:color w:val="auto"/>
                      <w:sz w:val="21"/>
                      <w:szCs w:val="21"/>
                      <w:lang w:val="en-US" w:eastAsia="zh-CN"/>
                    </w:rPr>
                  </w:pPr>
                  <w:r>
                    <w:rPr>
                      <w:rFonts w:hint="eastAsia" w:hAnsi="宋体"/>
                      <w:color w:val="auto"/>
                      <w:sz w:val="21"/>
                      <w:szCs w:val="21"/>
                      <w:lang w:val="en-US" w:eastAsia="zh-CN"/>
                    </w:rPr>
                    <w:t>硫化氢</w:t>
                  </w:r>
                </w:p>
              </w:tc>
              <w:tc>
                <w:tcPr>
                  <w:tcW w:w="542" w:type="pct"/>
                  <w:vAlign w:val="center"/>
                </w:tcPr>
                <w:p>
                  <w:pPr>
                    <w:pStyle w:val="64"/>
                    <w:snapToGrid/>
                    <w:spacing w:before="72" w:after="72" w:line="240" w:lineRule="auto"/>
                    <w:rPr>
                      <w:rFonts w:hint="eastAsia" w:hAnsi="宋体" w:eastAsia="宋体"/>
                      <w:color w:val="auto"/>
                      <w:sz w:val="21"/>
                      <w:szCs w:val="21"/>
                      <w:lang w:val="en-US" w:eastAsia="zh-CN"/>
                    </w:rPr>
                  </w:pPr>
                  <w:r>
                    <w:rPr>
                      <w:rFonts w:hint="eastAsia" w:hAnsi="宋体"/>
                      <w:color w:val="auto"/>
                      <w:sz w:val="21"/>
                      <w:szCs w:val="21"/>
                      <w:lang w:val="en-US" w:eastAsia="zh-CN"/>
                    </w:rPr>
                    <w:t>水露点</w:t>
                  </w:r>
                </w:p>
              </w:tc>
              <w:tc>
                <w:tcPr>
                  <w:tcW w:w="925" w:type="pct"/>
                  <w:vAlign w:val="center"/>
                </w:tcPr>
                <w:p>
                  <w:pPr>
                    <w:pStyle w:val="64"/>
                    <w:snapToGrid/>
                    <w:spacing w:before="72" w:after="72" w:line="240" w:lineRule="auto"/>
                    <w:rPr>
                      <w:rFonts w:hint="eastAsia" w:hAnsi="宋体" w:eastAsia="宋体"/>
                      <w:color w:val="auto"/>
                      <w:sz w:val="21"/>
                      <w:szCs w:val="21"/>
                      <w:lang w:val="en-US" w:eastAsia="zh-CN"/>
                    </w:rPr>
                  </w:pPr>
                  <w:r>
                    <w:rPr>
                      <w:rFonts w:hint="eastAsia" w:hAnsi="宋体"/>
                      <w:color w:val="auto"/>
                      <w:sz w:val="21"/>
                      <w:szCs w:val="21"/>
                      <w:lang w:val="en-US" w:eastAsia="zh-CN"/>
                    </w:rPr>
                    <w:t>密度</w:t>
                  </w:r>
                </w:p>
              </w:tc>
              <w:tc>
                <w:tcPr>
                  <w:tcW w:w="568"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相对密度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64"/>
                    <w:snapToGrid/>
                    <w:spacing w:before="72" w:after="72" w:line="240" w:lineRule="auto"/>
                    <w:rPr>
                      <w:rFonts w:hint="default" w:hAnsi="宋体"/>
                      <w:color w:val="auto"/>
                      <w:sz w:val="21"/>
                      <w:szCs w:val="21"/>
                    </w:rPr>
                  </w:pPr>
                  <w:r>
                    <w:rPr>
                      <w:rFonts w:hAnsi="宋体"/>
                      <w:color w:val="auto"/>
                      <w:sz w:val="21"/>
                      <w:szCs w:val="21"/>
                    </w:rPr>
                    <w:t>组份</w:t>
                  </w:r>
                </w:p>
              </w:tc>
              <w:tc>
                <w:tcPr>
                  <w:tcW w:w="891"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36.17MJ/m</w:t>
                  </w:r>
                  <w:r>
                    <w:rPr>
                      <w:rFonts w:hint="eastAsia" w:hAnsi="宋体"/>
                      <w:color w:val="auto"/>
                      <w:sz w:val="21"/>
                      <w:szCs w:val="21"/>
                      <w:vertAlign w:val="superscript"/>
                      <w:lang w:val="en-US" w:eastAsia="zh-CN"/>
                    </w:rPr>
                    <w:t>3</w:t>
                  </w:r>
                </w:p>
              </w:tc>
              <w:tc>
                <w:tcPr>
                  <w:tcW w:w="816" w:type="pct"/>
                  <w:vAlign w:val="center"/>
                </w:tcPr>
                <w:p>
                  <w:pPr>
                    <w:spacing w:before="95" w:after="95"/>
                    <w:jc w:val="center"/>
                    <w:rPr>
                      <w:rFonts w:hint="default" w:hAnsi="宋体" w:eastAsia="宋体"/>
                      <w:color w:val="auto"/>
                      <w:szCs w:val="21"/>
                      <w:lang w:val="en-US" w:eastAsia="zh-CN"/>
                    </w:rPr>
                  </w:pPr>
                  <w:r>
                    <w:rPr>
                      <w:rFonts w:hint="eastAsia" w:hAnsi="宋体"/>
                      <w:color w:val="auto"/>
                      <w:szCs w:val="21"/>
                      <w:lang w:val="en-US" w:eastAsia="zh-CN"/>
                    </w:rPr>
                    <w:t>0.37mg/m</w:t>
                  </w:r>
                  <w:r>
                    <w:rPr>
                      <w:rFonts w:hint="eastAsia" w:hAnsi="宋体"/>
                      <w:color w:val="auto"/>
                      <w:szCs w:val="21"/>
                      <w:vertAlign w:val="superscript"/>
                      <w:lang w:val="en-US" w:eastAsia="zh-CN"/>
                    </w:rPr>
                    <w:t>3</w:t>
                  </w:r>
                </w:p>
              </w:tc>
              <w:tc>
                <w:tcPr>
                  <w:tcW w:w="816" w:type="pct"/>
                  <w:vAlign w:val="center"/>
                </w:tcPr>
                <w:p>
                  <w:pPr>
                    <w:spacing w:before="95" w:after="95"/>
                    <w:jc w:val="center"/>
                    <w:rPr>
                      <w:rFonts w:hint="default" w:hAnsi="宋体" w:eastAsia="宋体"/>
                      <w:color w:val="auto"/>
                      <w:szCs w:val="21"/>
                      <w:lang w:val="en-US" w:eastAsia="zh-CN"/>
                    </w:rPr>
                  </w:pPr>
                  <w:r>
                    <w:rPr>
                      <w:rFonts w:hint="eastAsia" w:hAnsi="宋体"/>
                      <w:color w:val="auto"/>
                      <w:szCs w:val="21"/>
                      <w:lang w:val="en-US" w:eastAsia="zh-CN"/>
                    </w:rPr>
                    <w:t>0.28mg/m</w:t>
                  </w:r>
                  <w:r>
                    <w:rPr>
                      <w:rFonts w:hint="eastAsia" w:hAnsi="宋体"/>
                      <w:color w:val="auto"/>
                      <w:szCs w:val="21"/>
                      <w:vertAlign w:val="superscript"/>
                      <w:lang w:val="en-US" w:eastAsia="zh-CN"/>
                    </w:rPr>
                    <w:t>3</w:t>
                  </w:r>
                </w:p>
              </w:tc>
              <w:tc>
                <w:tcPr>
                  <w:tcW w:w="542"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-6.5℃</w:t>
                  </w:r>
                </w:p>
              </w:tc>
              <w:tc>
                <w:tcPr>
                  <w:tcW w:w="925"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0.6880kg/m</w:t>
                  </w:r>
                  <w:r>
                    <w:rPr>
                      <w:rFonts w:hint="eastAsia" w:hAnsi="宋体"/>
                      <w:color w:val="auto"/>
                      <w:sz w:val="21"/>
                      <w:szCs w:val="21"/>
                      <w:vertAlign w:val="superscript"/>
                      <w:lang w:val="en-US" w:eastAsia="zh-CN"/>
                    </w:rPr>
                    <w:t>3</w:t>
                  </w:r>
                </w:p>
              </w:tc>
              <w:tc>
                <w:tcPr>
                  <w:tcW w:w="568" w:type="pct"/>
                  <w:vAlign w:val="center"/>
                </w:tcPr>
                <w:p>
                  <w:pPr>
                    <w:pStyle w:val="64"/>
                    <w:snapToGrid/>
                    <w:spacing w:before="72" w:after="72" w:line="240" w:lineRule="auto"/>
                    <w:rPr>
                      <w:rFonts w:hint="default" w:hAnsi="宋体" w:eastAsia="宋体"/>
                      <w:color w:val="auto"/>
                      <w:sz w:val="21"/>
                      <w:szCs w:val="21"/>
                      <w:lang w:val="en-US" w:eastAsia="zh-CN"/>
                    </w:rPr>
                  </w:pPr>
                  <w:r>
                    <w:rPr>
                      <w:rFonts w:hint="eastAsia" w:hAnsi="宋体"/>
                      <w:color w:val="auto"/>
                      <w:sz w:val="21"/>
                      <w:szCs w:val="21"/>
                      <w:lang w:val="en-US" w:eastAsia="zh-CN"/>
                    </w:rPr>
                    <w:t>0.5712</w:t>
                  </w:r>
                </w:p>
              </w:tc>
            </w:tr>
          </w:tbl>
          <w:p>
            <w:pPr>
              <w:pStyle w:val="2"/>
              <w:spacing w:after="0" w:line="360" w:lineRule="auto"/>
              <w:ind w:left="0" w:leftChars="0" w:firstLineChars="0"/>
              <w:rPr>
                <w:color w:val="auto"/>
                <w:sz w:val="24"/>
              </w:rPr>
            </w:pPr>
            <w:r>
              <w:rPr>
                <w:rFonts w:hint="eastAsia"/>
                <w:color w:val="auto"/>
                <w:sz w:val="24"/>
              </w:rPr>
              <w:t>项目使用天然气由厂区外天然气管网供给，厂区外网进入厂区压力位0.12MPa，天然气低位发热量为8500kcal/Nm</w:t>
            </w:r>
            <w:r>
              <w:rPr>
                <w:rFonts w:hint="eastAsia"/>
                <w:color w:val="auto"/>
                <w:sz w:val="24"/>
                <w:vertAlign w:val="superscript"/>
              </w:rPr>
              <w:t>3</w:t>
            </w:r>
            <w:r>
              <w:rPr>
                <w:rFonts w:hint="eastAsia"/>
                <w:color w:val="auto"/>
                <w:sz w:val="24"/>
              </w:rPr>
              <w:t>（35564KJ/m</w:t>
            </w:r>
            <w:r>
              <w:rPr>
                <w:rFonts w:hint="eastAsia"/>
                <w:color w:val="auto"/>
                <w:vertAlign w:val="superscript"/>
                <w:lang w:val="en-US" w:eastAsia="zh-CN"/>
              </w:rPr>
              <w:t>3</w:t>
            </w:r>
            <w:r>
              <w:rPr>
                <w:rFonts w:hint="eastAsia"/>
                <w:color w:val="auto"/>
                <w:sz w:val="24"/>
              </w:rPr>
              <w:t>）。</w:t>
            </w:r>
          </w:p>
          <w:p>
            <w:pPr>
              <w:spacing w:line="360" w:lineRule="auto"/>
              <w:ind w:firstLine="420"/>
              <w:rPr>
                <w:color w:val="auto"/>
                <w:sz w:val="24"/>
              </w:rPr>
            </w:pPr>
            <w:r>
              <w:rPr>
                <w:rFonts w:hint="eastAsia"/>
                <w:color w:val="auto"/>
                <w:sz w:val="24"/>
              </w:rPr>
              <w:t>导热油炉天然气消耗量为310Nm</w:t>
            </w:r>
            <w:r>
              <w:rPr>
                <w:rFonts w:hint="eastAsia"/>
                <w:color w:val="auto"/>
                <w:sz w:val="24"/>
                <w:vertAlign w:val="superscript"/>
              </w:rPr>
              <w:t>3</w:t>
            </w:r>
            <w:r>
              <w:rPr>
                <w:rFonts w:hint="eastAsia"/>
                <w:color w:val="auto"/>
                <w:sz w:val="24"/>
              </w:rPr>
              <w:t>/h。</w:t>
            </w:r>
          </w:p>
          <w:p>
            <w:pPr>
              <w:adjustRightInd w:val="0"/>
              <w:snapToGrid w:val="0"/>
              <w:spacing w:line="360" w:lineRule="auto"/>
              <w:ind w:firstLine="482" w:firstLineChars="200"/>
              <w:rPr>
                <w:rFonts w:cs="宋体"/>
                <w:b/>
                <w:color w:val="auto"/>
                <w:sz w:val="24"/>
              </w:rPr>
            </w:pPr>
            <w:r>
              <w:rPr>
                <w:rFonts w:hint="eastAsia" w:cs="宋体"/>
                <w:b/>
                <w:color w:val="auto"/>
                <w:sz w:val="24"/>
              </w:rPr>
              <w:t>5、项目总平面布置</w:t>
            </w:r>
          </w:p>
          <w:p>
            <w:pPr>
              <w:spacing w:line="360" w:lineRule="auto"/>
              <w:ind w:firstLine="480" w:firstLineChars="200"/>
              <w:rPr>
                <w:color w:val="auto"/>
                <w:sz w:val="24"/>
              </w:rPr>
            </w:pPr>
            <w:r>
              <w:rPr>
                <w:rFonts w:hint="eastAsia"/>
                <w:color w:val="auto"/>
                <w:sz w:val="24"/>
              </w:rPr>
              <w:t>项目主要建构筑物及生产工段有：原料转运车间/返回料车间、中碎筛分、磨粉配料及混捏成型、生制品车间、石墨化中转车间、石墨化车间、机加工、导热油加热站、液体沥青储运/导热油储槽、循环水、加压泵站、废水处理、雨水收集、调压柜、办公楼、综合楼、</w:t>
            </w:r>
            <w:r>
              <w:rPr>
                <w:rFonts w:hint="eastAsia"/>
                <w:color w:val="auto"/>
                <w:sz w:val="24"/>
                <w:lang w:val="en-US" w:eastAsia="zh-CN"/>
              </w:rPr>
              <w:t>科研</w:t>
            </w:r>
            <w:r>
              <w:rPr>
                <w:rFonts w:hint="eastAsia"/>
                <w:color w:val="auto"/>
                <w:sz w:val="24"/>
              </w:rPr>
              <w:t>楼等。</w:t>
            </w:r>
          </w:p>
          <w:p>
            <w:pPr>
              <w:spacing w:line="360" w:lineRule="auto"/>
              <w:ind w:firstLine="480" w:firstLineChars="200"/>
              <w:rPr>
                <w:color w:val="auto"/>
                <w:sz w:val="24"/>
              </w:rPr>
            </w:pPr>
            <w:r>
              <w:rPr>
                <w:rFonts w:hint="eastAsia"/>
                <w:color w:val="auto"/>
                <w:sz w:val="24"/>
              </w:rPr>
              <w:t>根据车间组成，以及工艺配置方案，结合外部运输条件等要求，整个厂区的布置以工艺流程为主，总平面布置以南向北布置。</w:t>
            </w:r>
          </w:p>
          <w:p>
            <w:pPr>
              <w:spacing w:line="360" w:lineRule="auto"/>
              <w:ind w:firstLine="480" w:firstLineChars="200"/>
              <w:rPr>
                <w:color w:val="auto"/>
                <w:sz w:val="24"/>
              </w:rPr>
            </w:pPr>
            <w:r>
              <w:rPr>
                <w:rFonts w:hint="eastAsia"/>
                <w:color w:val="auto"/>
                <w:sz w:val="24"/>
              </w:rPr>
              <w:t>厂区南部布置办公区，其中布置办公楼、综合楼、</w:t>
            </w:r>
            <w:r>
              <w:rPr>
                <w:rFonts w:hint="eastAsia"/>
                <w:color w:val="auto"/>
                <w:sz w:val="24"/>
                <w:lang w:val="en-US" w:eastAsia="zh-CN"/>
              </w:rPr>
              <w:t>科研</w:t>
            </w:r>
            <w:r>
              <w:rPr>
                <w:rFonts w:hint="eastAsia"/>
                <w:color w:val="auto"/>
                <w:sz w:val="24"/>
              </w:rPr>
              <w:t>楼，办公区以北为生产区，原料转运车间/返回料车间布置在生产区的</w:t>
            </w:r>
            <w:r>
              <w:rPr>
                <w:rFonts w:hint="eastAsia"/>
                <w:color w:val="auto"/>
                <w:sz w:val="24"/>
                <w:lang w:val="en-US" w:eastAsia="zh-CN"/>
              </w:rPr>
              <w:t>中部区域</w:t>
            </w:r>
            <w:r>
              <w:rPr>
                <w:rFonts w:hint="eastAsia"/>
                <w:color w:val="auto"/>
                <w:sz w:val="24"/>
              </w:rPr>
              <w:t>；中碎/混捏、压型车间、生制品车间布置在原料转运站的</w:t>
            </w:r>
            <w:r>
              <w:rPr>
                <w:rFonts w:hint="eastAsia"/>
                <w:color w:val="auto"/>
                <w:sz w:val="24"/>
                <w:lang w:val="en-US" w:eastAsia="zh-CN"/>
              </w:rPr>
              <w:t>南</w:t>
            </w:r>
            <w:r>
              <w:rPr>
                <w:rFonts w:hint="eastAsia"/>
                <w:color w:val="auto"/>
                <w:sz w:val="24"/>
              </w:rPr>
              <w:t>侧；石墨化中转车间、石墨化车间布置在</w:t>
            </w:r>
            <w:r>
              <w:rPr>
                <w:rFonts w:hint="eastAsia"/>
                <w:color w:val="auto"/>
                <w:sz w:val="24"/>
                <w:lang w:val="en-US" w:eastAsia="zh-CN"/>
              </w:rPr>
              <w:t>原料转运站</w:t>
            </w:r>
            <w:r>
              <w:rPr>
                <w:rFonts w:hint="eastAsia"/>
                <w:color w:val="auto"/>
                <w:sz w:val="24"/>
              </w:rPr>
              <w:t>的</w:t>
            </w:r>
            <w:r>
              <w:rPr>
                <w:rFonts w:hint="eastAsia"/>
                <w:color w:val="auto"/>
                <w:sz w:val="24"/>
                <w:lang w:val="en-US" w:eastAsia="zh-CN"/>
              </w:rPr>
              <w:t>北侧区域</w:t>
            </w:r>
            <w:r>
              <w:rPr>
                <w:rFonts w:hint="eastAsia"/>
                <w:color w:val="auto"/>
                <w:sz w:val="24"/>
              </w:rPr>
              <w:t>，机加工布置在</w:t>
            </w:r>
            <w:r>
              <w:rPr>
                <w:rFonts w:hint="eastAsia"/>
                <w:color w:val="auto"/>
                <w:sz w:val="24"/>
                <w:lang w:val="en-US" w:eastAsia="zh-CN"/>
              </w:rPr>
              <w:t>石墨化车间</w:t>
            </w:r>
            <w:r>
              <w:rPr>
                <w:rFonts w:hint="eastAsia"/>
                <w:color w:val="auto"/>
                <w:sz w:val="24"/>
              </w:rPr>
              <w:t>的北侧，导热油加热站、液体沥青储运/导热油储槽、循环水、加压泵站、废水处理、雨水收集等布置在主体生产车间的周边。</w:t>
            </w:r>
          </w:p>
          <w:p>
            <w:pPr>
              <w:spacing w:line="360" w:lineRule="auto"/>
              <w:ind w:firstLine="480"/>
              <w:rPr>
                <w:rFonts w:hint="eastAsia"/>
                <w:color w:val="auto"/>
                <w:sz w:val="24"/>
              </w:rPr>
            </w:pPr>
            <w:r>
              <w:rPr>
                <w:rFonts w:hint="eastAsia"/>
                <w:color w:val="auto"/>
                <w:sz w:val="24"/>
              </w:rPr>
              <w:t>项目厂区平面布置图具体见附图</w:t>
            </w:r>
            <w:r>
              <w:rPr>
                <w:rFonts w:hint="eastAsia"/>
                <w:color w:val="auto"/>
                <w:sz w:val="24"/>
                <w:lang w:val="en-US" w:eastAsia="zh-CN"/>
              </w:rPr>
              <w:t>9</w:t>
            </w:r>
            <w:r>
              <w:rPr>
                <w:rFonts w:hint="eastAsia"/>
                <w:color w:val="auto"/>
                <w:sz w:val="24"/>
              </w:rPr>
              <w:t>。</w:t>
            </w:r>
          </w:p>
          <w:p>
            <w:pPr>
              <w:spacing w:line="360" w:lineRule="auto"/>
              <w:ind w:firstLine="480"/>
              <w:rPr>
                <w:rFonts w:hint="eastAsia"/>
                <w:color w:val="auto"/>
                <w:sz w:val="24"/>
              </w:rPr>
            </w:pPr>
          </w:p>
          <w:p>
            <w:pPr>
              <w:adjustRightInd w:val="0"/>
              <w:snapToGrid w:val="0"/>
              <w:spacing w:line="360" w:lineRule="auto"/>
              <w:ind w:firstLine="482" w:firstLineChars="200"/>
              <w:rPr>
                <w:rFonts w:cs="宋体"/>
                <w:b/>
                <w:color w:val="auto"/>
                <w:sz w:val="24"/>
              </w:rPr>
            </w:pPr>
            <w:r>
              <w:rPr>
                <w:rFonts w:hint="eastAsia" w:cs="宋体"/>
                <w:b/>
                <w:color w:val="auto"/>
                <w:sz w:val="24"/>
              </w:rPr>
              <w:t>6、</w:t>
            </w:r>
            <w:r>
              <w:rPr>
                <w:rFonts w:cs="宋体"/>
                <w:b/>
                <w:color w:val="auto"/>
                <w:sz w:val="24"/>
              </w:rPr>
              <w:t>公用辅助工程</w:t>
            </w:r>
          </w:p>
          <w:p>
            <w:pPr>
              <w:spacing w:line="360" w:lineRule="auto"/>
              <w:ind w:firstLine="482" w:firstLineChars="200"/>
              <w:rPr>
                <w:color w:val="auto"/>
                <w:sz w:val="24"/>
              </w:rPr>
            </w:pPr>
            <w:r>
              <w:rPr>
                <w:rFonts w:hint="eastAsia"/>
                <w:b/>
                <w:bCs/>
                <w:color w:val="auto"/>
                <w:sz w:val="24"/>
              </w:rPr>
              <w:t>（1）</w:t>
            </w:r>
            <w:r>
              <w:rPr>
                <w:b/>
                <w:bCs/>
                <w:color w:val="auto"/>
                <w:sz w:val="24"/>
              </w:rPr>
              <w:t>给排水工程</w:t>
            </w:r>
          </w:p>
          <w:p>
            <w:pPr>
              <w:spacing w:line="360" w:lineRule="auto"/>
              <w:ind w:firstLine="482" w:firstLineChars="200"/>
              <w:rPr>
                <w:b/>
                <w:bCs/>
                <w:color w:val="auto"/>
                <w:sz w:val="24"/>
              </w:rPr>
            </w:pPr>
            <w:r>
              <w:rPr>
                <w:b/>
                <w:bCs/>
                <w:color w:val="auto"/>
                <w:sz w:val="24"/>
              </w:rPr>
              <w:t>1）给水系统</w:t>
            </w:r>
          </w:p>
          <w:p>
            <w:pPr>
              <w:spacing w:line="360" w:lineRule="auto"/>
              <w:ind w:firstLine="480" w:firstLineChars="200"/>
              <w:rPr>
                <w:color w:val="auto"/>
                <w:sz w:val="24"/>
              </w:rPr>
            </w:pPr>
            <w:r>
              <w:rPr>
                <w:rFonts w:hint="eastAsia"/>
                <w:color w:val="auto"/>
                <w:sz w:val="24"/>
              </w:rPr>
              <w:t>项目用水包括生产用水和生活用水，均接自园区给水管网</w:t>
            </w:r>
            <w:r>
              <w:rPr>
                <w:color w:val="auto"/>
                <w:sz w:val="24"/>
              </w:rPr>
              <w:t>。</w:t>
            </w:r>
          </w:p>
          <w:p>
            <w:pPr>
              <w:spacing w:line="360" w:lineRule="auto"/>
              <w:ind w:firstLine="482" w:firstLineChars="200"/>
              <w:rPr>
                <w:b/>
                <w:bCs/>
                <w:color w:val="auto"/>
                <w:sz w:val="24"/>
              </w:rPr>
            </w:pPr>
            <w:r>
              <w:rPr>
                <w:b/>
                <w:bCs/>
                <w:color w:val="auto"/>
                <w:sz w:val="24"/>
              </w:rPr>
              <w:t>2）用水情况</w:t>
            </w:r>
          </w:p>
          <w:p>
            <w:pPr>
              <w:spacing w:line="360" w:lineRule="auto"/>
              <w:rPr>
                <w:color w:val="auto"/>
                <w:sz w:val="24"/>
              </w:rPr>
            </w:pPr>
            <w:r>
              <w:rPr>
                <w:rFonts w:hint="eastAsia"/>
                <w:color w:val="auto"/>
              </w:rPr>
              <w:t xml:space="preserve">    </w:t>
            </w:r>
            <w:r>
              <w:rPr>
                <w:rFonts w:hint="eastAsia"/>
                <w:color w:val="auto"/>
                <w:sz w:val="24"/>
              </w:rPr>
              <w:t>①清循环自流回水系统 ：主要供给石墨化车间的端面镜、炉头电极、配电小车，石墨化烟气净化车间，机加工车间的电极本体加工机线、电极接头加工机线和原料转运站车间的液压破碎机等设备的冷却水，自流回水。循环系统设施按一次建成设计。</w:t>
            </w:r>
          </w:p>
          <w:p>
            <w:pPr>
              <w:spacing w:line="360" w:lineRule="auto"/>
              <w:ind w:firstLine="480" w:firstLineChars="200"/>
              <w:rPr>
                <w:color w:val="auto"/>
                <w:sz w:val="24"/>
              </w:rPr>
            </w:pPr>
            <w:r>
              <w:rPr>
                <w:rFonts w:hint="eastAsia"/>
                <w:color w:val="auto"/>
                <w:sz w:val="24"/>
              </w:rPr>
              <w:t>该系统使用软水，最大小时循环水水量为880m</w:t>
            </w:r>
            <w:r>
              <w:rPr>
                <w:rFonts w:hint="eastAsia"/>
                <w:color w:val="auto"/>
                <w:sz w:val="24"/>
                <w:vertAlign w:val="superscript"/>
              </w:rPr>
              <w:t>3</w:t>
            </w:r>
            <w:r>
              <w:rPr>
                <w:rFonts w:hint="eastAsia"/>
                <w:color w:val="auto"/>
                <w:sz w:val="24"/>
              </w:rPr>
              <w:t>/h。循环水系统排水量按0.1%计（用于补充浊循环系统），蒸发损失水量按1.5%计，可计算得到该系统补水量为14m</w:t>
            </w:r>
            <w:r>
              <w:rPr>
                <w:rFonts w:hint="eastAsia"/>
                <w:color w:val="auto"/>
                <w:sz w:val="24"/>
                <w:vertAlign w:val="superscript"/>
              </w:rPr>
              <w:t>3</w:t>
            </w:r>
            <w:r>
              <w:rPr>
                <w:rFonts w:hint="eastAsia"/>
                <w:color w:val="auto"/>
                <w:sz w:val="24"/>
              </w:rPr>
              <w:t>/h。软水制备系统净水产率按75%计，则新鲜水消耗量为18.67m</w:t>
            </w:r>
            <w:r>
              <w:rPr>
                <w:rFonts w:hint="eastAsia"/>
                <w:color w:val="auto"/>
                <w:sz w:val="24"/>
                <w:vertAlign w:val="superscript"/>
              </w:rPr>
              <w:t>3</w:t>
            </w:r>
            <w:r>
              <w:rPr>
                <w:rFonts w:hint="eastAsia"/>
                <w:color w:val="auto"/>
                <w:sz w:val="24"/>
              </w:rPr>
              <w:t>/h。</w:t>
            </w:r>
          </w:p>
          <w:p>
            <w:pPr>
              <w:spacing w:line="360" w:lineRule="auto"/>
              <w:ind w:firstLine="480" w:firstLineChars="200"/>
              <w:rPr>
                <w:color w:val="auto"/>
                <w:sz w:val="24"/>
              </w:rPr>
            </w:pPr>
            <w:r>
              <w:rPr>
                <w:rFonts w:hint="eastAsia"/>
                <w:color w:val="auto"/>
                <w:sz w:val="24"/>
              </w:rPr>
              <w:t>②清循环有压回水系统：主要供给配料混捏/压型车间的冷却锅润滑系统和挤压机等设备的冷却水，循环水量为300m</w:t>
            </w:r>
            <w:r>
              <w:rPr>
                <w:rFonts w:hint="eastAsia"/>
                <w:color w:val="auto"/>
                <w:sz w:val="24"/>
                <w:vertAlign w:val="superscript"/>
              </w:rPr>
              <w:t>3</w:t>
            </w:r>
            <w:r>
              <w:rPr>
                <w:rFonts w:hint="eastAsia"/>
                <w:color w:val="auto"/>
                <w:sz w:val="24"/>
              </w:rPr>
              <w:t>/h，循环水为软水。循环水系统排水量按0.1%计（用于补充浊循环系统），蒸发损失水量按1.5%计，可计算得到该系统补水量为4.8m</w:t>
            </w:r>
            <w:r>
              <w:rPr>
                <w:rFonts w:hint="eastAsia"/>
                <w:color w:val="auto"/>
                <w:sz w:val="24"/>
                <w:vertAlign w:val="superscript"/>
              </w:rPr>
              <w:t>3</w:t>
            </w:r>
            <w:r>
              <w:rPr>
                <w:rFonts w:hint="eastAsia"/>
                <w:color w:val="auto"/>
                <w:sz w:val="24"/>
              </w:rPr>
              <w:t>/h。软水制备系统净水产率按75%计，则新鲜水消耗量为6.4m</w:t>
            </w:r>
            <w:r>
              <w:rPr>
                <w:rFonts w:hint="eastAsia"/>
                <w:color w:val="auto"/>
                <w:sz w:val="24"/>
                <w:vertAlign w:val="superscript"/>
              </w:rPr>
              <w:t>3</w:t>
            </w:r>
            <w:r>
              <w:rPr>
                <w:rFonts w:hint="eastAsia"/>
                <w:color w:val="auto"/>
                <w:sz w:val="24"/>
              </w:rPr>
              <w:t>/h。</w:t>
            </w:r>
          </w:p>
          <w:p>
            <w:pPr>
              <w:spacing w:line="360" w:lineRule="auto"/>
              <w:ind w:firstLine="420" w:firstLineChars="200"/>
              <w:rPr>
                <w:color w:val="auto"/>
                <w:sz w:val="24"/>
              </w:rPr>
            </w:pPr>
            <w:r>
              <w:rPr>
                <w:rFonts w:hint="eastAsia"/>
                <w:color w:val="auto"/>
              </w:rPr>
              <w:t xml:space="preserve"> </w:t>
            </w:r>
            <w:r>
              <w:rPr>
                <w:rFonts w:hint="eastAsia"/>
                <w:color w:val="auto"/>
                <w:sz w:val="24"/>
              </w:rPr>
              <w:t>③浊循环系统：主要供给石墨化车间电极冷却、配料混捏/压型车间电极设备的冷却水，自流回水。循环水量为580m</w:t>
            </w:r>
            <w:r>
              <w:rPr>
                <w:rFonts w:hint="eastAsia"/>
                <w:color w:val="auto"/>
                <w:sz w:val="24"/>
                <w:vertAlign w:val="superscript"/>
              </w:rPr>
              <w:t>3</w:t>
            </w:r>
            <w:r>
              <w:rPr>
                <w:rFonts w:hint="eastAsia"/>
                <w:color w:val="auto"/>
                <w:sz w:val="24"/>
              </w:rPr>
              <w:t>/h。该系统补水量按循环水量1.5%计，补水量为8.7m</w:t>
            </w:r>
            <w:r>
              <w:rPr>
                <w:rFonts w:hint="eastAsia"/>
                <w:color w:val="auto"/>
                <w:sz w:val="24"/>
                <w:vertAlign w:val="superscript"/>
              </w:rPr>
              <w:t>3</w:t>
            </w:r>
            <w:r>
              <w:rPr>
                <w:rFonts w:hint="eastAsia"/>
                <w:color w:val="auto"/>
                <w:sz w:val="24"/>
              </w:rPr>
              <w:t>/h，新鲜水消耗量为7.52m</w:t>
            </w:r>
            <w:r>
              <w:rPr>
                <w:rFonts w:hint="eastAsia"/>
                <w:color w:val="auto"/>
                <w:sz w:val="24"/>
                <w:vertAlign w:val="superscript"/>
              </w:rPr>
              <w:t>3</w:t>
            </w:r>
            <w:r>
              <w:rPr>
                <w:rFonts w:hint="eastAsia"/>
                <w:color w:val="auto"/>
                <w:sz w:val="24"/>
              </w:rPr>
              <w:t>/h（其中1.18m</w:t>
            </w:r>
            <w:r>
              <w:rPr>
                <w:rFonts w:hint="eastAsia"/>
                <w:color w:val="auto"/>
                <w:sz w:val="24"/>
                <w:vertAlign w:val="superscript"/>
              </w:rPr>
              <w:t>3</w:t>
            </w:r>
            <w:r>
              <w:rPr>
                <w:rFonts w:hint="eastAsia"/>
                <w:color w:val="auto"/>
                <w:sz w:val="24"/>
              </w:rPr>
              <w:t>/h来自于清循环系统排水）。</w:t>
            </w:r>
          </w:p>
          <w:p>
            <w:pPr>
              <w:spacing w:line="360" w:lineRule="auto"/>
              <w:ind w:firstLine="480" w:firstLineChars="200"/>
              <w:rPr>
                <w:color w:val="auto"/>
                <w:sz w:val="24"/>
              </w:rPr>
            </w:pPr>
            <w:r>
              <w:rPr>
                <w:rFonts w:hint="eastAsia"/>
                <w:color w:val="auto"/>
                <w:sz w:val="24"/>
              </w:rPr>
              <w:t>④脱硫系统补水：项目使用</w:t>
            </w:r>
            <w:r>
              <w:rPr>
                <w:rFonts w:hint="eastAsia"/>
                <w:color w:val="auto"/>
                <w:sz w:val="24"/>
                <w:highlight w:val="none"/>
              </w:rPr>
              <w:t>石灰-石膏</w:t>
            </w:r>
            <w:r>
              <w:rPr>
                <w:rFonts w:hint="eastAsia"/>
                <w:color w:val="auto"/>
                <w:sz w:val="24"/>
                <w:highlight w:val="none"/>
                <w:lang w:val="en-US" w:eastAsia="zh-CN"/>
              </w:rPr>
              <w:t>法</w:t>
            </w:r>
            <w:r>
              <w:rPr>
                <w:rFonts w:hint="eastAsia"/>
                <w:color w:val="auto"/>
                <w:sz w:val="24"/>
              </w:rPr>
              <w:t>脱硫工艺，补水量为0.41m</w:t>
            </w:r>
            <w:r>
              <w:rPr>
                <w:rFonts w:hint="eastAsia"/>
                <w:color w:val="auto"/>
                <w:sz w:val="24"/>
                <w:vertAlign w:val="superscript"/>
              </w:rPr>
              <w:t>3</w:t>
            </w:r>
            <w:r>
              <w:rPr>
                <w:rFonts w:hint="eastAsia"/>
                <w:color w:val="auto"/>
                <w:sz w:val="24"/>
              </w:rPr>
              <w:t>/h。</w:t>
            </w:r>
          </w:p>
          <w:p>
            <w:pPr>
              <w:spacing w:line="360" w:lineRule="auto"/>
              <w:ind w:firstLine="480" w:firstLineChars="200"/>
              <w:rPr>
                <w:color w:val="auto"/>
                <w:sz w:val="24"/>
              </w:rPr>
            </w:pPr>
            <w:r>
              <w:rPr>
                <w:rFonts w:hint="eastAsia"/>
                <w:color w:val="auto"/>
                <w:sz w:val="24"/>
              </w:rPr>
              <w:t>⑤生活用水</w:t>
            </w:r>
          </w:p>
          <w:p>
            <w:pPr>
              <w:spacing w:line="360" w:lineRule="auto"/>
              <w:ind w:firstLine="480" w:firstLineChars="200"/>
              <w:rPr>
                <w:color w:val="auto"/>
                <w:sz w:val="24"/>
              </w:rPr>
            </w:pPr>
            <w:r>
              <w:rPr>
                <w:rFonts w:hint="eastAsia" w:cs="宋体"/>
                <w:color w:val="auto"/>
                <w:sz w:val="24"/>
                <w:lang w:bidi="ar"/>
              </w:rPr>
              <w:t>全厂职工定员240</w:t>
            </w:r>
            <w:r>
              <w:rPr>
                <w:rFonts w:hint="eastAsia"/>
                <w:color w:val="auto"/>
                <w:lang w:val="en-US" w:eastAsia="zh-CN"/>
              </w:rPr>
              <w:t>人</w:t>
            </w:r>
            <w:r>
              <w:rPr>
                <w:rFonts w:hint="eastAsia" w:cs="宋体"/>
                <w:color w:val="auto"/>
                <w:sz w:val="24"/>
                <w:lang w:bidi="ar"/>
              </w:rPr>
              <w:t>，年生产</w:t>
            </w:r>
            <w:r>
              <w:rPr>
                <w:color w:val="auto"/>
                <w:sz w:val="24"/>
                <w:lang w:bidi="ar"/>
              </w:rPr>
              <w:t>300</w:t>
            </w:r>
            <w:r>
              <w:rPr>
                <w:rFonts w:hint="eastAsia" w:cs="宋体"/>
                <w:color w:val="auto"/>
                <w:sz w:val="24"/>
                <w:lang w:bidi="ar"/>
              </w:rPr>
              <w:t>天，职工生活用水按每人每天</w:t>
            </w:r>
            <w:r>
              <w:rPr>
                <w:rFonts w:hint="eastAsia"/>
                <w:color w:val="auto"/>
                <w:sz w:val="24"/>
                <w:lang w:val="en-US" w:eastAsia="zh-CN" w:bidi="ar"/>
              </w:rPr>
              <w:t>9</w:t>
            </w:r>
            <w:r>
              <w:rPr>
                <w:color w:val="auto"/>
                <w:sz w:val="24"/>
                <w:lang w:bidi="ar"/>
              </w:rPr>
              <w:t>0L</w:t>
            </w:r>
            <w:r>
              <w:rPr>
                <w:rFonts w:hint="eastAsia" w:cs="宋体"/>
                <w:color w:val="auto"/>
                <w:sz w:val="24"/>
                <w:lang w:bidi="ar"/>
              </w:rPr>
              <w:t>计算，生活用水量为</w:t>
            </w:r>
            <w:r>
              <w:rPr>
                <w:rFonts w:hint="eastAsia"/>
                <w:color w:val="auto"/>
                <w:sz w:val="24"/>
                <w:lang w:val="en-US" w:eastAsia="zh-CN" w:bidi="ar"/>
              </w:rPr>
              <w:t>21.6</w:t>
            </w:r>
            <w:r>
              <w:rPr>
                <w:color w:val="auto"/>
                <w:sz w:val="24"/>
                <w:lang w:bidi="ar"/>
              </w:rPr>
              <w:t>m³/d</w:t>
            </w:r>
          </w:p>
          <w:p>
            <w:pPr>
              <w:spacing w:line="360" w:lineRule="auto"/>
              <w:ind w:firstLine="482" w:firstLineChars="200"/>
              <w:rPr>
                <w:b/>
                <w:bCs/>
                <w:color w:val="auto"/>
                <w:sz w:val="24"/>
              </w:rPr>
            </w:pPr>
            <w:r>
              <w:rPr>
                <w:b/>
                <w:bCs/>
                <w:color w:val="auto"/>
                <w:sz w:val="24"/>
              </w:rPr>
              <w:t>3）排水系统</w:t>
            </w:r>
          </w:p>
          <w:p>
            <w:pPr>
              <w:pStyle w:val="2"/>
              <w:spacing w:after="0" w:line="360" w:lineRule="auto"/>
              <w:ind w:left="0" w:leftChars="0" w:firstLine="480"/>
              <w:rPr>
                <w:color w:val="auto"/>
                <w:sz w:val="24"/>
              </w:rPr>
            </w:pPr>
            <w:r>
              <w:rPr>
                <w:rFonts w:hint="eastAsia"/>
                <w:color w:val="auto"/>
                <w:sz w:val="24"/>
              </w:rPr>
              <w:t>项目软水制备系统产生的浓相水用于脱硫系统补水，不外排。综合分析，项目运行期间无生产废水外排。</w:t>
            </w:r>
          </w:p>
          <w:p>
            <w:pPr>
              <w:spacing w:line="360" w:lineRule="auto"/>
              <w:rPr>
                <w:color w:val="auto"/>
                <w:sz w:val="24"/>
              </w:rPr>
            </w:pPr>
            <w:r>
              <w:rPr>
                <w:rFonts w:hint="eastAsia"/>
                <w:color w:val="auto"/>
              </w:rPr>
              <w:t xml:space="preserve">    </w:t>
            </w:r>
            <w:r>
              <w:rPr>
                <w:rFonts w:hint="eastAsia"/>
                <w:color w:val="auto"/>
                <w:sz w:val="24"/>
              </w:rPr>
              <w:t>职工人员的生活污水经管网进入园区污水处理厂—大同市御东新区污水处理厂处理，排水量按用水量80%计，则生活污水排水量为5.76m</w:t>
            </w:r>
            <w:r>
              <w:rPr>
                <w:rFonts w:hint="eastAsia"/>
                <w:color w:val="auto"/>
                <w:sz w:val="24"/>
                <w:vertAlign w:val="superscript"/>
              </w:rPr>
              <w:t>3</w:t>
            </w:r>
            <w:r>
              <w:rPr>
                <w:rFonts w:hint="eastAsia"/>
                <w:color w:val="auto"/>
                <w:sz w:val="24"/>
              </w:rPr>
              <w:t>/d。</w:t>
            </w:r>
          </w:p>
          <w:p>
            <w:pPr>
              <w:spacing w:line="360" w:lineRule="auto"/>
              <w:ind w:firstLine="482" w:firstLineChars="200"/>
              <w:rPr>
                <w:b/>
                <w:bCs/>
                <w:color w:val="auto"/>
                <w:sz w:val="24"/>
              </w:rPr>
            </w:pPr>
            <w:r>
              <w:rPr>
                <w:rFonts w:hint="eastAsia"/>
                <w:b/>
                <w:bCs/>
                <w:color w:val="auto"/>
                <w:sz w:val="24"/>
              </w:rPr>
              <w:t>4）水平衡分析</w:t>
            </w:r>
          </w:p>
          <w:p>
            <w:pPr>
              <w:spacing w:line="360" w:lineRule="auto"/>
              <w:ind w:firstLine="480" w:firstLineChars="200"/>
              <w:rPr>
                <w:rFonts w:hint="eastAsia"/>
                <w:color w:val="auto"/>
                <w:sz w:val="24"/>
              </w:rPr>
            </w:pPr>
            <w:r>
              <w:rPr>
                <w:rFonts w:hint="eastAsia"/>
                <w:color w:val="auto"/>
                <w:sz w:val="24"/>
              </w:rPr>
              <w:t>项目各用水单元用排水量统计见表1</w:t>
            </w:r>
            <w:r>
              <w:rPr>
                <w:rFonts w:hint="eastAsia"/>
                <w:color w:val="auto"/>
                <w:sz w:val="24"/>
                <w:lang w:val="en-US" w:eastAsia="zh-CN"/>
              </w:rPr>
              <w:t>3</w:t>
            </w:r>
            <w:r>
              <w:rPr>
                <w:rFonts w:hint="eastAsia"/>
                <w:color w:val="auto"/>
                <w:sz w:val="24"/>
              </w:rPr>
              <w:t>。水平衡图见图1。</w:t>
            </w:r>
          </w:p>
          <w:p>
            <w:pPr>
              <w:ind w:firstLine="482" w:firstLineChars="200"/>
              <w:jc w:val="center"/>
              <w:rPr>
                <w:b/>
                <w:bCs/>
                <w:color w:val="auto"/>
                <w:sz w:val="24"/>
              </w:rPr>
            </w:pPr>
            <w:r>
              <w:rPr>
                <w:b/>
                <w:bCs/>
                <w:color w:val="auto"/>
                <w:sz w:val="24"/>
              </w:rPr>
              <w:t>表</w:t>
            </w:r>
            <w:r>
              <w:rPr>
                <w:rFonts w:hint="eastAsia"/>
                <w:b/>
                <w:bCs/>
                <w:color w:val="auto"/>
                <w:sz w:val="24"/>
              </w:rPr>
              <w:t>1</w:t>
            </w:r>
            <w:r>
              <w:rPr>
                <w:rFonts w:hint="eastAsia"/>
                <w:b/>
                <w:bCs/>
                <w:color w:val="auto"/>
                <w:sz w:val="24"/>
                <w:lang w:val="en-US" w:eastAsia="zh-CN"/>
              </w:rPr>
              <w:t>3</w:t>
            </w:r>
            <w:r>
              <w:rPr>
                <w:b/>
                <w:bCs/>
                <w:color w:val="auto"/>
                <w:sz w:val="24"/>
              </w:rPr>
              <w:t>项目用排水情况一览表</w:t>
            </w:r>
            <w:r>
              <w:rPr>
                <w:rFonts w:hint="eastAsia"/>
                <w:b/>
                <w:bCs/>
                <w:color w:val="auto"/>
                <w:sz w:val="24"/>
              </w:rPr>
              <w:t>（m</w:t>
            </w:r>
            <w:r>
              <w:rPr>
                <w:rFonts w:hint="eastAsia"/>
                <w:b/>
                <w:bCs/>
                <w:color w:val="auto"/>
                <w:sz w:val="24"/>
                <w:vertAlign w:val="superscript"/>
              </w:rPr>
              <w:t>3</w:t>
            </w:r>
            <w:r>
              <w:rPr>
                <w:rFonts w:hint="eastAsia"/>
                <w:b/>
                <w:bCs/>
                <w:color w:val="auto"/>
                <w:sz w:val="24"/>
              </w:rPr>
              <w:t>/h）</w:t>
            </w:r>
          </w:p>
          <w:tbl>
            <w:tblPr>
              <w:tblStyle w:val="21"/>
              <w:tblW w:w="7843"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050"/>
              <w:gridCol w:w="952"/>
              <w:gridCol w:w="676"/>
              <w:gridCol w:w="935"/>
              <w:gridCol w:w="1087"/>
              <w:gridCol w:w="21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trPr>
              <w:tc>
                <w:tcPr>
                  <w:tcW w:w="2051" w:type="dxa"/>
                  <w:vMerge w:val="restart"/>
                  <w:vAlign w:val="center"/>
                </w:tcPr>
                <w:p>
                  <w:pPr>
                    <w:widowControl/>
                    <w:jc w:val="center"/>
                    <w:rPr>
                      <w:rFonts w:cs="宋体"/>
                      <w:color w:val="auto"/>
                      <w:kern w:val="0"/>
                      <w:szCs w:val="21"/>
                    </w:rPr>
                  </w:pPr>
                  <w:r>
                    <w:rPr>
                      <w:rFonts w:hint="eastAsia" w:cs="宋体"/>
                      <w:color w:val="auto"/>
                      <w:kern w:val="0"/>
                      <w:lang w:bidi="ar"/>
                    </w:rPr>
                    <w:t>用水单位</w:t>
                  </w:r>
                </w:p>
              </w:tc>
              <w:tc>
                <w:tcPr>
                  <w:tcW w:w="952" w:type="dxa"/>
                  <w:vAlign w:val="center"/>
                </w:tcPr>
                <w:p>
                  <w:pPr>
                    <w:widowControl/>
                    <w:jc w:val="center"/>
                    <w:rPr>
                      <w:rFonts w:cs="宋体"/>
                      <w:color w:val="auto"/>
                      <w:kern w:val="0"/>
                    </w:rPr>
                  </w:pPr>
                  <w:r>
                    <w:rPr>
                      <w:rFonts w:hint="eastAsia" w:cs="宋体"/>
                      <w:color w:val="auto"/>
                      <w:kern w:val="0"/>
                      <w:lang w:bidi="ar"/>
                    </w:rPr>
                    <w:t>输入</w:t>
                  </w:r>
                </w:p>
              </w:tc>
              <w:tc>
                <w:tcPr>
                  <w:tcW w:w="676" w:type="dxa"/>
                  <w:vMerge w:val="restart"/>
                  <w:vAlign w:val="center"/>
                </w:tcPr>
                <w:p>
                  <w:pPr>
                    <w:jc w:val="center"/>
                    <w:rPr>
                      <w:rFonts w:cs="宋体"/>
                      <w:color w:val="auto"/>
                      <w:kern w:val="0"/>
                    </w:rPr>
                  </w:pPr>
                  <w:r>
                    <w:rPr>
                      <w:rFonts w:hint="eastAsia" w:cs="宋体"/>
                      <w:color w:val="auto"/>
                      <w:kern w:val="0"/>
                      <w:lang w:bidi="ar"/>
                    </w:rPr>
                    <w:t>循环量</w:t>
                  </w:r>
                </w:p>
              </w:tc>
              <w:tc>
                <w:tcPr>
                  <w:tcW w:w="2020" w:type="dxa"/>
                  <w:gridSpan w:val="2"/>
                  <w:vAlign w:val="center"/>
                </w:tcPr>
                <w:p>
                  <w:pPr>
                    <w:widowControl/>
                    <w:jc w:val="center"/>
                    <w:rPr>
                      <w:rFonts w:cs="宋体"/>
                      <w:color w:val="auto"/>
                      <w:kern w:val="0"/>
                    </w:rPr>
                  </w:pPr>
                  <w:r>
                    <w:rPr>
                      <w:rFonts w:hint="eastAsia" w:cs="宋体"/>
                      <w:color w:val="auto"/>
                      <w:kern w:val="0"/>
                      <w:lang w:bidi="ar"/>
                    </w:rPr>
                    <w:t>输出</w:t>
                  </w:r>
                </w:p>
              </w:tc>
              <w:tc>
                <w:tcPr>
                  <w:tcW w:w="2144" w:type="dxa"/>
                  <w:vMerge w:val="restart"/>
                  <w:vAlign w:val="center"/>
                </w:tcPr>
                <w:p>
                  <w:pPr>
                    <w:widowControl/>
                    <w:jc w:val="center"/>
                    <w:rPr>
                      <w:rFonts w:cs="宋体"/>
                      <w:color w:val="auto"/>
                      <w:kern w:val="0"/>
                      <w:lang w:bidi="ar"/>
                    </w:rPr>
                  </w:pPr>
                  <w:r>
                    <w:rPr>
                      <w:rFonts w:hint="eastAsia" w:cs="宋体"/>
                      <w:color w:val="auto"/>
                      <w:kern w:val="0"/>
                      <w:lang w:bidi="ar"/>
                    </w:rPr>
                    <w:t>废水去向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051" w:type="dxa"/>
                  <w:vMerge w:val="continue"/>
                  <w:vAlign w:val="center"/>
                </w:tcPr>
                <w:p>
                  <w:pPr>
                    <w:rPr>
                      <w:color w:val="auto"/>
                      <w:sz w:val="20"/>
                      <w:szCs w:val="20"/>
                    </w:rPr>
                  </w:pPr>
                </w:p>
              </w:tc>
              <w:tc>
                <w:tcPr>
                  <w:tcW w:w="952" w:type="dxa"/>
                  <w:vAlign w:val="center"/>
                </w:tcPr>
                <w:p>
                  <w:pPr>
                    <w:widowControl/>
                    <w:jc w:val="center"/>
                    <w:rPr>
                      <w:rFonts w:cs="宋体"/>
                      <w:color w:val="auto"/>
                      <w:kern w:val="0"/>
                    </w:rPr>
                  </w:pPr>
                  <w:r>
                    <w:rPr>
                      <w:rFonts w:hint="eastAsia" w:cs="宋体"/>
                      <w:color w:val="auto"/>
                      <w:kern w:val="0"/>
                      <w:lang w:bidi="ar"/>
                    </w:rPr>
                    <w:t>新鲜水</w:t>
                  </w:r>
                </w:p>
              </w:tc>
              <w:tc>
                <w:tcPr>
                  <w:tcW w:w="676" w:type="dxa"/>
                  <w:vMerge w:val="continue"/>
                  <w:vAlign w:val="center"/>
                </w:tcPr>
                <w:p>
                  <w:pPr>
                    <w:rPr>
                      <w:color w:val="auto"/>
                      <w:sz w:val="20"/>
                      <w:szCs w:val="20"/>
                    </w:rPr>
                  </w:pPr>
                </w:p>
              </w:tc>
              <w:tc>
                <w:tcPr>
                  <w:tcW w:w="933" w:type="dxa"/>
                  <w:vAlign w:val="center"/>
                </w:tcPr>
                <w:p>
                  <w:pPr>
                    <w:widowControl/>
                    <w:jc w:val="center"/>
                    <w:rPr>
                      <w:rFonts w:cs="宋体"/>
                      <w:color w:val="auto"/>
                      <w:kern w:val="0"/>
                    </w:rPr>
                  </w:pPr>
                  <w:r>
                    <w:rPr>
                      <w:rFonts w:hint="eastAsia" w:cs="宋体"/>
                      <w:color w:val="auto"/>
                      <w:kern w:val="0"/>
                      <w:lang w:bidi="ar"/>
                    </w:rPr>
                    <w:t>损耗量</w:t>
                  </w:r>
                </w:p>
              </w:tc>
              <w:tc>
                <w:tcPr>
                  <w:tcW w:w="1087" w:type="dxa"/>
                  <w:vAlign w:val="center"/>
                </w:tcPr>
                <w:p>
                  <w:pPr>
                    <w:widowControl/>
                    <w:jc w:val="center"/>
                    <w:rPr>
                      <w:rFonts w:cs="宋体"/>
                      <w:color w:val="auto"/>
                      <w:kern w:val="0"/>
                    </w:rPr>
                  </w:pPr>
                  <w:r>
                    <w:rPr>
                      <w:rFonts w:hint="eastAsia" w:cs="宋体"/>
                      <w:color w:val="auto"/>
                      <w:kern w:val="0"/>
                      <w:lang w:bidi="ar"/>
                    </w:rPr>
                    <w:t>废水量</w:t>
                  </w:r>
                </w:p>
              </w:tc>
              <w:tc>
                <w:tcPr>
                  <w:tcW w:w="2144" w:type="dxa"/>
                  <w:vMerge w:val="continue"/>
                  <w:vAlign w:val="center"/>
                </w:tcPr>
                <w:p>
                  <w:pPr>
                    <w:widowControl/>
                    <w:jc w:val="center"/>
                    <w:rPr>
                      <w:rFonts w:cs="宋体"/>
                      <w:color w:val="auto"/>
                      <w:kern w:val="0"/>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051" w:type="dxa"/>
                  <w:vAlign w:val="center"/>
                </w:tcPr>
                <w:p>
                  <w:pPr>
                    <w:widowControl/>
                    <w:jc w:val="center"/>
                    <w:rPr>
                      <w:rFonts w:cs="宋体"/>
                      <w:color w:val="auto"/>
                      <w:kern w:val="0"/>
                    </w:rPr>
                  </w:pPr>
                  <w:r>
                    <w:rPr>
                      <w:rFonts w:hint="eastAsia" w:cs="宋体"/>
                      <w:color w:val="auto"/>
                      <w:kern w:val="0"/>
                    </w:rPr>
                    <w:t>清循环水系统-自流</w:t>
                  </w:r>
                </w:p>
              </w:tc>
              <w:tc>
                <w:tcPr>
                  <w:tcW w:w="952" w:type="dxa"/>
                  <w:vAlign w:val="center"/>
                </w:tcPr>
                <w:p>
                  <w:pPr>
                    <w:jc w:val="center"/>
                    <w:rPr>
                      <w:rFonts w:cs="宋体"/>
                      <w:color w:val="auto"/>
                    </w:rPr>
                  </w:pPr>
                  <w:r>
                    <w:rPr>
                      <w:rFonts w:hint="eastAsia" w:cs="宋体"/>
                      <w:color w:val="auto"/>
                    </w:rPr>
                    <w:t>18.67</w:t>
                  </w:r>
                </w:p>
              </w:tc>
              <w:tc>
                <w:tcPr>
                  <w:tcW w:w="676" w:type="dxa"/>
                  <w:vAlign w:val="center"/>
                </w:tcPr>
                <w:p>
                  <w:pPr>
                    <w:jc w:val="center"/>
                    <w:rPr>
                      <w:rFonts w:cs="宋体"/>
                      <w:color w:val="auto"/>
                    </w:rPr>
                  </w:pPr>
                  <w:r>
                    <w:rPr>
                      <w:rFonts w:hint="eastAsia"/>
                      <w:color w:val="auto"/>
                      <w:lang w:bidi="ar"/>
                    </w:rPr>
                    <w:t>880</w:t>
                  </w:r>
                </w:p>
              </w:tc>
              <w:tc>
                <w:tcPr>
                  <w:tcW w:w="933" w:type="dxa"/>
                  <w:vAlign w:val="center"/>
                </w:tcPr>
                <w:p>
                  <w:pPr>
                    <w:jc w:val="center"/>
                    <w:rPr>
                      <w:rFonts w:cs="宋体"/>
                      <w:color w:val="auto"/>
                    </w:rPr>
                  </w:pPr>
                  <w:r>
                    <w:rPr>
                      <w:rFonts w:hint="eastAsia"/>
                      <w:color w:val="auto"/>
                      <w:lang w:bidi="ar"/>
                    </w:rPr>
                    <w:t>14</w:t>
                  </w:r>
                </w:p>
              </w:tc>
              <w:tc>
                <w:tcPr>
                  <w:tcW w:w="1087" w:type="dxa"/>
                  <w:vAlign w:val="center"/>
                </w:tcPr>
                <w:p>
                  <w:pPr>
                    <w:jc w:val="center"/>
                    <w:rPr>
                      <w:rFonts w:cs="宋体"/>
                      <w:color w:val="auto"/>
                    </w:rPr>
                  </w:pPr>
                  <w:r>
                    <w:rPr>
                      <w:rFonts w:hint="eastAsia"/>
                      <w:color w:val="auto"/>
                      <w:lang w:bidi="ar"/>
                    </w:rPr>
                    <w:t>4.67</w:t>
                  </w:r>
                </w:p>
              </w:tc>
              <w:tc>
                <w:tcPr>
                  <w:tcW w:w="2144" w:type="dxa"/>
                  <w:vMerge w:val="restart"/>
                  <w:vAlign w:val="center"/>
                </w:tcPr>
                <w:p>
                  <w:pPr>
                    <w:jc w:val="center"/>
                    <w:rPr>
                      <w:color w:val="auto"/>
                      <w:lang w:bidi="ar"/>
                    </w:rPr>
                  </w:pPr>
                  <w:r>
                    <w:rPr>
                      <w:rFonts w:hint="eastAsia"/>
                      <w:color w:val="auto"/>
                      <w:lang w:bidi="ar"/>
                    </w:rPr>
                    <w:t>脱硫塔补水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051" w:type="dxa"/>
                  <w:vAlign w:val="center"/>
                </w:tcPr>
                <w:p>
                  <w:pPr>
                    <w:widowControl/>
                    <w:jc w:val="center"/>
                    <w:rPr>
                      <w:rFonts w:cs="宋体"/>
                      <w:color w:val="auto"/>
                      <w:kern w:val="0"/>
                    </w:rPr>
                  </w:pPr>
                  <w:r>
                    <w:rPr>
                      <w:rFonts w:hint="eastAsia" w:cs="宋体"/>
                      <w:color w:val="auto"/>
                      <w:kern w:val="0"/>
                    </w:rPr>
                    <w:t>清循环水系统-有压</w:t>
                  </w:r>
                </w:p>
              </w:tc>
              <w:tc>
                <w:tcPr>
                  <w:tcW w:w="952" w:type="dxa"/>
                  <w:vAlign w:val="center"/>
                </w:tcPr>
                <w:p>
                  <w:pPr>
                    <w:jc w:val="center"/>
                    <w:rPr>
                      <w:rFonts w:cs="宋体"/>
                      <w:color w:val="auto"/>
                    </w:rPr>
                  </w:pPr>
                  <w:r>
                    <w:rPr>
                      <w:rFonts w:hint="eastAsia" w:cs="宋体"/>
                      <w:color w:val="auto"/>
                    </w:rPr>
                    <w:t>6.4</w:t>
                  </w:r>
                </w:p>
              </w:tc>
              <w:tc>
                <w:tcPr>
                  <w:tcW w:w="676" w:type="dxa"/>
                  <w:vAlign w:val="center"/>
                </w:tcPr>
                <w:p>
                  <w:pPr>
                    <w:jc w:val="center"/>
                    <w:rPr>
                      <w:color w:val="auto"/>
                      <w:lang w:bidi="ar"/>
                    </w:rPr>
                  </w:pPr>
                  <w:r>
                    <w:rPr>
                      <w:rFonts w:hint="eastAsia"/>
                      <w:color w:val="auto"/>
                      <w:lang w:bidi="ar"/>
                    </w:rPr>
                    <w:t>300</w:t>
                  </w:r>
                </w:p>
              </w:tc>
              <w:tc>
                <w:tcPr>
                  <w:tcW w:w="933" w:type="dxa"/>
                  <w:vAlign w:val="center"/>
                </w:tcPr>
                <w:p>
                  <w:pPr>
                    <w:jc w:val="center"/>
                    <w:rPr>
                      <w:color w:val="auto"/>
                      <w:lang w:bidi="ar"/>
                    </w:rPr>
                  </w:pPr>
                  <w:r>
                    <w:rPr>
                      <w:rFonts w:hint="eastAsia"/>
                      <w:color w:val="auto"/>
                      <w:lang w:bidi="ar"/>
                    </w:rPr>
                    <w:t>4.8</w:t>
                  </w:r>
                </w:p>
              </w:tc>
              <w:tc>
                <w:tcPr>
                  <w:tcW w:w="1087" w:type="dxa"/>
                  <w:tcBorders>
                    <w:bottom w:val="single" w:color="auto" w:sz="4" w:space="0"/>
                  </w:tcBorders>
                  <w:vAlign w:val="center"/>
                </w:tcPr>
                <w:p>
                  <w:pPr>
                    <w:jc w:val="center"/>
                    <w:rPr>
                      <w:color w:val="auto"/>
                      <w:lang w:bidi="ar"/>
                    </w:rPr>
                  </w:pPr>
                  <w:r>
                    <w:rPr>
                      <w:rFonts w:hint="eastAsia"/>
                      <w:color w:val="auto"/>
                      <w:lang w:bidi="ar"/>
                    </w:rPr>
                    <w:t>1.6</w:t>
                  </w:r>
                </w:p>
              </w:tc>
              <w:tc>
                <w:tcPr>
                  <w:tcW w:w="2144" w:type="dxa"/>
                  <w:vMerge w:val="continue"/>
                  <w:tcBorders>
                    <w:bottom w:val="single" w:color="auto" w:sz="4" w:space="0"/>
                  </w:tcBorders>
                  <w:vAlign w:val="center"/>
                </w:tcPr>
                <w:p>
                  <w:pPr>
                    <w:jc w:val="center"/>
                    <w:rPr>
                      <w:color w:val="auto"/>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 w:hRule="atLeast"/>
              </w:trPr>
              <w:tc>
                <w:tcPr>
                  <w:tcW w:w="2051" w:type="dxa"/>
                  <w:vAlign w:val="center"/>
                </w:tcPr>
                <w:p>
                  <w:pPr>
                    <w:widowControl/>
                    <w:jc w:val="center"/>
                    <w:rPr>
                      <w:color w:val="auto"/>
                    </w:rPr>
                  </w:pPr>
                  <w:r>
                    <w:rPr>
                      <w:rFonts w:hint="eastAsia"/>
                      <w:color w:val="auto"/>
                    </w:rPr>
                    <w:t>浊循环水系统</w:t>
                  </w:r>
                </w:p>
              </w:tc>
              <w:tc>
                <w:tcPr>
                  <w:tcW w:w="952" w:type="dxa"/>
                  <w:vAlign w:val="center"/>
                </w:tcPr>
                <w:p>
                  <w:pPr>
                    <w:jc w:val="center"/>
                    <w:rPr>
                      <w:color w:val="auto"/>
                    </w:rPr>
                  </w:pPr>
                  <w:r>
                    <w:rPr>
                      <w:rFonts w:hint="eastAsia"/>
                      <w:color w:val="auto"/>
                    </w:rPr>
                    <w:t>7.52</w:t>
                  </w:r>
                </w:p>
              </w:tc>
              <w:tc>
                <w:tcPr>
                  <w:tcW w:w="676" w:type="dxa"/>
                  <w:vAlign w:val="center"/>
                </w:tcPr>
                <w:p>
                  <w:pPr>
                    <w:jc w:val="center"/>
                    <w:rPr>
                      <w:color w:val="auto"/>
                    </w:rPr>
                  </w:pPr>
                  <w:r>
                    <w:rPr>
                      <w:rFonts w:hint="eastAsia"/>
                      <w:color w:val="auto"/>
                    </w:rPr>
                    <w:t>580</w:t>
                  </w:r>
                </w:p>
              </w:tc>
              <w:tc>
                <w:tcPr>
                  <w:tcW w:w="933" w:type="dxa"/>
                  <w:vAlign w:val="center"/>
                </w:tcPr>
                <w:p>
                  <w:pPr>
                    <w:jc w:val="center"/>
                    <w:rPr>
                      <w:color w:val="auto"/>
                    </w:rPr>
                  </w:pPr>
                  <w:r>
                    <w:rPr>
                      <w:rFonts w:hint="eastAsia"/>
                      <w:color w:val="auto"/>
                      <w:lang w:bidi="ar"/>
                    </w:rPr>
                    <w:t>8.7</w:t>
                  </w:r>
                </w:p>
              </w:tc>
              <w:tc>
                <w:tcPr>
                  <w:tcW w:w="1087" w:type="dxa"/>
                  <w:tcBorders>
                    <w:top w:val="single" w:color="auto" w:sz="4" w:space="0"/>
                  </w:tcBorders>
                  <w:vAlign w:val="center"/>
                </w:tcPr>
                <w:p>
                  <w:pPr>
                    <w:jc w:val="center"/>
                    <w:rPr>
                      <w:color w:val="auto"/>
                    </w:rPr>
                  </w:pPr>
                  <w:r>
                    <w:rPr>
                      <w:color w:val="auto"/>
                      <w:lang w:bidi="ar"/>
                    </w:rPr>
                    <w:t>0</w:t>
                  </w:r>
                </w:p>
              </w:tc>
              <w:tc>
                <w:tcPr>
                  <w:tcW w:w="2144" w:type="dxa"/>
                  <w:tcBorders>
                    <w:top w:val="single" w:color="auto" w:sz="4" w:space="0"/>
                  </w:tcBorders>
                  <w:vAlign w:val="center"/>
                </w:tcPr>
                <w:p>
                  <w:pPr>
                    <w:jc w:val="center"/>
                    <w:rPr>
                      <w:color w:val="auto"/>
                      <w:lang w:bidi="ar"/>
                    </w:rPr>
                  </w:pPr>
                  <w:r>
                    <w:rPr>
                      <w:rFonts w:hint="eastAsia"/>
                      <w:color w:val="auto"/>
                      <w:lang w:bidi="ar"/>
                    </w:rPr>
                    <w:t>1.1</w:t>
                  </w:r>
                  <w:r>
                    <w:rPr>
                      <w:rFonts w:hint="eastAsia"/>
                      <w:color w:val="auto"/>
                      <w:lang w:val="en-US" w:eastAsia="zh-CN" w:bidi="ar"/>
                    </w:rPr>
                    <w:t>8</w:t>
                  </w:r>
                  <w:r>
                    <w:rPr>
                      <w:rFonts w:hint="eastAsia"/>
                      <w:color w:val="auto"/>
                      <w:lang w:bidi="ar"/>
                    </w:rPr>
                    <w:t>来自于清循环</w:t>
                  </w:r>
                </w:p>
                <w:p>
                  <w:pPr>
                    <w:jc w:val="center"/>
                    <w:rPr>
                      <w:color w:val="auto"/>
                      <w:lang w:bidi="ar"/>
                    </w:rPr>
                  </w:pPr>
                  <w:r>
                    <w:rPr>
                      <w:rFonts w:hint="eastAsia"/>
                      <w:color w:val="auto"/>
                      <w:lang w:bidi="ar"/>
                    </w:rPr>
                    <w:t>系统排水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 w:hRule="atLeast"/>
              </w:trPr>
              <w:tc>
                <w:tcPr>
                  <w:tcW w:w="2051" w:type="dxa"/>
                  <w:vAlign w:val="center"/>
                </w:tcPr>
                <w:p>
                  <w:pPr>
                    <w:widowControl/>
                    <w:jc w:val="center"/>
                    <w:rPr>
                      <w:rFonts w:cs="宋体"/>
                      <w:color w:val="auto"/>
                      <w:kern w:val="0"/>
                    </w:rPr>
                  </w:pPr>
                  <w:r>
                    <w:rPr>
                      <w:rFonts w:hint="eastAsia" w:cs="宋体"/>
                      <w:color w:val="auto"/>
                      <w:kern w:val="0"/>
                      <w:lang w:bidi="ar"/>
                    </w:rPr>
                    <w:t>脱硫系统</w:t>
                  </w:r>
                </w:p>
              </w:tc>
              <w:tc>
                <w:tcPr>
                  <w:tcW w:w="952" w:type="dxa"/>
                  <w:vAlign w:val="center"/>
                </w:tcPr>
                <w:p>
                  <w:pPr>
                    <w:jc w:val="center"/>
                    <w:rPr>
                      <w:rFonts w:cs="宋体"/>
                      <w:color w:val="auto"/>
                    </w:rPr>
                  </w:pPr>
                  <w:r>
                    <w:rPr>
                      <w:rFonts w:hint="eastAsia" w:cs="宋体"/>
                      <w:color w:val="auto"/>
                    </w:rPr>
                    <w:t>0.41</w:t>
                  </w:r>
                </w:p>
              </w:tc>
              <w:tc>
                <w:tcPr>
                  <w:tcW w:w="676" w:type="dxa"/>
                  <w:vAlign w:val="center"/>
                </w:tcPr>
                <w:p>
                  <w:pPr>
                    <w:jc w:val="center"/>
                    <w:rPr>
                      <w:rFonts w:cs="宋体"/>
                      <w:color w:val="auto"/>
                    </w:rPr>
                  </w:pPr>
                  <w:r>
                    <w:rPr>
                      <w:rFonts w:hint="eastAsia"/>
                      <w:color w:val="auto"/>
                      <w:lang w:bidi="ar"/>
                    </w:rPr>
                    <w:t>3.32</w:t>
                  </w:r>
                </w:p>
              </w:tc>
              <w:tc>
                <w:tcPr>
                  <w:tcW w:w="933" w:type="dxa"/>
                  <w:tcBorders>
                    <w:right w:val="single" w:color="auto" w:sz="4" w:space="0"/>
                  </w:tcBorders>
                  <w:vAlign w:val="center"/>
                </w:tcPr>
                <w:p>
                  <w:pPr>
                    <w:jc w:val="center"/>
                    <w:rPr>
                      <w:rFonts w:cs="宋体"/>
                      <w:color w:val="auto"/>
                    </w:rPr>
                  </w:pPr>
                  <w:r>
                    <w:rPr>
                      <w:rFonts w:hint="eastAsia"/>
                      <w:color w:val="auto"/>
                      <w:lang w:bidi="ar"/>
                    </w:rPr>
                    <w:t>10</w:t>
                  </w:r>
                </w:p>
              </w:tc>
              <w:tc>
                <w:tcPr>
                  <w:tcW w:w="1087" w:type="dxa"/>
                  <w:tcBorders>
                    <w:left w:val="single" w:color="auto" w:sz="4" w:space="0"/>
                  </w:tcBorders>
                  <w:vAlign w:val="center"/>
                </w:tcPr>
                <w:p>
                  <w:pPr>
                    <w:jc w:val="center"/>
                    <w:rPr>
                      <w:rFonts w:cs="宋体"/>
                      <w:color w:val="auto"/>
                    </w:rPr>
                  </w:pPr>
                  <w:r>
                    <w:rPr>
                      <w:color w:val="auto"/>
                      <w:lang w:bidi="ar"/>
                    </w:rPr>
                    <w:t>0</w:t>
                  </w:r>
                </w:p>
              </w:tc>
              <w:tc>
                <w:tcPr>
                  <w:tcW w:w="2144" w:type="dxa"/>
                  <w:vAlign w:val="center"/>
                </w:tcPr>
                <w:p>
                  <w:pPr>
                    <w:jc w:val="center"/>
                    <w:rPr>
                      <w:color w:val="auto"/>
                      <w:lang w:bidi="ar"/>
                    </w:rPr>
                  </w:pPr>
                  <w:r>
                    <w:rPr>
                      <w:rFonts w:hint="eastAsia"/>
                      <w:color w:val="auto"/>
                      <w:lang w:bidi="ar"/>
                    </w:rPr>
                    <w:t>其中6.27m</w:t>
                  </w:r>
                  <w:r>
                    <w:rPr>
                      <w:rFonts w:hint="eastAsia"/>
                      <w:color w:val="auto"/>
                      <w:vertAlign w:val="superscript"/>
                      <w:lang w:bidi="ar"/>
                    </w:rPr>
                    <w:t>3</w:t>
                  </w:r>
                  <w:r>
                    <w:rPr>
                      <w:rFonts w:hint="eastAsia"/>
                      <w:color w:val="auto"/>
                      <w:lang w:bidi="ar"/>
                    </w:rPr>
                    <w:t>/h来源于软水制备系统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051" w:type="dxa"/>
                  <w:vAlign w:val="center"/>
                </w:tcPr>
                <w:p>
                  <w:pPr>
                    <w:widowControl/>
                    <w:jc w:val="center"/>
                    <w:rPr>
                      <w:rFonts w:cs="宋体"/>
                      <w:color w:val="auto"/>
                      <w:kern w:val="0"/>
                    </w:rPr>
                  </w:pPr>
                  <w:r>
                    <w:rPr>
                      <w:rFonts w:hint="eastAsia" w:cs="宋体"/>
                      <w:color w:val="auto"/>
                      <w:kern w:val="0"/>
                      <w:lang w:bidi="ar"/>
                    </w:rPr>
                    <w:t>生活</w:t>
                  </w:r>
                </w:p>
              </w:tc>
              <w:tc>
                <w:tcPr>
                  <w:tcW w:w="952" w:type="dxa"/>
                  <w:vAlign w:val="center"/>
                </w:tcPr>
                <w:p>
                  <w:pPr>
                    <w:jc w:val="center"/>
                    <w:rPr>
                      <w:rFonts w:hint="default" w:eastAsia="宋体" w:cs="宋体"/>
                      <w:color w:val="auto"/>
                      <w:lang w:val="en-US" w:eastAsia="zh-CN"/>
                    </w:rPr>
                  </w:pPr>
                  <w:r>
                    <w:rPr>
                      <w:rFonts w:hint="eastAsia" w:cs="宋体"/>
                      <w:color w:val="auto"/>
                      <w:lang w:val="en-US" w:eastAsia="zh-CN"/>
                    </w:rPr>
                    <w:t>0.9</w:t>
                  </w:r>
                </w:p>
              </w:tc>
              <w:tc>
                <w:tcPr>
                  <w:tcW w:w="676" w:type="dxa"/>
                  <w:vAlign w:val="center"/>
                </w:tcPr>
                <w:p>
                  <w:pPr>
                    <w:jc w:val="center"/>
                    <w:rPr>
                      <w:rFonts w:cs="宋体"/>
                      <w:color w:val="auto"/>
                    </w:rPr>
                  </w:pPr>
                  <w:r>
                    <w:rPr>
                      <w:color w:val="auto"/>
                      <w:lang w:bidi="ar"/>
                    </w:rPr>
                    <w:t>0</w:t>
                  </w:r>
                </w:p>
              </w:tc>
              <w:tc>
                <w:tcPr>
                  <w:tcW w:w="933" w:type="dxa"/>
                  <w:tcBorders>
                    <w:right w:val="single" w:color="auto" w:sz="4" w:space="0"/>
                  </w:tcBorders>
                  <w:vAlign w:val="center"/>
                </w:tcPr>
                <w:p>
                  <w:pPr>
                    <w:jc w:val="center"/>
                    <w:rPr>
                      <w:rFonts w:hint="default" w:eastAsia="宋体" w:cs="宋体"/>
                      <w:color w:val="auto"/>
                      <w:lang w:val="en-US" w:eastAsia="zh-CN"/>
                    </w:rPr>
                  </w:pPr>
                  <w:r>
                    <w:rPr>
                      <w:rFonts w:hint="eastAsia" w:cs="宋体"/>
                      <w:color w:val="auto"/>
                      <w:lang w:val="en-US" w:eastAsia="zh-CN"/>
                    </w:rPr>
                    <w:t>0.18</w:t>
                  </w:r>
                </w:p>
              </w:tc>
              <w:tc>
                <w:tcPr>
                  <w:tcW w:w="1087" w:type="dxa"/>
                  <w:tcBorders>
                    <w:left w:val="single" w:color="auto" w:sz="4" w:space="0"/>
                  </w:tcBorders>
                  <w:vAlign w:val="center"/>
                </w:tcPr>
                <w:p>
                  <w:pPr>
                    <w:jc w:val="center"/>
                    <w:rPr>
                      <w:rFonts w:hint="default" w:eastAsia="宋体" w:cs="宋体"/>
                      <w:color w:val="auto"/>
                      <w:lang w:val="en-US" w:eastAsia="zh-CN"/>
                    </w:rPr>
                  </w:pPr>
                  <w:r>
                    <w:rPr>
                      <w:rFonts w:hint="eastAsia" w:cs="宋体"/>
                      <w:color w:val="auto"/>
                      <w:lang w:val="en-US" w:eastAsia="zh-CN"/>
                    </w:rPr>
                    <w:t>0.72</w:t>
                  </w:r>
                </w:p>
              </w:tc>
              <w:tc>
                <w:tcPr>
                  <w:tcW w:w="2144" w:type="dxa"/>
                  <w:vAlign w:val="center"/>
                </w:tcPr>
                <w:p>
                  <w:pPr>
                    <w:jc w:val="center"/>
                    <w:rPr>
                      <w:color w:val="auto"/>
                      <w:lang w:bidi="ar"/>
                    </w:rPr>
                  </w:pPr>
                  <w:r>
                    <w:rPr>
                      <w:rFonts w:hint="eastAsia"/>
                      <w:color w:val="auto"/>
                      <w:lang w:bidi="ar"/>
                    </w:rPr>
                    <w:t>排入大同市御东污水厂处理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051" w:type="dxa"/>
                  <w:vAlign w:val="center"/>
                </w:tcPr>
                <w:p>
                  <w:pPr>
                    <w:widowControl/>
                    <w:jc w:val="center"/>
                    <w:rPr>
                      <w:rFonts w:cs="宋体"/>
                      <w:color w:val="auto"/>
                      <w:kern w:val="0"/>
                      <w:szCs w:val="21"/>
                    </w:rPr>
                  </w:pPr>
                  <w:r>
                    <w:rPr>
                      <w:rFonts w:hint="eastAsia" w:cs="宋体"/>
                      <w:color w:val="auto"/>
                      <w:kern w:val="0"/>
                      <w:lang w:bidi="ar"/>
                    </w:rPr>
                    <w:t>总计</w:t>
                  </w:r>
                </w:p>
              </w:tc>
              <w:tc>
                <w:tcPr>
                  <w:tcW w:w="952" w:type="dxa"/>
                  <w:vAlign w:val="center"/>
                </w:tcPr>
                <w:p>
                  <w:pPr>
                    <w:widowControl/>
                    <w:jc w:val="center"/>
                    <w:rPr>
                      <w:rFonts w:hint="default" w:eastAsia="宋体" w:cs="宋体"/>
                      <w:color w:val="auto"/>
                      <w:kern w:val="0"/>
                      <w:lang w:val="en-US" w:eastAsia="zh-CN"/>
                    </w:rPr>
                  </w:pPr>
                  <w:r>
                    <w:rPr>
                      <w:rFonts w:hint="eastAsia" w:cs="宋体"/>
                      <w:color w:val="auto"/>
                      <w:kern w:val="0"/>
                      <w:lang w:val="en-US" w:eastAsia="zh-CN"/>
                    </w:rPr>
                    <w:t>33.9</w:t>
                  </w:r>
                </w:p>
              </w:tc>
              <w:tc>
                <w:tcPr>
                  <w:tcW w:w="676" w:type="dxa"/>
                  <w:vAlign w:val="center"/>
                </w:tcPr>
                <w:p>
                  <w:pPr>
                    <w:widowControl/>
                    <w:jc w:val="center"/>
                    <w:rPr>
                      <w:rFonts w:cs="宋体"/>
                      <w:color w:val="auto"/>
                      <w:kern w:val="0"/>
                    </w:rPr>
                  </w:pPr>
                  <w:r>
                    <w:rPr>
                      <w:rFonts w:hint="eastAsia" w:cs="宋体"/>
                      <w:color w:val="auto"/>
                      <w:kern w:val="0"/>
                    </w:rPr>
                    <w:t>1760</w:t>
                  </w:r>
                </w:p>
              </w:tc>
              <w:tc>
                <w:tcPr>
                  <w:tcW w:w="935" w:type="dxa"/>
                  <w:tcBorders>
                    <w:right w:val="single" w:color="auto" w:sz="4" w:space="0"/>
                  </w:tcBorders>
                  <w:vAlign w:val="center"/>
                </w:tcPr>
                <w:p>
                  <w:pPr>
                    <w:widowControl/>
                    <w:jc w:val="center"/>
                    <w:rPr>
                      <w:rFonts w:hint="default" w:eastAsia="宋体" w:cs="宋体"/>
                      <w:color w:val="auto"/>
                      <w:kern w:val="0"/>
                      <w:lang w:val="en-US" w:eastAsia="zh-CN"/>
                    </w:rPr>
                  </w:pPr>
                  <w:r>
                    <w:rPr>
                      <w:rFonts w:hint="eastAsia" w:cs="宋体"/>
                      <w:color w:val="auto"/>
                      <w:kern w:val="0"/>
                      <w:lang w:val="en-US" w:eastAsia="zh-CN"/>
                    </w:rPr>
                    <w:t>37.28</w:t>
                  </w:r>
                </w:p>
              </w:tc>
              <w:tc>
                <w:tcPr>
                  <w:tcW w:w="1085" w:type="dxa"/>
                  <w:tcBorders>
                    <w:left w:val="single" w:color="auto" w:sz="4" w:space="0"/>
                  </w:tcBorders>
                  <w:vAlign w:val="center"/>
                </w:tcPr>
                <w:p>
                  <w:pPr>
                    <w:widowControl/>
                    <w:jc w:val="center"/>
                    <w:rPr>
                      <w:rFonts w:hint="default" w:eastAsia="宋体" w:cs="宋体"/>
                      <w:color w:val="auto"/>
                      <w:kern w:val="0"/>
                      <w:lang w:val="en-US" w:eastAsia="zh-CN"/>
                    </w:rPr>
                  </w:pPr>
                  <w:r>
                    <w:rPr>
                      <w:rFonts w:hint="eastAsia" w:cs="宋体"/>
                      <w:color w:val="auto"/>
                      <w:kern w:val="0"/>
                      <w:lang w:val="en-US" w:eastAsia="zh-CN"/>
                    </w:rPr>
                    <w:t>6.99</w:t>
                  </w:r>
                </w:p>
              </w:tc>
              <w:tc>
                <w:tcPr>
                  <w:tcW w:w="2144" w:type="dxa"/>
                  <w:vAlign w:val="center"/>
                </w:tcPr>
                <w:p>
                  <w:pPr>
                    <w:widowControl/>
                    <w:jc w:val="center"/>
                    <w:rPr>
                      <w:rFonts w:cs="宋体"/>
                      <w:color w:val="auto"/>
                      <w:kern w:val="0"/>
                      <w:lang w:bidi="ar"/>
                    </w:rPr>
                  </w:pPr>
                </w:p>
              </w:tc>
            </w:tr>
          </w:tbl>
          <w:p>
            <w:pPr>
              <w:pStyle w:val="2"/>
              <w:ind w:left="0" w:leftChars="0" w:firstLine="0" w:firstLineChars="0"/>
              <w:jc w:val="center"/>
              <w:rPr>
                <w:b/>
                <w:bCs/>
                <w:color w:val="auto"/>
                <w:szCs w:val="21"/>
              </w:rPr>
            </w:pPr>
            <w:r>
              <w:rPr>
                <w:rFonts w:hint="eastAsia"/>
                <w:b/>
                <w:bCs/>
                <w:color w:val="auto"/>
                <w:szCs w:val="21"/>
              </w:rPr>
              <w:object>
                <v:shape id="_x0000_i1025" o:spt="75" alt="" type="#_x0000_t75" style="height:304.45pt;width:392.15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p>
          <w:p>
            <w:pPr>
              <w:jc w:val="center"/>
              <w:rPr>
                <w:b/>
                <w:bCs/>
                <w:color w:val="auto"/>
                <w:szCs w:val="21"/>
              </w:rPr>
            </w:pPr>
          </w:p>
          <w:p>
            <w:pPr>
              <w:spacing w:line="480" w:lineRule="exact"/>
              <w:ind w:firstLine="482" w:firstLineChars="200"/>
              <w:jc w:val="center"/>
              <w:rPr>
                <w:rFonts w:hint="eastAsia" w:eastAsia="宋体"/>
                <w:b/>
                <w:bCs/>
                <w:color w:val="auto"/>
                <w:sz w:val="24"/>
                <w:lang w:val="en-US" w:eastAsia="zh-CN"/>
              </w:rPr>
            </w:pPr>
            <w:r>
              <w:rPr>
                <w:rFonts w:hint="eastAsia"/>
                <w:b/>
                <w:bCs/>
                <w:color w:val="auto"/>
                <w:sz w:val="24"/>
              </w:rPr>
              <w:t>图1 项目水平衡图  单位：m</w:t>
            </w:r>
            <w:r>
              <w:rPr>
                <w:rFonts w:hint="eastAsia"/>
                <w:b/>
                <w:bCs/>
                <w:color w:val="auto"/>
                <w:sz w:val="24"/>
                <w:vertAlign w:val="superscript"/>
              </w:rPr>
              <w:t>3</w:t>
            </w:r>
            <w:r>
              <w:rPr>
                <w:rFonts w:hint="eastAsia"/>
                <w:b/>
                <w:bCs/>
                <w:color w:val="auto"/>
                <w:sz w:val="24"/>
              </w:rPr>
              <w:t>/</w:t>
            </w:r>
            <w:r>
              <w:rPr>
                <w:rFonts w:hint="eastAsia"/>
                <w:b/>
                <w:bCs/>
                <w:color w:val="auto"/>
                <w:sz w:val="24"/>
                <w:lang w:val="en-US" w:eastAsia="zh-CN"/>
              </w:rPr>
              <w:t>h</w:t>
            </w:r>
          </w:p>
          <w:p>
            <w:pPr>
              <w:spacing w:line="480" w:lineRule="exact"/>
              <w:ind w:firstLine="482" w:firstLineChars="200"/>
              <w:rPr>
                <w:rFonts w:hint="eastAsia"/>
                <w:b/>
                <w:bCs/>
                <w:color w:val="auto"/>
                <w:sz w:val="24"/>
              </w:rPr>
            </w:pPr>
            <w:r>
              <w:rPr>
                <w:rFonts w:hint="eastAsia"/>
                <w:b/>
                <w:bCs/>
                <w:color w:val="auto"/>
                <w:sz w:val="24"/>
              </w:rPr>
              <w:t>（2）供电</w:t>
            </w:r>
          </w:p>
          <w:p>
            <w:pPr>
              <w:spacing w:line="480" w:lineRule="exact"/>
              <w:ind w:firstLine="480" w:firstLineChars="200"/>
              <w:rPr>
                <w:rFonts w:hint="eastAsia"/>
                <w:color w:val="auto"/>
                <w:sz w:val="24"/>
              </w:rPr>
            </w:pPr>
            <w:r>
              <w:rPr>
                <w:rFonts w:hint="eastAsia"/>
                <w:color w:val="auto"/>
                <w:sz w:val="24"/>
              </w:rPr>
              <w:t>由当地电网引入2回35kV电源。</w:t>
            </w:r>
          </w:p>
          <w:p>
            <w:pPr>
              <w:spacing w:line="480" w:lineRule="exact"/>
              <w:ind w:firstLine="482" w:firstLineChars="200"/>
              <w:rPr>
                <w:rFonts w:hint="eastAsia"/>
                <w:color w:val="auto"/>
                <w:sz w:val="24"/>
                <w:lang w:val="en-US" w:eastAsia="zh-CN"/>
              </w:rPr>
            </w:pPr>
            <w:r>
              <w:rPr>
                <w:rFonts w:hint="eastAsia"/>
                <w:b/>
                <w:bCs/>
                <w:color w:val="auto"/>
                <w:sz w:val="24"/>
                <w:lang w:val="en-US" w:eastAsia="zh-CN"/>
              </w:rPr>
              <w:t>（3）供暖:</w:t>
            </w:r>
            <w:r>
              <w:rPr>
                <w:rFonts w:hint="eastAsia"/>
                <w:color w:val="auto"/>
                <w:sz w:val="24"/>
                <w:lang w:val="en-US" w:eastAsia="zh-CN"/>
              </w:rPr>
              <w:t>冬季办公区供暖利用烟气余热。</w:t>
            </w: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ind w:firstLine="482" w:firstLineChars="200"/>
              <w:rPr>
                <w:rFonts w:hint="eastAsia"/>
                <w:b/>
                <w:bCs/>
                <w:color w:val="auto"/>
                <w:sz w:val="24"/>
                <w:lang w:val="en-US" w:eastAsia="zh-CN"/>
              </w:rPr>
            </w:pPr>
          </w:p>
          <w:p>
            <w:pPr>
              <w:spacing w:line="480" w:lineRule="exact"/>
              <w:rPr>
                <w:rFonts w:hint="default"/>
                <w:color w:val="auto"/>
                <w:sz w:val="24"/>
                <w:szCs w:val="24"/>
                <w:lang w:val="en-US"/>
              </w:rPr>
            </w:pPr>
            <w:r>
              <w:rPr>
                <w:rFonts w:hint="eastAsia"/>
                <w:b/>
                <w:bCs/>
                <w:color w:val="auto"/>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8" w:type="dxa"/>
            <w:tcBorders>
              <w:left w:val="single" w:color="auto" w:sz="4" w:space="0"/>
            </w:tcBorders>
            <w:vAlign w:val="center"/>
          </w:tcPr>
          <w:p>
            <w:pPr>
              <w:pStyle w:val="18"/>
              <w:adjustRightInd w:val="0"/>
              <w:snapToGrid w:val="0"/>
              <w:spacing w:before="0" w:beforeAutospacing="0" w:after="0" w:afterAutospacing="0"/>
              <w:jc w:val="center"/>
              <w:rPr>
                <w:rFonts w:ascii="Times New Roman" w:hAnsi="Times New Roman" w:cs="宋体"/>
                <w:color w:val="auto"/>
              </w:rPr>
            </w:pPr>
            <w:r>
              <w:rPr>
                <w:rFonts w:hint="eastAsia" w:ascii="Times New Roman" w:hAnsi="Times New Roman" w:cs="宋体"/>
                <w:color w:val="auto"/>
              </w:rPr>
              <w:t>工艺流程和产排污环节</w:t>
            </w:r>
          </w:p>
        </w:tc>
        <w:tc>
          <w:tcPr>
            <w:tcW w:w="8066" w:type="dxa"/>
            <w:tcBorders>
              <w:right w:val="single" w:color="auto" w:sz="4" w:space="0"/>
            </w:tcBorders>
          </w:tcPr>
          <w:p>
            <w:pPr>
              <w:spacing w:line="360" w:lineRule="auto"/>
              <w:rPr>
                <w:color w:val="auto"/>
                <w:sz w:val="24"/>
              </w:rPr>
            </w:pPr>
            <w:r>
              <w:rPr>
                <w:rFonts w:hint="eastAsia"/>
                <w:color w:val="auto"/>
                <w:sz w:val="24"/>
              </w:rPr>
              <w:t>一、施工期工艺流程与产排污环节</w:t>
            </w:r>
          </w:p>
          <w:p>
            <w:pPr>
              <w:pStyle w:val="52"/>
              <w:spacing w:line="360" w:lineRule="auto"/>
              <w:ind w:firstLine="240" w:firstLineChars="100"/>
              <w:rPr>
                <w:color w:val="auto"/>
              </w:rPr>
            </w:pPr>
            <w:r>
              <w:rPr>
                <w:rFonts w:hint="eastAsia"/>
                <w:color w:val="auto"/>
              </w:rPr>
              <w:t>（1）</w:t>
            </w:r>
            <w:r>
              <w:rPr>
                <w:color w:val="auto"/>
              </w:rPr>
              <w:t>工程施工包括筹建工程、准备工程、主体工程及完建工程四个部分。各部分具体施工内容详见</w:t>
            </w:r>
            <w:r>
              <w:rPr>
                <w:rFonts w:hint="eastAsia"/>
                <w:color w:val="auto"/>
              </w:rPr>
              <w:t>下图</w:t>
            </w:r>
            <w:r>
              <w:rPr>
                <w:color w:val="auto"/>
              </w:rPr>
              <w:t>。</w:t>
            </w:r>
          </w:p>
          <w:p>
            <w:pPr>
              <w:spacing w:line="360" w:lineRule="auto"/>
              <w:ind w:firstLine="480"/>
              <w:jc w:val="both"/>
              <w:rPr>
                <w:color w:val="auto"/>
              </w:rPr>
            </w:pPr>
            <w:r>
              <w:rPr>
                <w:rFonts w:hint="eastAsia"/>
                <w:color w:val="auto"/>
                <w:sz w:val="24"/>
              </w:rPr>
              <w:t>工程施工期间的场地平整、基础工程、主体工程、设备安装等建设工序将产生噪声、扬尘、固体废弃物、少量污水和废气等污染物。</w:t>
            </w:r>
            <w:r>
              <w:rPr>
                <w:color w:val="auto"/>
              </w:rPr>
              <w:object>
                <v:shape id="_x0000_i1026" o:spt="75" alt="" type="#_x0000_t75" style="height:76.6pt;width:310.6pt;" o:ole="t" filled="f" o:preferrelative="t" stroked="f" coordsize="21600,21600">
                  <v:path/>
                  <v:fill on="f" focussize="0,0"/>
                  <v:stroke on="f"/>
                  <v:imagedata r:id="rId16" cropleft="12779f" o:title=""/>
                  <o:lock v:ext="edit" aspectratio="t"/>
                  <w10:wrap type="none"/>
                  <w10:anchorlock/>
                </v:shape>
                <o:OLEObject Type="Embed" ProgID="Visio.Drawing.11" ShapeID="_x0000_i1026" DrawAspect="Content" ObjectID="_1468075726" r:id="rId15">
                  <o:LockedField>false</o:LockedField>
                </o:OLEObject>
              </w:object>
            </w:r>
          </w:p>
          <w:p>
            <w:pPr>
              <w:jc w:val="center"/>
              <w:rPr>
                <w:b/>
                <w:bCs/>
                <w:color w:val="auto"/>
                <w:sz w:val="24"/>
              </w:rPr>
            </w:pPr>
            <w:r>
              <w:rPr>
                <w:rFonts w:hint="eastAsia"/>
                <w:b/>
                <w:bCs/>
                <w:color w:val="auto"/>
                <w:sz w:val="24"/>
              </w:rPr>
              <w:t>图2 施工期工艺流程及产污节点图</w:t>
            </w:r>
          </w:p>
          <w:p>
            <w:pPr>
              <w:spacing w:line="480" w:lineRule="exact"/>
              <w:ind w:firstLine="240" w:firstLineChars="100"/>
              <w:rPr>
                <w:color w:val="auto"/>
                <w:sz w:val="24"/>
              </w:rPr>
            </w:pPr>
            <w:r>
              <w:rPr>
                <w:rFonts w:hint="eastAsia"/>
                <w:color w:val="auto"/>
                <w:sz w:val="24"/>
              </w:rPr>
              <w:t>（2）施工期产排污环节分析如下</w:t>
            </w:r>
          </w:p>
          <w:p>
            <w:pPr>
              <w:spacing w:line="480" w:lineRule="exact"/>
              <w:ind w:firstLine="480" w:firstLineChars="200"/>
              <w:rPr>
                <w:color w:val="auto"/>
                <w:sz w:val="24"/>
              </w:rPr>
            </w:pPr>
            <w:r>
              <w:rPr>
                <w:rFonts w:hint="eastAsia"/>
                <w:color w:val="auto"/>
                <w:sz w:val="24"/>
              </w:rPr>
              <w:t>1）施工废气</w:t>
            </w:r>
          </w:p>
          <w:p>
            <w:pPr>
              <w:spacing w:line="480" w:lineRule="exact"/>
              <w:ind w:firstLine="480" w:firstLineChars="200"/>
              <w:rPr>
                <w:color w:val="auto"/>
                <w:sz w:val="24"/>
              </w:rPr>
            </w:pPr>
            <w:r>
              <w:rPr>
                <w:rFonts w:hint="eastAsia"/>
                <w:color w:val="auto"/>
                <w:sz w:val="24"/>
              </w:rPr>
              <w:t>施工期废气包括施工扬尘、运输车辆尾气、装修废气，突出表现为施工扬尘。施工期间的粉尘产生于装修、物料运输、装卸等过程，其结果是造成局部地区环境空气的污染，尤其是降尘量的增加。</w:t>
            </w:r>
          </w:p>
          <w:p>
            <w:pPr>
              <w:spacing w:line="480" w:lineRule="exact"/>
              <w:ind w:firstLine="480" w:firstLineChars="200"/>
              <w:rPr>
                <w:color w:val="auto"/>
                <w:sz w:val="24"/>
              </w:rPr>
            </w:pPr>
            <w:r>
              <w:rPr>
                <w:rFonts w:hint="eastAsia"/>
                <w:color w:val="auto"/>
                <w:sz w:val="24"/>
              </w:rPr>
              <w:t>2）施工废水</w:t>
            </w:r>
          </w:p>
          <w:p>
            <w:pPr>
              <w:spacing w:line="480" w:lineRule="exact"/>
              <w:ind w:firstLine="480" w:firstLineChars="200"/>
              <w:rPr>
                <w:color w:val="auto"/>
                <w:sz w:val="24"/>
              </w:rPr>
            </w:pPr>
            <w:r>
              <w:rPr>
                <w:rFonts w:hint="eastAsia"/>
                <w:color w:val="auto"/>
                <w:sz w:val="24"/>
              </w:rPr>
              <w:t>本项目施工期的废水排放主要来自于建筑施工人员的生活污水，以及施工废水。</w:t>
            </w:r>
          </w:p>
          <w:p>
            <w:pPr>
              <w:spacing w:line="480" w:lineRule="exact"/>
              <w:ind w:firstLine="480" w:firstLineChars="200"/>
              <w:rPr>
                <w:color w:val="auto"/>
                <w:sz w:val="24"/>
              </w:rPr>
            </w:pPr>
            <w:r>
              <w:rPr>
                <w:rFonts w:hint="eastAsia"/>
                <w:color w:val="auto"/>
                <w:sz w:val="24"/>
              </w:rPr>
              <w:t>3）施工噪声</w:t>
            </w:r>
          </w:p>
          <w:p>
            <w:pPr>
              <w:spacing w:line="480" w:lineRule="exact"/>
              <w:ind w:firstLine="480" w:firstLineChars="200"/>
              <w:rPr>
                <w:color w:val="auto"/>
                <w:sz w:val="24"/>
              </w:rPr>
            </w:pPr>
            <w:r>
              <w:rPr>
                <w:rFonts w:hint="eastAsia"/>
                <w:color w:val="auto"/>
                <w:sz w:val="24"/>
              </w:rPr>
              <w:t>施工期间的噪声主要来源于施工机械设备噪声（如钻机、切割机等）和物料运输车辆引起的交通噪声，噪声声级在70~100dB之间。</w:t>
            </w:r>
          </w:p>
          <w:p>
            <w:pPr>
              <w:spacing w:line="480" w:lineRule="exact"/>
              <w:ind w:firstLine="480" w:firstLineChars="200"/>
              <w:rPr>
                <w:color w:val="auto"/>
                <w:sz w:val="24"/>
              </w:rPr>
            </w:pPr>
            <w:r>
              <w:rPr>
                <w:rFonts w:hint="eastAsia"/>
                <w:color w:val="auto"/>
                <w:sz w:val="24"/>
              </w:rPr>
              <w:t>4）固体废物</w:t>
            </w:r>
          </w:p>
          <w:p>
            <w:pPr>
              <w:spacing w:line="480" w:lineRule="exact"/>
              <w:ind w:firstLine="480" w:firstLineChars="200"/>
              <w:rPr>
                <w:color w:val="auto"/>
                <w:sz w:val="24"/>
              </w:rPr>
            </w:pPr>
            <w:r>
              <w:rPr>
                <w:rFonts w:hint="eastAsia"/>
                <w:color w:val="auto"/>
                <w:sz w:val="24"/>
              </w:rPr>
              <w:t>施工期间产生的固体废物主要为施工人员聚集地产生的生活垃圾和施工过程中产生的建筑垃圾。</w:t>
            </w:r>
          </w:p>
          <w:p>
            <w:pPr>
              <w:spacing w:line="480" w:lineRule="exact"/>
              <w:ind w:firstLine="480" w:firstLineChars="200"/>
              <w:rPr>
                <w:color w:val="auto"/>
                <w:sz w:val="24"/>
              </w:rPr>
            </w:pPr>
          </w:p>
          <w:p>
            <w:pPr>
              <w:spacing w:line="480" w:lineRule="exact"/>
              <w:ind w:firstLine="480" w:firstLineChars="200"/>
              <w:rPr>
                <w:color w:val="auto"/>
                <w:sz w:val="24"/>
              </w:rPr>
            </w:pPr>
          </w:p>
          <w:p>
            <w:pPr>
              <w:pStyle w:val="2"/>
              <w:ind w:firstLine="480"/>
              <w:rPr>
                <w:color w:val="auto"/>
                <w:sz w:val="24"/>
              </w:rPr>
            </w:pPr>
          </w:p>
          <w:p>
            <w:pPr>
              <w:rPr>
                <w:color w:val="auto"/>
                <w:sz w:val="24"/>
              </w:rPr>
            </w:pPr>
          </w:p>
          <w:p>
            <w:pPr>
              <w:pStyle w:val="2"/>
              <w:rPr>
                <w:color w:val="auto"/>
                <w:sz w:val="24"/>
              </w:rPr>
            </w:pPr>
          </w:p>
          <w:p>
            <w:pPr>
              <w:rPr>
                <w:color w:val="auto"/>
              </w:rPr>
            </w:pPr>
          </w:p>
          <w:p>
            <w:pPr>
              <w:rPr>
                <w:color w:val="auto"/>
              </w:rPr>
            </w:pPr>
          </w:p>
          <w:p>
            <w:pPr>
              <w:spacing w:line="360" w:lineRule="auto"/>
              <w:rPr>
                <w:b/>
                <w:bCs/>
                <w:color w:val="auto"/>
                <w:sz w:val="24"/>
              </w:rPr>
            </w:pPr>
            <w:r>
              <w:rPr>
                <w:rFonts w:hint="eastAsia"/>
                <w:b/>
                <w:bCs/>
                <w:color w:val="auto"/>
                <w:sz w:val="24"/>
              </w:rPr>
              <w:t>二、</w:t>
            </w:r>
            <w:r>
              <w:rPr>
                <w:b/>
                <w:bCs/>
                <w:color w:val="auto"/>
                <w:sz w:val="24"/>
              </w:rPr>
              <w:t>运营期工艺流程简述：</w:t>
            </w:r>
          </w:p>
          <w:p>
            <w:pPr>
              <w:pStyle w:val="7"/>
              <w:spacing w:line="360" w:lineRule="auto"/>
              <w:ind w:firstLine="480"/>
              <w:rPr>
                <w:color w:val="auto"/>
                <w:sz w:val="24"/>
                <w:szCs w:val="24"/>
              </w:rPr>
            </w:pPr>
            <w:r>
              <w:rPr>
                <w:rFonts w:hint="eastAsia"/>
                <w:color w:val="auto"/>
                <w:sz w:val="24"/>
                <w:szCs w:val="24"/>
              </w:rPr>
              <w:t>超高功率石墨电极总的生产工艺为：采用针状焦、石油焦（均为煅后料、本项目不涉及煅烧工序）为骨料，改性沥青为粘接剂，冶金焦为保温料电阻料等，经过中碎、配料、混捏、压型、</w:t>
            </w:r>
            <w:r>
              <w:rPr>
                <w:rFonts w:hint="eastAsia"/>
                <w:b/>
                <w:bCs/>
                <w:color w:val="auto"/>
                <w:sz w:val="24"/>
                <w:szCs w:val="24"/>
                <w:highlight w:val="none"/>
              </w:rPr>
              <w:t>焙烧、浸渍、再次焙烧（包括二次/三次 /四次焙烧）</w:t>
            </w:r>
            <w:r>
              <w:rPr>
                <w:rFonts w:hint="eastAsia"/>
                <w:color w:val="auto"/>
                <w:sz w:val="24"/>
                <w:szCs w:val="24"/>
              </w:rPr>
              <w:t>、石墨化、机加工等一系列工艺工程，生产出来的一种耐高温石墨质导电材料。</w:t>
            </w:r>
          </w:p>
          <w:p>
            <w:pPr>
              <w:pStyle w:val="7"/>
              <w:spacing w:line="360" w:lineRule="auto"/>
              <w:ind w:firstLine="480"/>
              <w:rPr>
                <w:rFonts w:hint="eastAsia"/>
                <w:b w:val="0"/>
                <w:bCs w:val="0"/>
                <w:color w:val="auto"/>
                <w:sz w:val="24"/>
                <w:szCs w:val="24"/>
                <w:lang w:val="en-US" w:eastAsia="zh-CN"/>
              </w:rPr>
            </w:pPr>
            <w:r>
              <w:rPr>
                <w:rFonts w:hint="eastAsia"/>
                <w:b/>
                <w:bCs/>
                <w:color w:val="auto"/>
                <w:sz w:val="24"/>
                <w:szCs w:val="24"/>
              </w:rPr>
              <w:t>项目石墨电极生产工艺不包括“焙烧和浸渍”工序，这两个加工工序全部外委。</w:t>
            </w:r>
            <w:r>
              <w:rPr>
                <w:rFonts w:hint="eastAsia"/>
                <w:b w:val="0"/>
                <w:bCs w:val="0"/>
                <w:color w:val="auto"/>
                <w:sz w:val="24"/>
                <w:szCs w:val="24"/>
                <w:lang w:val="en-US" w:eastAsia="zh-CN"/>
              </w:rPr>
              <w:t>目前，建设单位已经与山西鑫贤碳素材料科技有限公司（最始工商登记注册名称为山西经华炭素有限公司，于2019年9月19日最终变更为山西鑫贤碳素材料科技有限公司），山西科福能源科技有限公司签订了外委加工协议。两个受托方环保手续履行情况如下表所示：</w:t>
            </w:r>
          </w:p>
          <w:p>
            <w:pPr>
              <w:pStyle w:val="7"/>
              <w:spacing w:line="240" w:lineRule="auto"/>
              <w:ind w:firstLine="480"/>
              <w:jc w:val="center"/>
              <w:rPr>
                <w:rFonts w:hint="eastAsia"/>
                <w:b/>
                <w:bCs/>
                <w:color w:val="auto"/>
                <w:sz w:val="24"/>
                <w:szCs w:val="24"/>
                <w:lang w:val="en-US" w:eastAsia="zh-CN"/>
              </w:rPr>
            </w:pPr>
            <w:r>
              <w:rPr>
                <w:rFonts w:hint="eastAsia"/>
                <w:b/>
                <w:bCs/>
                <w:color w:val="auto"/>
                <w:sz w:val="24"/>
                <w:szCs w:val="24"/>
                <w:lang w:val="en-US" w:eastAsia="zh-CN"/>
              </w:rPr>
              <w:t>表14 焙烧工序受托方环保手续履行情况一览表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2049"/>
              <w:gridCol w:w="323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受托方</w:t>
                  </w:r>
                </w:p>
              </w:tc>
              <w:tc>
                <w:tcPr>
                  <w:tcW w:w="1307"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环评批复</w:t>
                  </w:r>
                </w:p>
              </w:tc>
              <w:tc>
                <w:tcPr>
                  <w:tcW w:w="2065"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排污许可证</w:t>
                  </w:r>
                </w:p>
              </w:tc>
              <w:tc>
                <w:tcPr>
                  <w:tcW w:w="816"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焙烧工序生产能力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lang w:val="en-US" w:eastAsia="zh-CN"/>
                    </w:rPr>
                    <w:t>山西鑫贤碳素材料科技有限公司</w:t>
                  </w:r>
                </w:p>
              </w:tc>
              <w:tc>
                <w:tcPr>
                  <w:tcW w:w="1307"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介休市环境保护局，介环函[2014]92号，2014年4月8日</w:t>
                  </w:r>
                </w:p>
              </w:tc>
              <w:tc>
                <w:tcPr>
                  <w:tcW w:w="2065"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证书编号：911407817540858563001V。有效期为：2021年6月29日~2026年6月28日</w:t>
                  </w:r>
                </w:p>
              </w:tc>
              <w:tc>
                <w:tcPr>
                  <w:tcW w:w="816"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810"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lang w:val="en-US" w:eastAsia="zh-CN"/>
                    </w:rPr>
                    <w:t>山西科福能源科技有限公司</w:t>
                  </w:r>
                </w:p>
              </w:tc>
              <w:tc>
                <w:tcPr>
                  <w:tcW w:w="1307"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晋中市环境保护局，市环函[2004]116号，2004年10月29日</w:t>
                  </w:r>
                </w:p>
              </w:tc>
              <w:tc>
                <w:tcPr>
                  <w:tcW w:w="2065"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证书编号：911407813468929230001V。有效期为：2020年6月11日至2023年6月10日</w:t>
                  </w:r>
                </w:p>
              </w:tc>
              <w:tc>
                <w:tcPr>
                  <w:tcW w:w="816" w:type="pct"/>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8万吨/年</w:t>
                  </w:r>
                </w:p>
              </w:tc>
            </w:tr>
          </w:tbl>
          <w:p>
            <w:pPr>
              <w:pStyle w:val="7"/>
              <w:spacing w:line="360" w:lineRule="auto"/>
              <w:ind w:left="0" w:leftChars="0" w:firstLine="0" w:firstLineChars="0"/>
              <w:rPr>
                <w:rFonts w:hint="eastAsia"/>
                <w:b/>
                <w:bCs/>
                <w:color w:val="auto"/>
                <w:sz w:val="24"/>
                <w:szCs w:val="24"/>
              </w:rPr>
            </w:pPr>
            <w:r>
              <w:rPr>
                <w:rFonts w:hint="eastAsia"/>
                <w:b/>
                <w:bCs/>
                <w:color w:val="auto"/>
                <w:sz w:val="24"/>
                <w:szCs w:val="24"/>
                <w:lang w:val="en-US" w:eastAsia="zh-CN"/>
              </w:rPr>
              <w:t xml:space="preserve">    </w:t>
            </w:r>
            <w:r>
              <w:rPr>
                <w:rFonts w:hint="eastAsia"/>
                <w:b w:val="0"/>
                <w:bCs w:val="0"/>
                <w:color w:val="auto"/>
                <w:sz w:val="24"/>
                <w:szCs w:val="24"/>
                <w:lang w:val="en-US" w:eastAsia="zh-CN"/>
              </w:rPr>
              <w:t>由上表可知，“焙烧”工序受托公司环保手续齐全。两个受托公司生产石墨电极均包含焙烧工序，其中山西鑫贤碳素材料科技有限公司焙烧工序生产能力为2万吨/年，山西科福能源科技有限公司生产能力为8万吨/年。两个受托公司焙烧工序生产能力合计为10万吨/年。能够满足本项目3万吨/年外委加工需求。</w:t>
            </w:r>
          </w:p>
          <w:p>
            <w:pPr>
              <w:pStyle w:val="7"/>
              <w:spacing w:line="360" w:lineRule="auto"/>
              <w:ind w:firstLine="480"/>
              <w:rPr>
                <w:b/>
                <w:bCs/>
                <w:color w:val="auto"/>
                <w:sz w:val="24"/>
                <w:szCs w:val="24"/>
              </w:rPr>
            </w:pPr>
            <w:r>
              <w:rPr>
                <w:rFonts w:hint="eastAsia"/>
                <w:b/>
                <w:bCs/>
                <w:color w:val="auto"/>
                <w:sz w:val="24"/>
                <w:szCs w:val="24"/>
                <w:lang w:val="en-US" w:eastAsia="zh-CN"/>
              </w:rPr>
              <w:t>本项目</w:t>
            </w:r>
            <w:r>
              <w:rPr>
                <w:rFonts w:hint="eastAsia"/>
                <w:b/>
                <w:bCs/>
                <w:color w:val="auto"/>
                <w:sz w:val="24"/>
                <w:szCs w:val="24"/>
              </w:rPr>
              <w:t>基本工艺简述如下:</w:t>
            </w:r>
          </w:p>
          <w:p>
            <w:pPr>
              <w:pStyle w:val="7"/>
              <w:spacing w:line="360" w:lineRule="auto"/>
              <w:ind w:firstLine="480"/>
              <w:rPr>
                <w:color w:val="auto"/>
                <w:sz w:val="24"/>
                <w:szCs w:val="24"/>
              </w:rPr>
            </w:pPr>
            <w:r>
              <w:rPr>
                <w:rFonts w:hint="eastAsia"/>
                <w:color w:val="auto"/>
                <w:sz w:val="24"/>
                <w:szCs w:val="24"/>
              </w:rPr>
              <w:t>外购针状焦、石油焦送入原料转运站内卸料存储。经输送设备送入中碎配料及混捏成型车间，后经中碎配料系统处理后送入相应的配料仓中；生产中返回的生碎、石墨碎等物料也经返回料中碎配料系统处理后送入相应的料仓中；料仓中的针状焦、石油焦以及返回料按一定配比配料，之后由提升设备送至预热锅中进行预热处理，干料预热到一定温度后加入粘结剂液体沥青进行混捏处理，混捏后的物料送入挤压成型机成型为生制品。</w:t>
            </w:r>
          </w:p>
          <w:p>
            <w:pPr>
              <w:pStyle w:val="7"/>
              <w:spacing w:line="360" w:lineRule="auto"/>
              <w:ind w:firstLine="480"/>
              <w:rPr>
                <w:color w:val="auto"/>
                <w:sz w:val="24"/>
                <w:szCs w:val="24"/>
              </w:rPr>
            </w:pPr>
            <w:r>
              <w:rPr>
                <w:rFonts w:hint="eastAsia"/>
                <w:b/>
                <w:bCs/>
                <w:color w:val="auto"/>
                <w:sz w:val="24"/>
                <w:szCs w:val="24"/>
              </w:rPr>
              <w:t>生制品电极外委外单位进行焙烧，外委焙烧的合格品</w:t>
            </w:r>
            <w:r>
              <w:rPr>
                <w:rFonts w:hint="eastAsia"/>
                <w:color w:val="auto"/>
                <w:sz w:val="24"/>
                <w:szCs w:val="24"/>
              </w:rPr>
              <w:t>送入石墨化炉进行石墨化处理后，再经机械加工得到超高功率石墨电极成品。</w:t>
            </w:r>
          </w:p>
          <w:p>
            <w:pPr>
              <w:pStyle w:val="7"/>
              <w:spacing w:line="360" w:lineRule="auto"/>
              <w:ind w:firstLine="0"/>
              <w:rPr>
                <w:b/>
                <w:bCs/>
                <w:color w:val="auto"/>
                <w:sz w:val="24"/>
                <w:szCs w:val="24"/>
              </w:rPr>
            </w:pPr>
            <w:r>
              <w:rPr>
                <w:rFonts w:hint="eastAsia"/>
                <w:b/>
                <w:bCs/>
                <w:color w:val="auto"/>
                <w:sz w:val="24"/>
                <w:szCs w:val="24"/>
              </w:rPr>
              <w:t xml:space="preserve">    具体工艺流程如下：</w:t>
            </w:r>
          </w:p>
          <w:p>
            <w:pPr>
              <w:pStyle w:val="7"/>
              <w:spacing w:line="360" w:lineRule="auto"/>
              <w:ind w:firstLine="240" w:firstLineChars="100"/>
              <w:rPr>
                <w:color w:val="auto"/>
                <w:sz w:val="24"/>
                <w:szCs w:val="24"/>
              </w:rPr>
            </w:pPr>
            <w:r>
              <w:rPr>
                <w:rFonts w:hint="eastAsia"/>
                <w:color w:val="auto"/>
                <w:sz w:val="24"/>
                <w:szCs w:val="24"/>
              </w:rPr>
              <w:t>（1）原料转运和收集</w:t>
            </w:r>
          </w:p>
          <w:p>
            <w:pPr>
              <w:pStyle w:val="7"/>
              <w:spacing w:line="360" w:lineRule="auto"/>
              <w:ind w:firstLine="480" w:firstLineChars="200"/>
              <w:rPr>
                <w:color w:val="auto"/>
                <w:sz w:val="24"/>
                <w:szCs w:val="24"/>
              </w:rPr>
            </w:pPr>
            <w:r>
              <w:rPr>
                <w:rFonts w:hint="eastAsia"/>
                <w:color w:val="auto"/>
                <w:sz w:val="24"/>
                <w:szCs w:val="24"/>
              </w:rPr>
              <w:t>项目生产过程所需主要原料包括针状焦、石油焦、沥青、冶金焦。</w:t>
            </w:r>
          </w:p>
          <w:p>
            <w:pPr>
              <w:pStyle w:val="7"/>
              <w:spacing w:line="360" w:lineRule="auto"/>
              <w:ind w:firstLine="480" w:firstLineChars="200"/>
              <w:rPr>
                <w:color w:val="auto"/>
                <w:sz w:val="24"/>
                <w:szCs w:val="24"/>
              </w:rPr>
            </w:pPr>
            <w:r>
              <w:rPr>
                <w:rFonts w:hint="eastAsia"/>
                <w:color w:val="auto"/>
                <w:sz w:val="24"/>
                <w:szCs w:val="24"/>
              </w:rPr>
              <w:t>针状焦和石油焦采用吨袋包装（如下图所示），通过汽车将袋装原料运入，卸车，堆存于封闭的原料转运站内的针状焦和石油焦存储区域。投料过程中采用吊钩桥式起重机提升至格筛漏斗上方，打开吨袋包装下部，物料掉入投料漏斗中，然后通过胶带输送机和斗式提升机（密闭通道内）送入料仓存储。</w:t>
            </w:r>
          </w:p>
          <w:p>
            <w:pPr>
              <w:pStyle w:val="7"/>
              <w:spacing w:line="360" w:lineRule="auto"/>
              <w:ind w:firstLine="480" w:firstLineChars="200"/>
              <w:rPr>
                <w:color w:val="auto"/>
                <w:sz w:val="24"/>
                <w:szCs w:val="24"/>
              </w:rPr>
            </w:pPr>
            <w:r>
              <w:rPr>
                <w:rFonts w:hint="eastAsia"/>
                <w:color w:val="auto"/>
                <w:sz w:val="24"/>
                <w:szCs w:val="24"/>
              </w:rPr>
              <w:t>外购液体粘结剂沥青由沥青专用罐车拉至粘接剂沥青送入沥青储运子项的专用卸车位上，然后通过沥青泵将罐车内的液体沥青送入沥青沉淀槽内，液体粘结剂沥青在沉淀槽内静止沉淀后，根据混捏成型工序的需要，通过沥青泵将液体沥青送入混捏成型的高位槽内。</w:t>
            </w:r>
          </w:p>
          <w:p>
            <w:pPr>
              <w:pStyle w:val="7"/>
              <w:spacing w:line="360" w:lineRule="auto"/>
              <w:ind w:firstLine="0"/>
              <w:rPr>
                <w:color w:val="auto"/>
              </w:rPr>
            </w:pPr>
            <w:r>
              <w:rPr>
                <w:rFonts w:hint="eastAsia"/>
                <w:color w:val="auto"/>
              </w:rPr>
              <w:t xml:space="preserve"> </w:t>
            </w:r>
            <w:r>
              <w:rPr>
                <w:color w:val="auto"/>
              </w:rPr>
              <w:drawing>
                <wp:inline distT="0" distB="0" distL="114300" distR="114300">
                  <wp:extent cx="2307590" cy="1733550"/>
                  <wp:effectExtent l="0" t="0" r="16510" b="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7"/>
                          <a:stretch>
                            <a:fillRect/>
                          </a:stretch>
                        </pic:blipFill>
                        <pic:spPr>
                          <a:xfrm>
                            <a:off x="0" y="0"/>
                            <a:ext cx="2307590" cy="173355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307590" cy="1733550"/>
                  <wp:effectExtent l="0" t="0" r="16510"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8"/>
                          <a:stretch>
                            <a:fillRect/>
                          </a:stretch>
                        </pic:blipFill>
                        <pic:spPr>
                          <a:xfrm>
                            <a:off x="0" y="0"/>
                            <a:ext cx="2307590" cy="1733550"/>
                          </a:xfrm>
                          <a:prstGeom prst="rect">
                            <a:avLst/>
                          </a:prstGeom>
                          <a:noFill/>
                          <a:ln>
                            <a:noFill/>
                          </a:ln>
                        </pic:spPr>
                      </pic:pic>
                    </a:graphicData>
                  </a:graphic>
                </wp:inline>
              </w:drawing>
            </w:r>
          </w:p>
          <w:p>
            <w:pPr>
              <w:pStyle w:val="7"/>
              <w:spacing w:line="360" w:lineRule="auto"/>
              <w:ind w:firstLine="0"/>
              <w:jc w:val="center"/>
              <w:rPr>
                <w:b/>
                <w:bCs/>
                <w:color w:val="auto"/>
                <w:sz w:val="24"/>
                <w:szCs w:val="24"/>
              </w:rPr>
            </w:pPr>
            <w:r>
              <w:rPr>
                <w:rFonts w:hint="eastAsia"/>
                <w:b/>
                <w:bCs/>
                <w:color w:val="auto"/>
                <w:sz w:val="24"/>
                <w:szCs w:val="24"/>
              </w:rPr>
              <w:t>图3 针状焦、石油焦包装示意图</w:t>
            </w:r>
          </w:p>
          <w:p>
            <w:pPr>
              <w:pStyle w:val="7"/>
              <w:spacing w:line="360" w:lineRule="auto"/>
              <w:ind w:firstLine="480" w:firstLineChars="200"/>
              <w:rPr>
                <w:color w:val="auto"/>
                <w:sz w:val="24"/>
                <w:szCs w:val="24"/>
              </w:rPr>
            </w:pPr>
            <w:r>
              <w:rPr>
                <w:color w:val="auto"/>
                <w:sz w:val="24"/>
                <w:szCs w:val="24"/>
              </w:rPr>
              <w:t>冶金焦为散装料，通过汽车运</w:t>
            </w:r>
            <w:r>
              <w:rPr>
                <w:rFonts w:hint="eastAsia"/>
                <w:color w:val="auto"/>
                <w:sz w:val="24"/>
                <w:szCs w:val="24"/>
              </w:rPr>
              <w:t>入石墨化车间</w:t>
            </w:r>
            <w:r>
              <w:rPr>
                <w:color w:val="auto"/>
                <w:sz w:val="24"/>
                <w:szCs w:val="24"/>
              </w:rPr>
              <w:t>，采用吸料天车卸车，直接送入料仓存储待用。</w:t>
            </w:r>
          </w:p>
          <w:p>
            <w:pPr>
              <w:pStyle w:val="7"/>
              <w:spacing w:line="360" w:lineRule="auto"/>
              <w:ind w:firstLine="241" w:firstLineChars="100"/>
              <w:rPr>
                <w:b/>
                <w:bCs/>
                <w:color w:val="auto"/>
                <w:sz w:val="24"/>
                <w:szCs w:val="24"/>
              </w:rPr>
            </w:pPr>
            <w:r>
              <w:rPr>
                <w:rFonts w:hint="eastAsia"/>
                <w:b/>
                <w:bCs/>
                <w:color w:val="auto"/>
                <w:sz w:val="24"/>
                <w:szCs w:val="24"/>
              </w:rPr>
              <w:t>（2）中碎筛分，磨粉，配料</w:t>
            </w:r>
          </w:p>
          <w:p>
            <w:pPr>
              <w:pStyle w:val="7"/>
              <w:spacing w:line="360" w:lineRule="auto"/>
              <w:ind w:firstLine="480" w:firstLineChars="200"/>
              <w:rPr>
                <w:color w:val="auto"/>
                <w:sz w:val="24"/>
                <w:szCs w:val="24"/>
              </w:rPr>
            </w:pPr>
            <w:r>
              <w:rPr>
                <w:rFonts w:hint="eastAsia"/>
                <w:color w:val="auto"/>
                <w:sz w:val="24"/>
                <w:szCs w:val="24"/>
              </w:rPr>
              <w:t>原料转运站内料仓存储的针状焦和煅后石油焦，根据需要采用皮带输送机和斗式提升机（密闭通道内），分别进入中碎配料及混捏成型车间内针状焦、石油焦中碎筛分系统内的中转料仓存储待用。</w:t>
            </w:r>
          </w:p>
          <w:p>
            <w:pPr>
              <w:pStyle w:val="7"/>
              <w:spacing w:line="360" w:lineRule="auto"/>
              <w:ind w:firstLine="482" w:firstLineChars="200"/>
              <w:rPr>
                <w:color w:val="auto"/>
                <w:sz w:val="24"/>
                <w:szCs w:val="24"/>
              </w:rPr>
            </w:pPr>
            <w:r>
              <w:rPr>
                <w:rFonts w:hint="eastAsia"/>
                <w:b/>
                <w:bCs/>
                <w:color w:val="auto"/>
                <w:sz w:val="24"/>
                <w:szCs w:val="24"/>
              </w:rPr>
              <w:t>中碎筛分：</w:t>
            </w:r>
            <w:r>
              <w:rPr>
                <w:rFonts w:hint="eastAsia"/>
                <w:color w:val="auto"/>
                <w:sz w:val="24"/>
                <w:szCs w:val="24"/>
              </w:rPr>
              <w:t>中转仓内的针状焦和石油焦通过皮带输送机和斗式提升机（密闭通道内）分别送入各自的中碎筛分系统，返回料在中碎车间内投料、送入返回料中碎筛分系统内。各中碎筛分系统均设置有皮带输送机、破碎机、台斗式提升机、振动筛（设备均密闭）。</w:t>
            </w:r>
          </w:p>
          <w:p>
            <w:pPr>
              <w:pStyle w:val="7"/>
              <w:spacing w:line="360" w:lineRule="auto"/>
              <w:ind w:firstLine="480" w:firstLineChars="200"/>
              <w:rPr>
                <w:color w:val="auto"/>
                <w:sz w:val="24"/>
                <w:szCs w:val="24"/>
              </w:rPr>
            </w:pPr>
            <w:r>
              <w:rPr>
                <w:rFonts w:hint="eastAsia"/>
                <w:color w:val="auto"/>
                <w:sz w:val="24"/>
                <w:szCs w:val="24"/>
              </w:rPr>
              <w:t>煅后针状焦、石油焦中碎筛分系统：共3套，系统能力为10t/h，主要由胶带输送机、2台双光辊破碎机、1台斗式提升机、2台廻转筛等设备组成。</w:t>
            </w:r>
          </w:p>
          <w:p>
            <w:pPr>
              <w:pStyle w:val="7"/>
              <w:spacing w:line="360" w:lineRule="auto"/>
              <w:ind w:firstLine="480" w:firstLineChars="200"/>
              <w:rPr>
                <w:color w:val="auto"/>
                <w:sz w:val="24"/>
                <w:szCs w:val="24"/>
              </w:rPr>
            </w:pPr>
            <w:r>
              <w:rPr>
                <w:rFonts w:hint="eastAsia"/>
                <w:color w:val="auto"/>
                <w:sz w:val="24"/>
                <w:szCs w:val="24"/>
              </w:rPr>
              <w:t>返回料中碎筛分系统：系统能力为5t/h，对各种生碎料、石墨碎进行破碎筛分。系统主要由1台油压破碎机、1台复合破碎机、1台对辊破碎机、1台斗式提升机及1台廻转筛组成。</w:t>
            </w:r>
          </w:p>
          <w:p>
            <w:pPr>
              <w:pStyle w:val="7"/>
              <w:spacing w:line="360" w:lineRule="auto"/>
              <w:ind w:firstLine="480" w:firstLineChars="200"/>
              <w:rPr>
                <w:color w:val="auto"/>
                <w:sz w:val="24"/>
                <w:szCs w:val="24"/>
              </w:rPr>
            </w:pPr>
            <w:r>
              <w:rPr>
                <w:rFonts w:hint="eastAsia"/>
                <w:color w:val="auto"/>
                <w:sz w:val="24"/>
                <w:szCs w:val="24"/>
              </w:rPr>
              <w:t>针状焦（或石油焦）经破碎后由台斗式提升机、胶带输送机至振动筛筛分，最上层的粒料不合格，返回中碎系统重新破碎，其余粒料筛分成为5种不同粒径，分别存储于不同的料仓中，最小粒径粒料除部分进入料仓暂存待用外，剩余部分送入磨粉系统的磨前料仓；返回料经破碎后由台斗式提升机、胶带输送机至振动筛，经过振动筛筛分，筛上料及筛下料分别进入不同料仓中存储。</w:t>
            </w:r>
          </w:p>
          <w:p>
            <w:pPr>
              <w:pStyle w:val="7"/>
              <w:spacing w:line="360" w:lineRule="auto"/>
              <w:ind w:firstLine="482" w:firstLineChars="200"/>
              <w:rPr>
                <w:b/>
                <w:bCs/>
                <w:color w:val="auto"/>
                <w:sz w:val="24"/>
                <w:szCs w:val="24"/>
              </w:rPr>
            </w:pPr>
            <w:r>
              <w:rPr>
                <w:rFonts w:hint="eastAsia"/>
                <w:b/>
                <w:bCs/>
                <w:color w:val="auto"/>
                <w:sz w:val="24"/>
                <w:szCs w:val="24"/>
              </w:rPr>
              <w:t>磨粉：</w:t>
            </w:r>
            <w:r>
              <w:rPr>
                <w:rFonts w:hint="eastAsia"/>
                <w:color w:val="auto"/>
                <w:sz w:val="24"/>
                <w:szCs w:val="24"/>
              </w:rPr>
              <w:t>磨制各种粉料，共设3套磨粉系统，每套系统处理能力为2t/h。每套磨粉系统主要由1台磨粉机、1台旋风收粉器、1台布袋收尘器及配套的相应风机等设备促成。3套磨粉系统粉料分别进入3套粉料配料仓储存。</w:t>
            </w:r>
          </w:p>
          <w:p>
            <w:pPr>
              <w:pStyle w:val="7"/>
              <w:spacing w:line="360" w:lineRule="auto"/>
              <w:ind w:firstLine="480" w:firstLineChars="200"/>
              <w:rPr>
                <w:color w:val="auto"/>
                <w:sz w:val="24"/>
                <w:szCs w:val="24"/>
              </w:rPr>
            </w:pPr>
            <w:r>
              <w:rPr>
                <w:rFonts w:hint="eastAsia"/>
                <w:color w:val="auto"/>
                <w:sz w:val="24"/>
                <w:szCs w:val="24"/>
              </w:rPr>
              <w:t>根据配料的需要，需将破碎后的针状焦和石油焦进行再次粉碎以得到更小粒径的物料（返回料不磨粉直接配料）。中碎筛分后小粒径的针状焦和石油焦暂存于磨粉系统的磨前料仓内，进入磨粉机内依靠辗压和研磨作用将物料研磨粉碎，由风机将磨粉机内的含焦粉气体吹进磨粉机的分离器分离，不合格的粗粒料返回磨粉机重磨，合格的细粉料经旋风分离机收集进入粉料仓暂存（设备均密闭）。</w:t>
            </w:r>
          </w:p>
          <w:p>
            <w:pPr>
              <w:pStyle w:val="7"/>
              <w:spacing w:line="360" w:lineRule="auto"/>
              <w:ind w:firstLine="482" w:firstLineChars="200"/>
              <w:rPr>
                <w:color w:val="auto"/>
                <w:sz w:val="24"/>
                <w:szCs w:val="24"/>
              </w:rPr>
            </w:pPr>
            <w:r>
              <w:rPr>
                <w:rFonts w:hint="eastAsia"/>
                <w:b/>
                <w:bCs/>
                <w:color w:val="auto"/>
                <w:sz w:val="24"/>
                <w:szCs w:val="24"/>
              </w:rPr>
              <w:t>配料：</w:t>
            </w:r>
            <w:r>
              <w:rPr>
                <w:rFonts w:hint="eastAsia"/>
                <w:color w:val="auto"/>
                <w:sz w:val="24"/>
                <w:szCs w:val="24"/>
              </w:rPr>
              <w:t>配料系统1套，系统平均生产能力为10t/h，主要由6个配料仓、7台配料秤等设备组成。</w:t>
            </w:r>
          </w:p>
          <w:p>
            <w:pPr>
              <w:pStyle w:val="7"/>
              <w:spacing w:line="360" w:lineRule="auto"/>
              <w:ind w:firstLine="480" w:firstLineChars="200"/>
              <w:rPr>
                <w:color w:val="auto"/>
                <w:sz w:val="24"/>
                <w:szCs w:val="24"/>
              </w:rPr>
            </w:pPr>
            <w:r>
              <w:rPr>
                <w:rFonts w:hint="eastAsia"/>
                <w:color w:val="auto"/>
                <w:sz w:val="24"/>
                <w:szCs w:val="24"/>
              </w:rPr>
              <w:t>配料中的原料包括筛分后的针状焦、石油焦、返回料以及磨粉后的针状焦粉、石油焦粉，存储在各自的料仓中。在配料时，开启各料仓下方出料口，物料经过料斗秤称量后按照一定比例依次通过管道放入至配料仓内。放料完成后，经过功能移动小车送至混捏工段的干料预热锅内。多功能移动小车设置有空气循环系统，系统将产生的扬尘收集后，经过循环系统，返回至移动小车内。移动小车与预热锅之间设置有软连接，物料经软连接装置下料至预热锅。配料采用微机控制，包括配料、秤量、校正控制以及配料后的运输控制。</w:t>
            </w:r>
          </w:p>
          <w:p>
            <w:pPr>
              <w:pStyle w:val="7"/>
              <w:spacing w:line="360" w:lineRule="auto"/>
              <w:ind w:firstLine="482" w:firstLineChars="200"/>
              <w:rPr>
                <w:b/>
                <w:bCs/>
                <w:color w:val="auto"/>
                <w:sz w:val="24"/>
                <w:szCs w:val="24"/>
              </w:rPr>
            </w:pPr>
            <w:r>
              <w:rPr>
                <w:rFonts w:hint="eastAsia"/>
                <w:b/>
                <w:bCs/>
                <w:color w:val="auto"/>
                <w:sz w:val="24"/>
                <w:szCs w:val="24"/>
              </w:rPr>
              <w:t>产污环节:</w:t>
            </w:r>
          </w:p>
          <w:p>
            <w:pPr>
              <w:pStyle w:val="7"/>
              <w:spacing w:line="360" w:lineRule="auto"/>
              <w:ind w:firstLine="480" w:firstLineChars="200"/>
              <w:rPr>
                <w:color w:val="auto"/>
                <w:sz w:val="24"/>
                <w:szCs w:val="24"/>
              </w:rPr>
            </w:pPr>
            <w:r>
              <w:rPr>
                <w:rFonts w:hint="eastAsia"/>
                <w:color w:val="auto"/>
                <w:sz w:val="24"/>
                <w:szCs w:val="24"/>
              </w:rPr>
              <w:t>破碎、上料、筛分、磨粉和配料过程产生的粉尘。</w:t>
            </w:r>
          </w:p>
          <w:p>
            <w:pPr>
              <w:pStyle w:val="7"/>
              <w:spacing w:line="360" w:lineRule="auto"/>
              <w:ind w:firstLine="480" w:firstLineChars="200"/>
              <w:rPr>
                <w:color w:val="auto"/>
                <w:sz w:val="24"/>
                <w:szCs w:val="24"/>
              </w:rPr>
            </w:pPr>
            <w:r>
              <w:rPr>
                <w:rFonts w:hint="eastAsia"/>
                <w:color w:val="auto"/>
                <w:sz w:val="24"/>
                <w:szCs w:val="24"/>
              </w:rPr>
              <w:t>破碎机、磨机、风机、泵类等产生噪声。</w:t>
            </w:r>
          </w:p>
          <w:p>
            <w:pPr>
              <w:pStyle w:val="7"/>
              <w:spacing w:line="360" w:lineRule="auto"/>
              <w:ind w:firstLine="480" w:firstLineChars="200"/>
              <w:rPr>
                <w:color w:val="auto"/>
                <w:sz w:val="24"/>
                <w:szCs w:val="24"/>
              </w:rPr>
            </w:pPr>
            <w:r>
              <w:rPr>
                <w:rFonts w:hint="eastAsia"/>
                <w:color w:val="auto"/>
                <w:sz w:val="24"/>
                <w:szCs w:val="24"/>
              </w:rPr>
              <w:t>除尘器的除尘灰。</w:t>
            </w:r>
          </w:p>
          <w:p>
            <w:pPr>
              <w:pStyle w:val="7"/>
              <w:spacing w:line="360" w:lineRule="auto"/>
              <w:ind w:firstLine="241" w:firstLineChars="100"/>
              <w:rPr>
                <w:b/>
                <w:bCs/>
                <w:color w:val="auto"/>
                <w:sz w:val="24"/>
                <w:szCs w:val="24"/>
              </w:rPr>
            </w:pPr>
            <w:r>
              <w:rPr>
                <w:rFonts w:hint="eastAsia"/>
                <w:b/>
                <w:bCs/>
                <w:color w:val="auto"/>
                <w:sz w:val="24"/>
                <w:szCs w:val="24"/>
              </w:rPr>
              <w:t>（3）粘结剂保温</w:t>
            </w:r>
          </w:p>
          <w:p>
            <w:pPr>
              <w:pStyle w:val="7"/>
              <w:spacing w:line="360" w:lineRule="auto"/>
              <w:ind w:firstLine="480" w:firstLineChars="200"/>
              <w:rPr>
                <w:color w:val="auto"/>
                <w:sz w:val="24"/>
                <w:szCs w:val="24"/>
              </w:rPr>
            </w:pPr>
            <w:r>
              <w:rPr>
                <w:rFonts w:hint="eastAsia"/>
                <w:color w:val="auto"/>
                <w:sz w:val="24"/>
                <w:szCs w:val="24"/>
              </w:rPr>
              <w:t xml:space="preserve">在沥青熔化槽上，设置有导热油（180-200℃）加热管道以及间接冷却水管道，保证沥青熔化罐内温度在160℃。熔化好的液体沥青通过沥青泵和管道，送入沥青静置罐，而后通过沥青泵和管道，送入沥青高位罐内。 </w:t>
            </w:r>
          </w:p>
          <w:p>
            <w:pPr>
              <w:pStyle w:val="7"/>
              <w:spacing w:line="360" w:lineRule="auto"/>
              <w:ind w:firstLine="480" w:firstLineChars="200"/>
              <w:rPr>
                <w:color w:val="auto"/>
                <w:sz w:val="24"/>
                <w:szCs w:val="24"/>
              </w:rPr>
            </w:pPr>
            <w:r>
              <w:rPr>
                <w:rFonts w:hint="eastAsia"/>
                <w:color w:val="auto"/>
                <w:sz w:val="24"/>
                <w:szCs w:val="24"/>
              </w:rPr>
              <w:t>沥青熔化装置采用导热油（热煤油）加热，根据工艺要求，本项目设置 导热油炉站，为粘结剂沥青熔化提供热源。导热油锅炉采用天然气作为燃料。</w:t>
            </w:r>
          </w:p>
          <w:p>
            <w:pPr>
              <w:pStyle w:val="7"/>
              <w:spacing w:line="360" w:lineRule="auto"/>
              <w:ind w:firstLine="482" w:firstLineChars="200"/>
              <w:rPr>
                <w:b/>
                <w:bCs/>
                <w:color w:val="auto"/>
                <w:sz w:val="24"/>
                <w:szCs w:val="24"/>
              </w:rPr>
            </w:pPr>
            <w:r>
              <w:rPr>
                <w:rFonts w:hint="eastAsia"/>
                <w:b/>
                <w:bCs/>
                <w:color w:val="auto"/>
                <w:sz w:val="24"/>
                <w:szCs w:val="24"/>
              </w:rPr>
              <w:t>产污环节:</w:t>
            </w:r>
          </w:p>
          <w:p>
            <w:pPr>
              <w:pStyle w:val="7"/>
              <w:spacing w:line="360" w:lineRule="auto"/>
              <w:ind w:firstLine="480" w:firstLineChars="200"/>
              <w:rPr>
                <w:color w:val="auto"/>
                <w:sz w:val="24"/>
                <w:szCs w:val="24"/>
              </w:rPr>
            </w:pPr>
            <w:r>
              <w:rPr>
                <w:rFonts w:hint="eastAsia"/>
                <w:color w:val="auto"/>
                <w:sz w:val="24"/>
                <w:szCs w:val="24"/>
              </w:rPr>
              <w:t>沥青熔化烟气，包括沥青烟、苯并芘。</w:t>
            </w:r>
          </w:p>
          <w:p>
            <w:pPr>
              <w:pStyle w:val="7"/>
              <w:spacing w:line="360" w:lineRule="auto"/>
              <w:ind w:firstLine="480" w:firstLineChars="200"/>
              <w:rPr>
                <w:color w:val="auto"/>
                <w:sz w:val="24"/>
                <w:szCs w:val="24"/>
              </w:rPr>
            </w:pPr>
            <w:r>
              <w:rPr>
                <w:rFonts w:hint="eastAsia"/>
                <w:color w:val="auto"/>
                <w:sz w:val="24"/>
                <w:szCs w:val="24"/>
              </w:rPr>
              <w:t>导热油炉烟气，包括颗粒物、二氧化硫和氮氧化物。</w:t>
            </w:r>
          </w:p>
          <w:p>
            <w:pPr>
              <w:pStyle w:val="7"/>
              <w:spacing w:line="360" w:lineRule="auto"/>
              <w:ind w:firstLine="241" w:firstLineChars="100"/>
              <w:rPr>
                <w:b/>
                <w:bCs/>
                <w:color w:val="auto"/>
                <w:sz w:val="24"/>
                <w:szCs w:val="24"/>
              </w:rPr>
            </w:pPr>
            <w:r>
              <w:rPr>
                <w:rFonts w:hint="eastAsia"/>
                <w:b/>
                <w:bCs/>
                <w:color w:val="auto"/>
                <w:sz w:val="24"/>
                <w:szCs w:val="24"/>
              </w:rPr>
              <w:t>（4）混捏、成型</w:t>
            </w:r>
          </w:p>
          <w:p>
            <w:pPr>
              <w:pStyle w:val="7"/>
              <w:spacing w:line="360" w:lineRule="auto"/>
              <w:ind w:firstLine="240" w:firstLineChars="100"/>
              <w:rPr>
                <w:color w:val="auto"/>
                <w:sz w:val="24"/>
                <w:szCs w:val="24"/>
              </w:rPr>
            </w:pPr>
            <w:r>
              <w:rPr>
                <w:rFonts w:hint="eastAsia"/>
                <w:color w:val="auto"/>
                <w:sz w:val="24"/>
                <w:szCs w:val="24"/>
              </w:rPr>
              <w:t xml:space="preserve">  项目共设两套混捏成型系统。其中1#混捏成型系统用于生产较大规格电极本体，主要设备为2台4000L预热锅，2台4000L混捏锅、2台糊料冷却锅，同时配设1台3500t挤压成型机；2#混捏成型系统用于生产优质的接头，共配置1台4000L预热锅、1台4000L混捏锅、1台4000L糊料冷却锅，同时配设1台2500t挤压成型机。</w:t>
            </w:r>
          </w:p>
          <w:p>
            <w:pPr>
              <w:pStyle w:val="7"/>
              <w:spacing w:line="360" w:lineRule="auto"/>
              <w:ind w:firstLine="240" w:firstLineChars="100"/>
              <w:rPr>
                <w:color w:val="auto"/>
                <w:sz w:val="24"/>
                <w:szCs w:val="24"/>
              </w:rPr>
            </w:pPr>
            <w:r>
              <w:rPr>
                <w:rFonts w:hint="eastAsia"/>
                <w:color w:val="auto"/>
                <w:sz w:val="24"/>
                <w:szCs w:val="24"/>
              </w:rPr>
              <w:t xml:space="preserve">  </w:t>
            </w:r>
            <w:r>
              <w:rPr>
                <w:rFonts w:hint="eastAsia"/>
                <w:b/>
                <w:bCs/>
                <w:color w:val="auto"/>
                <w:sz w:val="24"/>
                <w:szCs w:val="24"/>
              </w:rPr>
              <w:t>混捏：</w:t>
            </w:r>
            <w:r>
              <w:rPr>
                <w:rFonts w:hint="eastAsia"/>
                <w:color w:val="auto"/>
                <w:sz w:val="24"/>
                <w:szCs w:val="24"/>
              </w:rPr>
              <w:t>混捏工序主要设备包括干料预热锅、混捏锅以及糊料冷却锅。移动小车将配料完成的干料（锻后针状焦、锻后石油焦、返回料）放料到干料预热锅中将干物料预热至180-200℃并搅拌均匀。打开连接口，通过管道将物料放入至混捏锅中。而后，打开沥青高位罐的阀门，定量将熔化的粘接剂沥青经过计量秤计量后经管道加入至混捏锅中与干料搅拌混捏。在预热锅和混捏锅上，设置有导热油加热管道以及间接冷却水管道，混捏过程物料温度保持在 150-160℃，混捏好的糊料经过管道送入冷却锅冷却到约100-120℃（水间接冷却），然后由糊料输送机送到成型机成型。</w:t>
            </w:r>
          </w:p>
          <w:p>
            <w:pPr>
              <w:pStyle w:val="7"/>
              <w:spacing w:line="360" w:lineRule="auto"/>
              <w:ind w:firstLine="482" w:firstLineChars="200"/>
              <w:rPr>
                <w:color w:val="auto"/>
                <w:sz w:val="24"/>
                <w:szCs w:val="24"/>
              </w:rPr>
            </w:pPr>
            <w:r>
              <w:rPr>
                <w:rFonts w:hint="eastAsia"/>
                <w:b/>
                <w:bCs/>
                <w:color w:val="auto"/>
                <w:sz w:val="24"/>
                <w:szCs w:val="24"/>
              </w:rPr>
              <w:t>压型：</w:t>
            </w:r>
            <w:r>
              <w:rPr>
                <w:rFonts w:hint="eastAsia"/>
                <w:color w:val="auto"/>
                <w:sz w:val="24"/>
                <w:szCs w:val="24"/>
              </w:rPr>
              <w:t>混捏完成的糊料由密闭的输送带送至挤压成型机成型。糊料分多个阶段充满挤压成型机，在每个阶段首先通过输送机将冷却锅中的糊料加入挤压成型机、而后对糊料进行挤压捣固，而后关闭出口抽真空、对糊料进行预压。电极糊料被最大压力预压后，打开压型嘴口锁定挡板、符合压型嘴口直径的电极以一定速度被慢慢挤出，挤出后生电极由可移动、翻转的托架承接、当生电极达到规定长度后由气动切剪机将电极切剪下来、滚入水池中浸泡冷却。糊料加料、捣固过程的废气连接至抽风系统抽排，压型过程中的气体由真空系统抽出。</w:t>
            </w:r>
          </w:p>
          <w:p>
            <w:pPr>
              <w:pStyle w:val="7"/>
              <w:spacing w:line="360" w:lineRule="auto"/>
              <w:ind w:firstLine="482" w:firstLineChars="200"/>
              <w:rPr>
                <w:color w:val="auto"/>
                <w:sz w:val="24"/>
                <w:szCs w:val="24"/>
              </w:rPr>
            </w:pPr>
            <w:r>
              <w:rPr>
                <w:rFonts w:hint="eastAsia"/>
                <w:b/>
                <w:bCs/>
                <w:color w:val="auto"/>
                <w:sz w:val="24"/>
                <w:szCs w:val="24"/>
              </w:rPr>
              <w:t>冷却</w:t>
            </w:r>
            <w:r>
              <w:rPr>
                <w:rFonts w:hint="eastAsia"/>
                <w:color w:val="auto"/>
                <w:sz w:val="24"/>
                <w:szCs w:val="24"/>
              </w:rPr>
              <w:t xml:space="preserve">：压型完成后的生电极浸泡在冷却水池中，冷却水槽温度控制在 20~30℃范围内。冷却后的生电极从冷却水槽中捞出。 </w:t>
            </w:r>
          </w:p>
          <w:p>
            <w:pPr>
              <w:pStyle w:val="7"/>
              <w:spacing w:line="360" w:lineRule="auto"/>
              <w:ind w:firstLine="482" w:firstLineChars="200"/>
              <w:rPr>
                <w:b/>
                <w:bCs/>
                <w:color w:val="auto"/>
                <w:sz w:val="24"/>
                <w:szCs w:val="24"/>
              </w:rPr>
            </w:pPr>
            <w:r>
              <w:rPr>
                <w:rFonts w:hint="eastAsia"/>
                <w:b/>
                <w:bCs/>
                <w:color w:val="auto"/>
                <w:sz w:val="24"/>
                <w:szCs w:val="24"/>
              </w:rPr>
              <w:t>产污环节:</w:t>
            </w:r>
          </w:p>
          <w:p>
            <w:pPr>
              <w:pStyle w:val="7"/>
              <w:spacing w:line="360" w:lineRule="auto"/>
              <w:ind w:firstLine="480" w:firstLineChars="200"/>
              <w:rPr>
                <w:color w:val="auto"/>
                <w:sz w:val="24"/>
                <w:szCs w:val="24"/>
              </w:rPr>
            </w:pPr>
            <w:r>
              <w:rPr>
                <w:rFonts w:hint="eastAsia"/>
                <w:color w:val="auto"/>
                <w:sz w:val="24"/>
                <w:szCs w:val="24"/>
              </w:rPr>
              <w:t>生料混捏成型产生含粉尘、沥青烟、BaP的废气。</w:t>
            </w:r>
          </w:p>
          <w:p>
            <w:pPr>
              <w:pStyle w:val="7"/>
              <w:spacing w:line="360" w:lineRule="auto"/>
              <w:ind w:firstLine="480" w:firstLineChars="200"/>
              <w:rPr>
                <w:color w:val="auto"/>
                <w:sz w:val="24"/>
                <w:szCs w:val="24"/>
              </w:rPr>
            </w:pPr>
            <w:r>
              <w:rPr>
                <w:rFonts w:hint="eastAsia"/>
                <w:color w:val="auto"/>
                <w:sz w:val="24"/>
                <w:szCs w:val="24"/>
              </w:rPr>
              <w:t>混捏机、成型机、泵类等产生噪声。</w:t>
            </w:r>
          </w:p>
          <w:p>
            <w:pPr>
              <w:pStyle w:val="7"/>
              <w:spacing w:line="360" w:lineRule="auto"/>
              <w:ind w:firstLine="480" w:firstLineChars="200"/>
              <w:rPr>
                <w:color w:val="auto"/>
                <w:sz w:val="24"/>
                <w:szCs w:val="24"/>
              </w:rPr>
            </w:pPr>
            <w:r>
              <w:rPr>
                <w:rFonts w:hint="eastAsia"/>
                <w:color w:val="auto"/>
                <w:sz w:val="24"/>
                <w:szCs w:val="24"/>
              </w:rPr>
              <w:t>炭块冷却水池隔油沉淀废油。</w:t>
            </w:r>
          </w:p>
          <w:p>
            <w:pPr>
              <w:pStyle w:val="7"/>
              <w:spacing w:line="360" w:lineRule="auto"/>
              <w:ind w:firstLine="480" w:firstLineChars="200"/>
              <w:rPr>
                <w:color w:val="auto"/>
                <w:sz w:val="24"/>
                <w:szCs w:val="24"/>
              </w:rPr>
            </w:pPr>
            <w:r>
              <w:rPr>
                <w:rFonts w:hint="eastAsia"/>
                <w:color w:val="auto"/>
                <w:sz w:val="24"/>
                <w:szCs w:val="24"/>
              </w:rPr>
              <w:t>不合格的毛坯块（生碎）。</w:t>
            </w:r>
          </w:p>
          <w:p>
            <w:pPr>
              <w:pStyle w:val="63"/>
              <w:spacing w:before="0" w:beforeLines="0" w:line="360" w:lineRule="auto"/>
              <w:ind w:firstLine="241" w:firstLineChars="100"/>
              <w:rPr>
                <w:b/>
                <w:bCs/>
                <w:color w:val="auto"/>
              </w:rPr>
            </w:pPr>
            <w:r>
              <w:rPr>
                <w:rFonts w:hint="eastAsia"/>
                <w:b/>
                <w:bCs/>
                <w:color w:val="auto"/>
              </w:rPr>
              <w:t>（5）石墨化</w:t>
            </w:r>
          </w:p>
          <w:p>
            <w:pPr>
              <w:pStyle w:val="63"/>
              <w:spacing w:before="0" w:beforeLines="0" w:line="360" w:lineRule="auto"/>
              <w:ind w:firstLine="480"/>
              <w:rPr>
                <w:color w:val="auto"/>
              </w:rPr>
            </w:pPr>
            <w:r>
              <w:rPr>
                <w:color w:val="auto"/>
              </w:rPr>
              <w:t>石墨化是超高功率石墨电极制造中的重要环节，通过高温将碳素焙烧品炭结构转化为石墨晶体结构，大幅提高产品热、电传导性、耐热冲击性、化学稳定性、耐磨性并提高产品的强度等技术指标。</w:t>
            </w:r>
          </w:p>
          <w:p>
            <w:pPr>
              <w:pStyle w:val="63"/>
              <w:spacing w:before="0" w:beforeLines="0" w:line="360" w:lineRule="auto"/>
              <w:ind w:firstLine="464"/>
              <w:rPr>
                <w:color w:val="auto"/>
                <w:spacing w:val="-4"/>
              </w:rPr>
            </w:pPr>
            <w:r>
              <w:rPr>
                <w:color w:val="auto"/>
                <w:spacing w:val="-4"/>
              </w:rPr>
              <w:t>本项目建设2组内热串接式石墨化炉（每组包含</w:t>
            </w:r>
            <w:r>
              <w:rPr>
                <w:rFonts w:hint="eastAsia"/>
                <w:color w:val="auto"/>
                <w:spacing w:val="-4"/>
              </w:rPr>
              <w:t>9</w:t>
            </w:r>
            <w:r>
              <w:rPr>
                <w:color w:val="auto"/>
                <w:spacing w:val="-4"/>
              </w:rPr>
              <w:t>台炉），与艾奇逊石墨化炉比较，内热串接石墨化炉直接对制品通电加热，用保温料隔绝制品热量的散失，工艺电耗低，且炉芯温度梯度小，生产效率高，制品成品率较高。项目内串式石墨化炉为直流供电，供电电压调整范围60V-200V、每级电压差范围5V、最大电流280kA、装机功率27500kW。</w:t>
            </w:r>
          </w:p>
          <w:p>
            <w:pPr>
              <w:pStyle w:val="63"/>
              <w:spacing w:before="0" w:beforeLines="0" w:line="360" w:lineRule="auto"/>
              <w:ind w:firstLine="480"/>
              <w:rPr>
                <w:color w:val="auto"/>
              </w:rPr>
            </w:pPr>
            <w:r>
              <w:rPr>
                <w:color w:val="auto"/>
              </w:rPr>
              <w:t>项目内串石墨化炉的生产操作由装炉、通电、冷却、卸炉、清炉及小修等几个过程组成，并按以上顺序循环进行。</w:t>
            </w:r>
          </w:p>
          <w:p>
            <w:pPr>
              <w:pStyle w:val="63"/>
              <w:spacing w:before="0" w:beforeLines="0" w:line="360" w:lineRule="auto"/>
              <w:ind w:firstLine="482"/>
              <w:rPr>
                <w:color w:val="auto"/>
              </w:rPr>
            </w:pPr>
            <w:r>
              <w:rPr>
                <w:rFonts w:hint="eastAsia"/>
                <w:b/>
                <w:bCs/>
                <w:color w:val="auto"/>
              </w:rPr>
              <w:t>①</w:t>
            </w:r>
            <w:r>
              <w:rPr>
                <w:b/>
                <w:bCs/>
                <w:color w:val="auto"/>
              </w:rPr>
              <w:t>装炉</w:t>
            </w:r>
            <w:r>
              <w:rPr>
                <w:color w:val="auto"/>
              </w:rPr>
              <w:t>：炉底先采用多功能天车铺设填充料冶金焦，而后将平过端面的焙烧石墨电极吊送到组串设备，组好串后由天车用特制夹具送到炉内，水平纵向串连，液压顶推装置按设定的压力压紧石墨，组成石墨化炉的炉芯，调整好后由吸料天车将冶金焦填充至炭块周边及表面作为保温料，保温料厚度600mm～700mm。冶金焦在内热串接式石墨化炉中并不作为电阻料，其粒度要求6mm以下，不符合粒度要求的冶金焦需定期筛分更换至符合要求的粒度。 最后将炉盖盖上。装炉过程大约 1 天。</w:t>
            </w:r>
          </w:p>
          <w:p>
            <w:pPr>
              <w:pStyle w:val="63"/>
              <w:spacing w:before="0" w:beforeLines="0" w:line="360" w:lineRule="auto"/>
              <w:ind w:firstLine="482"/>
              <w:rPr>
                <w:color w:val="auto"/>
              </w:rPr>
            </w:pPr>
            <w:r>
              <w:rPr>
                <w:rFonts w:hint="eastAsia"/>
                <w:b/>
                <w:bCs/>
                <w:color w:val="auto"/>
              </w:rPr>
              <w:t>②</w:t>
            </w:r>
            <w:r>
              <w:rPr>
                <w:b/>
                <w:bCs/>
                <w:color w:val="auto"/>
              </w:rPr>
              <w:t>送电</w:t>
            </w:r>
            <w:r>
              <w:rPr>
                <w:color w:val="auto"/>
              </w:rPr>
              <w:t>：装好炉后，就开始送电加热。内串石墨化炉采用直流变压器供电，在2</w:t>
            </w:r>
            <w:r>
              <w:rPr>
                <w:rFonts w:hint="eastAsia"/>
                <w:color w:val="auto"/>
              </w:rPr>
              <w:t>8</w:t>
            </w:r>
            <w:r>
              <w:rPr>
                <w:color w:val="auto"/>
              </w:rPr>
              <w:t>00℃-3000℃高温下，石墨电极中的无定形炭向结晶形石墨转化，从而提高其电、热传导性能，此过程即为石墨化过程。石墨电极在通电加热过程中，其物理结构和化学组成发生了很大的变化，碳平面网格逐渐转化为石墨晶格结构，同时低烃类物质不断向外散逸，在填充料表面与氧气接触生成 CO</w:t>
            </w:r>
            <w:r>
              <w:rPr>
                <w:color w:val="auto"/>
                <w:vertAlign w:val="subscript"/>
              </w:rPr>
              <w:t>2</w:t>
            </w:r>
            <w:r>
              <w:rPr>
                <w:color w:val="auto"/>
              </w:rPr>
              <w:t xml:space="preserve"> 等。整个送电过程，由微机按照预先输入的升温曲线自动进行控制，通电过程需要约22 小时，在</w:t>
            </w:r>
            <w:r>
              <w:rPr>
                <w:rFonts w:hint="eastAsia"/>
                <w:color w:val="auto"/>
              </w:rPr>
              <w:t>1</w:t>
            </w:r>
            <w:r>
              <w:rPr>
                <w:color w:val="auto"/>
              </w:rPr>
              <w:t>4</w:t>
            </w:r>
            <w:r>
              <w:rPr>
                <w:rFonts w:hint="eastAsia"/>
                <w:color w:val="auto"/>
              </w:rPr>
              <w:t>~</w:t>
            </w:r>
            <w:r>
              <w:rPr>
                <w:color w:val="auto"/>
              </w:rPr>
              <w:t>16小时石墨电极温度由室温升高至 3000℃，维持4</w:t>
            </w:r>
            <w:r>
              <w:rPr>
                <w:rFonts w:hint="eastAsia"/>
                <w:color w:val="auto"/>
              </w:rPr>
              <w:t>~</w:t>
            </w:r>
            <w:r>
              <w:rPr>
                <w:color w:val="auto"/>
              </w:rPr>
              <w:t xml:space="preserve">6小时，然后停电，停送电时间大约2小时后开盖。 </w:t>
            </w:r>
          </w:p>
          <w:p>
            <w:pPr>
              <w:pStyle w:val="63"/>
              <w:spacing w:before="0" w:beforeLines="0" w:line="360" w:lineRule="auto"/>
              <w:ind w:firstLine="482"/>
              <w:rPr>
                <w:color w:val="auto"/>
              </w:rPr>
            </w:pPr>
            <w:r>
              <w:rPr>
                <w:rFonts w:hint="eastAsia"/>
                <w:b/>
                <w:bCs/>
                <w:color w:val="auto"/>
              </w:rPr>
              <w:t>③</w:t>
            </w:r>
            <w:r>
              <w:rPr>
                <w:b/>
                <w:bCs/>
                <w:color w:val="auto"/>
              </w:rPr>
              <w:t>冷却、清炉</w:t>
            </w:r>
            <w:r>
              <w:rPr>
                <w:color w:val="auto"/>
              </w:rPr>
              <w:t>：冷却及清炉时间约为8天。停电后的冷却过程采用自然冷却，当电极温度低于1000℃，就可以卸炉。卸炉时先用多功能天车将保温料吸出（保温料温度低于 500℃），然后由天车用专用夹具将石墨吊出。出炉后的电极送到冷却台进行自然冷却。冷却后的石墨毛坯用叉车运至机加工车间。</w:t>
            </w:r>
          </w:p>
          <w:p>
            <w:pPr>
              <w:pStyle w:val="63"/>
              <w:spacing w:before="0" w:beforeLines="0" w:line="360" w:lineRule="auto"/>
              <w:ind w:firstLine="482"/>
              <w:rPr>
                <w:b/>
                <w:bCs/>
                <w:color w:val="auto"/>
              </w:rPr>
            </w:pPr>
            <w:r>
              <w:rPr>
                <w:b/>
                <w:bCs/>
                <w:color w:val="auto"/>
              </w:rPr>
              <w:t>产污环节:</w:t>
            </w:r>
          </w:p>
          <w:p>
            <w:pPr>
              <w:pStyle w:val="63"/>
              <w:spacing w:before="0" w:beforeLines="0" w:line="360" w:lineRule="auto"/>
              <w:ind w:firstLine="480"/>
              <w:rPr>
                <w:color w:val="auto"/>
              </w:rPr>
            </w:pPr>
            <w:r>
              <w:rPr>
                <w:color w:val="auto"/>
              </w:rPr>
              <w:t>石墨化炉高温下产生的烟尘、SO</w:t>
            </w:r>
            <w:r>
              <w:rPr>
                <w:color w:val="auto"/>
                <w:vertAlign w:val="subscript"/>
              </w:rPr>
              <w:t>2</w:t>
            </w:r>
            <w:r>
              <w:rPr>
                <w:rFonts w:hint="eastAsia"/>
                <w:color w:val="auto"/>
              </w:rPr>
              <w:t>、NOx</w:t>
            </w:r>
            <w:r>
              <w:rPr>
                <w:color w:val="auto"/>
              </w:rPr>
              <w:t>废气。</w:t>
            </w:r>
          </w:p>
          <w:p>
            <w:pPr>
              <w:pStyle w:val="63"/>
              <w:spacing w:before="0" w:beforeLines="0" w:line="360" w:lineRule="auto"/>
              <w:ind w:firstLine="480"/>
              <w:rPr>
                <w:color w:val="auto"/>
              </w:rPr>
            </w:pPr>
            <w:r>
              <w:rPr>
                <w:color w:val="auto"/>
              </w:rPr>
              <w:t>装卸、出炉以及保温料筛分产生的粉尘。</w:t>
            </w:r>
          </w:p>
          <w:p>
            <w:pPr>
              <w:pStyle w:val="63"/>
              <w:spacing w:before="0" w:beforeLines="0" w:line="360" w:lineRule="auto"/>
              <w:ind w:firstLine="480"/>
              <w:rPr>
                <w:color w:val="auto"/>
              </w:rPr>
            </w:pPr>
            <w:r>
              <w:rPr>
                <w:color w:val="auto"/>
              </w:rPr>
              <w:t>更换的废保温料。</w:t>
            </w:r>
          </w:p>
          <w:p>
            <w:pPr>
              <w:pStyle w:val="63"/>
              <w:spacing w:before="0" w:beforeLines="0" w:line="360" w:lineRule="auto"/>
              <w:ind w:firstLine="480"/>
              <w:rPr>
                <w:color w:val="auto"/>
              </w:rPr>
            </w:pPr>
            <w:r>
              <w:rPr>
                <w:color w:val="auto"/>
              </w:rPr>
              <w:t>天车、除尘等设备运转产生噪声。</w:t>
            </w:r>
          </w:p>
          <w:p>
            <w:pPr>
              <w:pStyle w:val="63"/>
              <w:spacing w:before="0" w:beforeLines="0" w:line="360" w:lineRule="auto"/>
              <w:ind w:firstLine="480"/>
              <w:rPr>
                <w:color w:val="auto"/>
              </w:rPr>
            </w:pPr>
            <w:r>
              <w:rPr>
                <w:color w:val="auto"/>
              </w:rPr>
              <w:t>制软水产生的排污水。</w:t>
            </w:r>
          </w:p>
          <w:p>
            <w:pPr>
              <w:pStyle w:val="7"/>
              <w:spacing w:line="360" w:lineRule="auto"/>
              <w:ind w:firstLine="241" w:firstLineChars="100"/>
              <w:rPr>
                <w:b/>
                <w:bCs/>
                <w:color w:val="auto"/>
                <w:sz w:val="24"/>
                <w:szCs w:val="24"/>
              </w:rPr>
            </w:pPr>
            <w:r>
              <w:rPr>
                <w:rFonts w:hint="eastAsia"/>
                <w:b/>
                <w:bCs/>
                <w:color w:val="auto"/>
                <w:sz w:val="24"/>
                <w:szCs w:val="24"/>
              </w:rPr>
              <w:t>（6）机械加工</w:t>
            </w:r>
          </w:p>
          <w:p>
            <w:pPr>
              <w:pStyle w:val="7"/>
              <w:spacing w:line="360" w:lineRule="auto"/>
              <w:rPr>
                <w:color w:val="auto"/>
                <w:sz w:val="24"/>
                <w:szCs w:val="24"/>
              </w:rPr>
            </w:pPr>
            <w:r>
              <w:rPr>
                <w:color w:val="auto"/>
                <w:sz w:val="24"/>
                <w:szCs w:val="24"/>
              </w:rPr>
              <w:t>机械加工是把石墨化毛坯机械切削加工成石墨最终要求的几何尺寸及表面光洁度的过程。</w:t>
            </w:r>
          </w:p>
          <w:p>
            <w:pPr>
              <w:pStyle w:val="7"/>
              <w:spacing w:line="360" w:lineRule="auto"/>
              <w:rPr>
                <w:color w:val="auto"/>
                <w:sz w:val="24"/>
                <w:szCs w:val="24"/>
              </w:rPr>
            </w:pPr>
            <w:r>
              <w:rPr>
                <w:color w:val="auto"/>
                <w:sz w:val="24"/>
                <w:szCs w:val="24"/>
              </w:rPr>
              <w:t>机械加工生产操作过程中，首先用桥式起重机把石墨化毛坯吊运到本体加工生产线上料台上，人工拨动石墨化毛坯进入加工工位，加工工步及工位传输自动进行，加工工步包括对中、粗铣端面、粗铣锥孔、车外圆、铣螺纹等，粉尘均通过密闭装置收集。加工完全结束后称重、检测比电阻。加工完的电极本体用桥式起重机吊运到终检包装场地摆放待终检包装，剩余的石墨采用石墨破碎筛分后回用。</w:t>
            </w:r>
          </w:p>
          <w:p>
            <w:pPr>
              <w:pStyle w:val="7"/>
              <w:tabs>
                <w:tab w:val="left" w:pos="3495"/>
              </w:tabs>
              <w:spacing w:line="360" w:lineRule="auto"/>
              <w:rPr>
                <w:b/>
                <w:bCs/>
                <w:color w:val="auto"/>
                <w:sz w:val="24"/>
                <w:szCs w:val="24"/>
              </w:rPr>
            </w:pPr>
            <w:r>
              <w:rPr>
                <w:rFonts w:hint="eastAsia"/>
                <w:b/>
                <w:bCs/>
                <w:color w:val="auto"/>
                <w:sz w:val="24"/>
                <w:szCs w:val="24"/>
              </w:rPr>
              <w:t>产污环节:</w:t>
            </w:r>
            <w:r>
              <w:rPr>
                <w:rFonts w:hint="eastAsia"/>
                <w:b/>
                <w:bCs/>
                <w:color w:val="auto"/>
                <w:sz w:val="24"/>
                <w:szCs w:val="24"/>
              </w:rPr>
              <w:tab/>
            </w:r>
          </w:p>
          <w:p>
            <w:pPr>
              <w:pStyle w:val="7"/>
              <w:spacing w:line="360" w:lineRule="auto"/>
              <w:rPr>
                <w:color w:val="auto"/>
                <w:sz w:val="24"/>
                <w:szCs w:val="24"/>
              </w:rPr>
            </w:pPr>
            <w:r>
              <w:rPr>
                <w:rFonts w:hint="eastAsia"/>
                <w:color w:val="auto"/>
                <w:sz w:val="24"/>
                <w:szCs w:val="24"/>
              </w:rPr>
              <w:t>机械加工过程产生粉尘。</w:t>
            </w:r>
          </w:p>
          <w:p>
            <w:pPr>
              <w:pStyle w:val="7"/>
              <w:spacing w:line="360" w:lineRule="auto"/>
              <w:rPr>
                <w:color w:val="auto"/>
                <w:sz w:val="24"/>
                <w:szCs w:val="24"/>
              </w:rPr>
            </w:pPr>
            <w:r>
              <w:rPr>
                <w:rFonts w:hint="eastAsia"/>
                <w:color w:val="auto"/>
                <w:sz w:val="24"/>
                <w:szCs w:val="24"/>
              </w:rPr>
              <w:t>除尘器的除尘灰。</w:t>
            </w:r>
          </w:p>
          <w:p>
            <w:pPr>
              <w:pStyle w:val="7"/>
              <w:spacing w:line="360" w:lineRule="auto"/>
              <w:rPr>
                <w:color w:val="auto"/>
                <w:sz w:val="24"/>
                <w:szCs w:val="24"/>
              </w:rPr>
            </w:pPr>
            <w:r>
              <w:rPr>
                <w:rFonts w:hint="eastAsia"/>
                <w:color w:val="auto"/>
                <w:sz w:val="24"/>
                <w:szCs w:val="24"/>
              </w:rPr>
              <w:t>不合格产品及机加碎屑。</w:t>
            </w:r>
          </w:p>
          <w:p>
            <w:pPr>
              <w:pStyle w:val="7"/>
              <w:spacing w:line="360" w:lineRule="auto"/>
              <w:rPr>
                <w:color w:val="auto"/>
                <w:sz w:val="24"/>
                <w:szCs w:val="24"/>
              </w:rPr>
            </w:pPr>
            <w:r>
              <w:rPr>
                <w:rFonts w:hint="eastAsia"/>
                <w:color w:val="auto"/>
                <w:sz w:val="24"/>
                <w:szCs w:val="24"/>
              </w:rPr>
              <w:t>切割机、机加车床等设备运转产生噪声。</w:t>
            </w:r>
          </w:p>
          <w:p>
            <w:pPr>
              <w:pStyle w:val="7"/>
              <w:spacing w:line="360" w:lineRule="auto"/>
              <w:rPr>
                <w:color w:val="auto"/>
                <w:sz w:val="24"/>
                <w:szCs w:val="24"/>
              </w:rPr>
            </w:pPr>
            <w:r>
              <w:rPr>
                <w:rFonts w:hint="eastAsia"/>
                <w:color w:val="auto"/>
                <w:sz w:val="24"/>
                <w:szCs w:val="24"/>
              </w:rPr>
              <w:t>设备检修、维护产生的废机油。</w:t>
            </w:r>
          </w:p>
          <w:p>
            <w:pPr>
              <w:pStyle w:val="7"/>
              <w:spacing w:line="360" w:lineRule="auto"/>
              <w:ind w:firstLine="241" w:firstLineChars="100"/>
              <w:rPr>
                <w:b/>
                <w:bCs/>
                <w:color w:val="auto"/>
                <w:sz w:val="24"/>
                <w:szCs w:val="24"/>
              </w:rPr>
            </w:pPr>
            <w:r>
              <w:rPr>
                <w:rFonts w:hint="eastAsia"/>
                <w:b/>
                <w:bCs/>
                <w:color w:val="auto"/>
                <w:sz w:val="24"/>
                <w:szCs w:val="24"/>
              </w:rPr>
              <w:t>（7）检验包装</w:t>
            </w:r>
          </w:p>
          <w:p>
            <w:pPr>
              <w:pStyle w:val="7"/>
              <w:spacing w:line="360" w:lineRule="auto"/>
              <w:ind w:firstLine="480" w:firstLineChars="200"/>
              <w:rPr>
                <w:rFonts w:hint="eastAsia"/>
                <w:color w:val="auto"/>
                <w:sz w:val="24"/>
                <w:szCs w:val="24"/>
              </w:rPr>
            </w:pPr>
            <w:r>
              <w:rPr>
                <w:rFonts w:hint="eastAsia"/>
                <w:color w:val="auto"/>
                <w:sz w:val="24"/>
                <w:szCs w:val="24"/>
              </w:rPr>
              <w:t>产品机械加工后，质检人员依据图纸及相关规定对产品进行几何尺寸检查、表面质量检查，检查的主要的量具有钢板尺、千分表、内卡规、外卡规及螺纹样板等。合格的石墨进行产品包装，包装按炭素材料及其制品的包装、标志、运输和质量证明书的规定执行。包装后的石墨由叉车运往成品库待售。本项目不涉及化学检验。</w:t>
            </w: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480" w:firstLineChars="200"/>
              <w:rPr>
                <w:rFonts w:hint="eastAsia"/>
                <w:color w:val="auto"/>
                <w:sz w:val="24"/>
                <w:szCs w:val="24"/>
              </w:rPr>
            </w:pPr>
          </w:p>
          <w:p>
            <w:pPr>
              <w:pStyle w:val="7"/>
              <w:spacing w:line="360" w:lineRule="auto"/>
              <w:ind w:firstLine="0"/>
              <w:jc w:val="center"/>
              <w:rPr>
                <w:color w:val="auto"/>
                <w:sz w:val="24"/>
                <w:szCs w:val="24"/>
              </w:rPr>
            </w:pPr>
            <w:r>
              <w:rPr>
                <w:rFonts w:hint="eastAsia"/>
                <w:color w:val="auto"/>
                <w:sz w:val="24"/>
                <w:szCs w:val="24"/>
              </w:rPr>
              <w:object>
                <v:shape id="_x0000_i1027" o:spt="75" alt="" type="#_x0000_t75" style="height:502.85pt;width:361.9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p>
          <w:p>
            <w:pPr>
              <w:pStyle w:val="7"/>
              <w:spacing w:line="360" w:lineRule="auto"/>
              <w:ind w:firstLine="0"/>
              <w:rPr>
                <w:color w:val="auto"/>
                <w:sz w:val="24"/>
                <w:szCs w:val="24"/>
              </w:rPr>
            </w:pPr>
            <w:r>
              <w:rPr>
                <w:rFonts w:hint="eastAsia"/>
                <w:color w:val="auto"/>
                <w:sz w:val="24"/>
                <w:szCs w:val="24"/>
              </w:rPr>
              <w:t xml:space="preserve">   </w:t>
            </w:r>
            <w:r>
              <w:rPr>
                <w:rFonts w:hint="eastAsia"/>
                <w:b/>
                <w:bCs/>
                <w:color w:val="auto"/>
                <w:sz w:val="24"/>
                <w:szCs w:val="24"/>
              </w:rPr>
              <w:t>注：项目石墨工序为一期工程，剩余工序为二期工程。项目二期工程建成投运之前，电极全部外购。待二期工程建成投运后，石墨电极生坯全部自给。</w:t>
            </w:r>
          </w:p>
          <w:p>
            <w:pPr>
              <w:pStyle w:val="7"/>
              <w:spacing w:before="120" w:beforeLines="50" w:line="360" w:lineRule="auto"/>
              <w:ind w:firstLine="0"/>
              <w:jc w:val="center"/>
              <w:rPr>
                <w:color w:val="auto"/>
                <w:sz w:val="24"/>
                <w:szCs w:val="24"/>
              </w:rPr>
            </w:pPr>
            <w:r>
              <w:rPr>
                <w:rFonts w:hint="eastAsia"/>
                <w:b/>
                <w:bCs/>
                <w:color w:val="auto"/>
                <w:sz w:val="24"/>
                <w:szCs w:val="24"/>
              </w:rPr>
              <w:t>图4 项目工艺流程图及产排污环节分析</w:t>
            </w:r>
          </w:p>
          <w:p>
            <w:pP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58" w:hRule="atLeast"/>
          <w:jc w:val="center"/>
        </w:trPr>
        <w:tc>
          <w:tcPr>
            <w:tcW w:w="488" w:type="dxa"/>
            <w:vAlign w:val="center"/>
          </w:tcPr>
          <w:p>
            <w:pPr>
              <w:pStyle w:val="18"/>
              <w:adjustRightInd w:val="0"/>
              <w:snapToGrid w:val="0"/>
              <w:spacing w:before="0" w:beforeAutospacing="0" w:after="0" w:afterAutospacing="0"/>
              <w:jc w:val="center"/>
              <w:rPr>
                <w:rFonts w:ascii="Times New Roman" w:hAnsi="Times New Roman" w:cs="宋体"/>
                <w:color w:val="auto"/>
              </w:rPr>
            </w:pPr>
            <w:r>
              <w:rPr>
                <w:rFonts w:hint="eastAsia" w:ascii="Times New Roman" w:hAnsi="Times New Roman" w:cs="宋体"/>
                <w:bCs/>
                <w:color w:val="auto"/>
                <w:kern w:val="2"/>
              </w:rPr>
              <w:t>与项目有关的原有环境污染问题</w:t>
            </w:r>
          </w:p>
        </w:tc>
        <w:tc>
          <w:tcPr>
            <w:tcW w:w="8066" w:type="dxa"/>
          </w:tcPr>
          <w:p>
            <w:pPr>
              <w:pStyle w:val="7"/>
              <w:spacing w:line="360" w:lineRule="auto"/>
              <w:rPr>
                <w:color w:val="auto"/>
                <w:sz w:val="24"/>
                <w:szCs w:val="24"/>
              </w:rPr>
            </w:pPr>
            <w:r>
              <w:rPr>
                <w:rFonts w:hint="eastAsia"/>
                <w:color w:val="auto"/>
                <w:sz w:val="24"/>
                <w:szCs w:val="24"/>
              </w:rPr>
              <w:t>项目为新建项目。根据现场调查，场地现状为一片空地，未开工建设。项目不存在与项目有关的原有环境污染问题。</w:t>
            </w: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rPr>
                <w:color w:val="auto"/>
              </w:rPr>
            </w:pPr>
          </w:p>
          <w:p>
            <w:pPr>
              <w:pStyle w:val="7"/>
              <w:ind w:firstLine="0"/>
              <w:rPr>
                <w:color w:val="auto"/>
              </w:rPr>
            </w:pPr>
          </w:p>
        </w:tc>
      </w:tr>
    </w:tbl>
    <w:p>
      <w:pPr>
        <w:pStyle w:val="18"/>
        <w:jc w:val="center"/>
        <w:outlineLvl w:val="0"/>
        <w:rPr>
          <w:rFonts w:ascii="Times New Roman" w:hAnsi="Times New Roman"/>
          <w:snapToGrid w:val="0"/>
          <w:color w:val="auto"/>
          <w:sz w:val="30"/>
          <w:szCs w:val="30"/>
        </w:rPr>
      </w:pPr>
      <w:r>
        <w:rPr>
          <w:rFonts w:ascii="Times New Roman" w:hAnsi="Times New Roman"/>
          <w:b/>
          <w:bCs/>
          <w:color w:val="auto"/>
        </w:rPr>
        <w:br w:type="page"/>
      </w:r>
      <w:r>
        <w:rPr>
          <w:rFonts w:hint="eastAsia" w:ascii="Times New Roman" w:hAnsi="Times New Roman"/>
          <w:b/>
          <w:bCs/>
          <w:snapToGrid w:val="0"/>
          <w:color w:val="auto"/>
          <w:sz w:val="30"/>
          <w:szCs w:val="30"/>
        </w:rPr>
        <w:t>三、区域环境质量现状、环境保护目标及评价标准</w:t>
      </w: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1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1" w:hRule="atLeast"/>
          <w:jc w:val="center"/>
        </w:trPr>
        <w:tc>
          <w:tcPr>
            <w:tcW w:w="244" w:type="pct"/>
            <w:vAlign w:val="center"/>
          </w:tcPr>
          <w:p>
            <w:pPr>
              <w:adjustRightInd w:val="0"/>
              <w:snapToGrid w:val="0"/>
              <w:jc w:val="center"/>
              <w:rPr>
                <w:rFonts w:cs="宋体"/>
                <w:color w:val="auto"/>
                <w:kern w:val="0"/>
                <w:szCs w:val="21"/>
              </w:rPr>
            </w:pPr>
            <w:r>
              <w:rPr>
                <w:rFonts w:hint="eastAsia" w:cs="宋体"/>
                <w:color w:val="auto"/>
                <w:kern w:val="0"/>
                <w:sz w:val="28"/>
                <w:szCs w:val="28"/>
              </w:rPr>
              <w:t>区域环境现状</w:t>
            </w:r>
          </w:p>
        </w:tc>
        <w:tc>
          <w:tcPr>
            <w:tcW w:w="4755" w:type="pct"/>
            <w:vAlign w:val="center"/>
          </w:tcPr>
          <w:p>
            <w:pPr>
              <w:spacing w:line="360" w:lineRule="auto"/>
              <w:ind w:firstLine="482" w:firstLineChars="200"/>
              <w:jc w:val="left"/>
              <w:rPr>
                <w:b/>
                <w:bCs/>
                <w:color w:val="auto"/>
                <w:sz w:val="24"/>
              </w:rPr>
            </w:pPr>
            <w:r>
              <w:rPr>
                <w:b/>
                <w:bCs/>
                <w:color w:val="auto"/>
                <w:sz w:val="24"/>
              </w:rPr>
              <w:t>1、环境空气质量现状</w:t>
            </w:r>
          </w:p>
          <w:p>
            <w:pPr>
              <w:snapToGrid w:val="0"/>
              <w:spacing w:line="360" w:lineRule="auto"/>
              <w:ind w:firstLine="480" w:firstLineChars="200"/>
              <w:rPr>
                <w:color w:val="auto"/>
                <w:sz w:val="24"/>
              </w:rPr>
            </w:pPr>
            <w:r>
              <w:rPr>
                <w:rFonts w:hint="eastAsia"/>
                <w:color w:val="auto"/>
                <w:sz w:val="24"/>
              </w:rPr>
              <w:t>1）常规因子</w:t>
            </w:r>
          </w:p>
          <w:p>
            <w:pPr>
              <w:snapToGrid w:val="0"/>
              <w:spacing w:line="360" w:lineRule="auto"/>
              <w:ind w:firstLine="480" w:firstLineChars="200"/>
              <w:rPr>
                <w:color w:val="auto"/>
                <w:sz w:val="24"/>
              </w:rPr>
            </w:pPr>
            <w:r>
              <w:rPr>
                <w:color w:val="auto"/>
                <w:sz w:val="24"/>
              </w:rPr>
              <w:t>本次评价收集了</w:t>
            </w:r>
            <w:r>
              <w:rPr>
                <w:rFonts w:hint="eastAsia"/>
                <w:color w:val="auto"/>
                <w:sz w:val="24"/>
              </w:rPr>
              <w:t>大同市</w:t>
            </w:r>
            <w:r>
              <w:rPr>
                <w:rFonts w:hint="eastAsia"/>
                <w:color w:val="auto"/>
                <w:sz w:val="24"/>
                <w:lang w:val="en-US" w:eastAsia="zh-CN"/>
              </w:rPr>
              <w:t>云州区</w:t>
            </w:r>
            <w:r>
              <w:rPr>
                <w:color w:val="auto"/>
                <w:sz w:val="24"/>
              </w:rPr>
              <w:t>2020年全年环境空气例行监测数据，环境空气质量现状的监测结果见表</w:t>
            </w:r>
            <w:r>
              <w:rPr>
                <w:rFonts w:hint="eastAsia"/>
                <w:color w:val="auto"/>
                <w:sz w:val="24"/>
                <w:lang w:val="en-US" w:eastAsia="zh-CN"/>
              </w:rPr>
              <w:t>15</w:t>
            </w:r>
            <w:r>
              <w:rPr>
                <w:color w:val="auto"/>
                <w:sz w:val="24"/>
              </w:rPr>
              <w:t>。</w:t>
            </w:r>
          </w:p>
          <w:p>
            <w:pPr>
              <w:snapToGrid w:val="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5 云州区</w:t>
            </w:r>
            <w:r>
              <w:rPr>
                <w:b/>
                <w:color w:val="auto"/>
                <w:sz w:val="24"/>
              </w:rPr>
              <w:t>2020年全年环境空气例行监测数据 μg/m</w:t>
            </w:r>
            <w:r>
              <w:rPr>
                <w:b/>
                <w:color w:val="auto"/>
                <w:sz w:val="24"/>
                <w:vertAlign w:val="superscript"/>
              </w:rPr>
              <w:t>3</w:t>
            </w:r>
            <w:r>
              <w:rPr>
                <w:b/>
                <w:color w:val="auto"/>
                <w:sz w:val="24"/>
              </w:rPr>
              <w:t>（CO为mg/m</w:t>
            </w:r>
            <w:r>
              <w:rPr>
                <w:b/>
                <w:color w:val="auto"/>
                <w:sz w:val="24"/>
                <w:vertAlign w:val="superscript"/>
              </w:rPr>
              <w:t>3</w:t>
            </w:r>
            <w:r>
              <w:rPr>
                <w:b/>
                <w:color w:val="auto"/>
                <w:sz w:val="24"/>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568"/>
              <w:gridCol w:w="1121"/>
              <w:gridCol w:w="922"/>
              <w:gridCol w:w="1043"/>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污染物</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年评价指标</w:t>
                  </w:r>
                </w:p>
              </w:tc>
              <w:tc>
                <w:tcPr>
                  <w:tcW w:w="711" w:type="pct"/>
                  <w:tcBorders>
                    <w:tl2br w:val="nil"/>
                    <w:tr2bl w:val="nil"/>
                  </w:tcBorders>
                  <w:vAlign w:val="center"/>
                </w:tcPr>
                <w:p>
                  <w:pPr>
                    <w:spacing w:before="48" w:beforeLines="20" w:after="48" w:afterLines="20"/>
                    <w:jc w:val="center"/>
                    <w:rPr>
                      <w:color w:val="auto"/>
                      <w:szCs w:val="21"/>
                    </w:rPr>
                  </w:pPr>
                  <w:r>
                    <w:rPr>
                      <w:color w:val="auto"/>
                      <w:szCs w:val="21"/>
                    </w:rPr>
                    <w:t>现状浓度</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标准值</w:t>
                  </w:r>
                </w:p>
              </w:tc>
              <w:tc>
                <w:tcPr>
                  <w:tcW w:w="662" w:type="pct"/>
                  <w:tcBorders>
                    <w:tl2br w:val="nil"/>
                    <w:tr2bl w:val="nil"/>
                  </w:tcBorders>
                  <w:vAlign w:val="center"/>
                </w:tcPr>
                <w:p>
                  <w:pPr>
                    <w:spacing w:before="48" w:beforeLines="20" w:after="48" w:afterLines="20"/>
                    <w:jc w:val="center"/>
                    <w:rPr>
                      <w:color w:val="auto"/>
                      <w:szCs w:val="21"/>
                    </w:rPr>
                  </w:pPr>
                  <w:r>
                    <w:rPr>
                      <w:color w:val="auto"/>
                      <w:szCs w:val="21"/>
                    </w:rPr>
                    <w:t>占标率</w:t>
                  </w:r>
                </w:p>
              </w:tc>
              <w:tc>
                <w:tcPr>
                  <w:tcW w:w="834" w:type="pct"/>
                  <w:tcBorders>
                    <w:tl2br w:val="nil"/>
                    <w:tr2bl w:val="nil"/>
                  </w:tcBorders>
                  <w:vAlign w:val="center"/>
                </w:tcPr>
                <w:p>
                  <w:pPr>
                    <w:spacing w:before="48" w:beforeLines="20" w:after="48" w:afterLines="20"/>
                    <w:jc w:val="center"/>
                    <w:rPr>
                      <w:color w:val="auto"/>
                      <w:szCs w:val="21"/>
                    </w:rPr>
                  </w:pPr>
                  <w:r>
                    <w:rPr>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SO</w:t>
                  </w:r>
                  <w:r>
                    <w:rPr>
                      <w:color w:val="auto"/>
                      <w:szCs w:val="21"/>
                      <w:vertAlign w:val="subscript"/>
                    </w:rPr>
                    <w:t>2</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年平均质量浓度</w:t>
                  </w:r>
                </w:p>
              </w:tc>
              <w:tc>
                <w:tcPr>
                  <w:tcW w:w="711" w:type="pct"/>
                  <w:tcBorders>
                    <w:tl2br w:val="nil"/>
                    <w:tr2bl w:val="nil"/>
                  </w:tcBorders>
                  <w:vAlign w:val="center"/>
                </w:tcPr>
                <w:p>
                  <w:pPr>
                    <w:spacing w:before="48" w:beforeLines="20" w:after="48" w:afterLines="20"/>
                    <w:jc w:val="center"/>
                    <w:rPr>
                      <w:rFonts w:hint="default" w:eastAsia="宋体"/>
                      <w:color w:val="auto"/>
                      <w:szCs w:val="21"/>
                      <w:lang w:val="en-US" w:eastAsia="zh-CN"/>
                    </w:rPr>
                  </w:pPr>
                  <w:r>
                    <w:rPr>
                      <w:rFonts w:hint="eastAsia"/>
                      <w:color w:val="auto"/>
                      <w:szCs w:val="21"/>
                      <w:lang w:val="en-US" w:eastAsia="zh-CN"/>
                    </w:rPr>
                    <w:t>28</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60</w:t>
                  </w:r>
                </w:p>
              </w:tc>
              <w:tc>
                <w:tcPr>
                  <w:tcW w:w="662" w:type="pct"/>
                  <w:tcBorders>
                    <w:tl2br w:val="nil"/>
                    <w:tr2bl w:val="nil"/>
                  </w:tcBorders>
                  <w:vAlign w:val="center"/>
                </w:tcPr>
                <w:p>
                  <w:pPr>
                    <w:spacing w:before="48" w:beforeLines="20" w:after="48" w:afterLines="20"/>
                    <w:jc w:val="center"/>
                    <w:rPr>
                      <w:color w:val="auto"/>
                      <w:szCs w:val="21"/>
                    </w:rPr>
                  </w:pPr>
                  <w:r>
                    <w:rPr>
                      <w:rFonts w:hint="eastAsia"/>
                      <w:color w:val="auto"/>
                      <w:szCs w:val="21"/>
                      <w:lang w:val="en-US" w:eastAsia="zh-CN"/>
                    </w:rPr>
                    <w:t>46.7</w:t>
                  </w:r>
                  <w:r>
                    <w:rPr>
                      <w:color w:val="auto"/>
                      <w:szCs w:val="21"/>
                    </w:rPr>
                    <w:t>%</w:t>
                  </w:r>
                </w:p>
              </w:tc>
              <w:tc>
                <w:tcPr>
                  <w:tcW w:w="834" w:type="pct"/>
                  <w:tcBorders>
                    <w:tl2br w:val="nil"/>
                    <w:tr2bl w:val="nil"/>
                  </w:tcBorders>
                  <w:vAlign w:val="center"/>
                </w:tcPr>
                <w:p>
                  <w:pPr>
                    <w:spacing w:before="48" w:beforeLines="20" w:after="48" w:afterLines="20"/>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NO</w:t>
                  </w:r>
                  <w:r>
                    <w:rPr>
                      <w:color w:val="auto"/>
                      <w:szCs w:val="21"/>
                      <w:vertAlign w:val="subscript"/>
                    </w:rPr>
                    <w:t>2</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年平均质量浓度</w:t>
                  </w:r>
                </w:p>
              </w:tc>
              <w:tc>
                <w:tcPr>
                  <w:tcW w:w="711" w:type="pct"/>
                  <w:tcBorders>
                    <w:tl2br w:val="nil"/>
                    <w:tr2bl w:val="nil"/>
                  </w:tcBorders>
                  <w:vAlign w:val="center"/>
                </w:tcPr>
                <w:p>
                  <w:pPr>
                    <w:spacing w:before="48" w:beforeLines="20" w:after="48" w:afterLines="20"/>
                    <w:jc w:val="center"/>
                    <w:rPr>
                      <w:rFonts w:hint="default" w:eastAsia="宋体"/>
                      <w:color w:val="auto"/>
                      <w:szCs w:val="21"/>
                      <w:lang w:val="en-US" w:eastAsia="zh-CN"/>
                    </w:rPr>
                  </w:pPr>
                  <w:r>
                    <w:rPr>
                      <w:rFonts w:hint="eastAsia"/>
                      <w:color w:val="auto"/>
                      <w:szCs w:val="21"/>
                      <w:lang w:val="en-US" w:eastAsia="zh-CN"/>
                    </w:rPr>
                    <w:t>22</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40</w:t>
                  </w:r>
                </w:p>
              </w:tc>
              <w:tc>
                <w:tcPr>
                  <w:tcW w:w="662" w:type="pct"/>
                  <w:tcBorders>
                    <w:tl2br w:val="nil"/>
                    <w:tr2bl w:val="nil"/>
                  </w:tcBorders>
                  <w:vAlign w:val="center"/>
                </w:tcPr>
                <w:p>
                  <w:pPr>
                    <w:spacing w:before="48" w:beforeLines="20" w:after="48" w:afterLines="20"/>
                    <w:jc w:val="center"/>
                    <w:rPr>
                      <w:color w:val="auto"/>
                      <w:szCs w:val="21"/>
                    </w:rPr>
                  </w:pPr>
                  <w:r>
                    <w:rPr>
                      <w:rFonts w:hint="eastAsia"/>
                      <w:color w:val="auto"/>
                      <w:szCs w:val="21"/>
                      <w:lang w:val="en-US" w:eastAsia="zh-CN"/>
                    </w:rPr>
                    <w:t>55</w:t>
                  </w:r>
                  <w:r>
                    <w:rPr>
                      <w:rFonts w:hint="eastAsia"/>
                      <w:color w:val="auto"/>
                      <w:szCs w:val="21"/>
                    </w:rPr>
                    <w:t>.0</w:t>
                  </w:r>
                  <w:r>
                    <w:rPr>
                      <w:color w:val="auto"/>
                      <w:szCs w:val="21"/>
                    </w:rPr>
                    <w:t>%</w:t>
                  </w:r>
                </w:p>
              </w:tc>
              <w:tc>
                <w:tcPr>
                  <w:tcW w:w="834" w:type="pct"/>
                  <w:tcBorders>
                    <w:tl2br w:val="nil"/>
                    <w:tr2bl w:val="nil"/>
                  </w:tcBorders>
                  <w:vAlign w:val="center"/>
                </w:tcPr>
                <w:p>
                  <w:pPr>
                    <w:spacing w:before="48" w:beforeLines="20" w:after="48" w:afterLines="20"/>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PM</w:t>
                  </w:r>
                  <w:r>
                    <w:rPr>
                      <w:color w:val="auto"/>
                      <w:szCs w:val="21"/>
                      <w:vertAlign w:val="subscript"/>
                    </w:rPr>
                    <w:t>10</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年平均质量浓度</w:t>
                  </w:r>
                </w:p>
              </w:tc>
              <w:tc>
                <w:tcPr>
                  <w:tcW w:w="711" w:type="pct"/>
                  <w:tcBorders>
                    <w:tl2br w:val="nil"/>
                    <w:tr2bl w:val="nil"/>
                  </w:tcBorders>
                  <w:vAlign w:val="center"/>
                </w:tcPr>
                <w:p>
                  <w:pPr>
                    <w:spacing w:before="48" w:beforeLines="20" w:after="48" w:afterLines="20"/>
                    <w:jc w:val="center"/>
                    <w:rPr>
                      <w:rFonts w:hint="default" w:eastAsia="宋体"/>
                      <w:color w:val="auto"/>
                      <w:szCs w:val="21"/>
                      <w:lang w:val="en-US" w:eastAsia="zh-CN"/>
                    </w:rPr>
                  </w:pPr>
                  <w:r>
                    <w:rPr>
                      <w:rFonts w:hint="eastAsia"/>
                      <w:color w:val="auto"/>
                      <w:szCs w:val="21"/>
                      <w:lang w:val="en-US" w:eastAsia="zh-CN"/>
                    </w:rPr>
                    <w:t>65</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70</w:t>
                  </w:r>
                </w:p>
              </w:tc>
              <w:tc>
                <w:tcPr>
                  <w:tcW w:w="662" w:type="pct"/>
                  <w:tcBorders>
                    <w:tl2br w:val="nil"/>
                    <w:tr2bl w:val="nil"/>
                  </w:tcBorders>
                  <w:vAlign w:val="center"/>
                </w:tcPr>
                <w:p>
                  <w:pPr>
                    <w:spacing w:before="48" w:beforeLines="20" w:after="48" w:afterLines="20"/>
                    <w:jc w:val="center"/>
                    <w:rPr>
                      <w:color w:val="auto"/>
                      <w:szCs w:val="21"/>
                    </w:rPr>
                  </w:pPr>
                  <w:r>
                    <w:rPr>
                      <w:rFonts w:hint="eastAsia"/>
                      <w:color w:val="auto"/>
                      <w:szCs w:val="21"/>
                      <w:lang w:val="en-US" w:eastAsia="zh-CN"/>
                    </w:rPr>
                    <w:t>92.9</w:t>
                  </w:r>
                  <w:r>
                    <w:rPr>
                      <w:color w:val="auto"/>
                      <w:szCs w:val="21"/>
                    </w:rPr>
                    <w:t>%</w:t>
                  </w:r>
                </w:p>
              </w:tc>
              <w:tc>
                <w:tcPr>
                  <w:tcW w:w="834" w:type="pct"/>
                  <w:tcBorders>
                    <w:tl2br w:val="nil"/>
                    <w:tr2bl w:val="nil"/>
                  </w:tcBorders>
                  <w:vAlign w:val="center"/>
                </w:tcPr>
                <w:p>
                  <w:pPr>
                    <w:spacing w:before="48" w:beforeLines="20" w:after="48" w:afterLines="20"/>
                    <w:jc w:val="center"/>
                    <w:rPr>
                      <w:color w:val="auto"/>
                      <w:szCs w:val="21"/>
                    </w:rPr>
                  </w:pPr>
                  <w:r>
                    <w:rPr>
                      <w:rFonts w:hint="eastAsia"/>
                      <w:color w:val="auto"/>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PM</w:t>
                  </w:r>
                  <w:r>
                    <w:rPr>
                      <w:color w:val="auto"/>
                      <w:szCs w:val="21"/>
                      <w:vertAlign w:val="subscript"/>
                    </w:rPr>
                    <w:t>2.5</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年平均质量浓度</w:t>
                  </w:r>
                </w:p>
              </w:tc>
              <w:tc>
                <w:tcPr>
                  <w:tcW w:w="711" w:type="pct"/>
                  <w:tcBorders>
                    <w:tl2br w:val="nil"/>
                    <w:tr2bl w:val="nil"/>
                  </w:tcBorders>
                  <w:vAlign w:val="center"/>
                </w:tcPr>
                <w:p>
                  <w:pPr>
                    <w:spacing w:before="48" w:beforeLines="20" w:after="48" w:afterLines="20"/>
                    <w:jc w:val="center"/>
                    <w:rPr>
                      <w:rFonts w:hint="default" w:eastAsia="宋体"/>
                      <w:color w:val="auto"/>
                      <w:szCs w:val="21"/>
                      <w:lang w:val="en-US" w:eastAsia="zh-CN"/>
                    </w:rPr>
                  </w:pPr>
                  <w:r>
                    <w:rPr>
                      <w:rFonts w:hint="eastAsia"/>
                      <w:color w:val="auto"/>
                      <w:szCs w:val="21"/>
                      <w:lang w:val="en-US" w:eastAsia="zh-CN"/>
                    </w:rPr>
                    <w:t>35</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35</w:t>
                  </w:r>
                </w:p>
              </w:tc>
              <w:tc>
                <w:tcPr>
                  <w:tcW w:w="662" w:type="pct"/>
                  <w:tcBorders>
                    <w:tl2br w:val="nil"/>
                    <w:tr2bl w:val="nil"/>
                  </w:tcBorders>
                  <w:vAlign w:val="center"/>
                </w:tcPr>
                <w:p>
                  <w:pPr>
                    <w:spacing w:before="48" w:beforeLines="20" w:after="48" w:afterLines="20"/>
                    <w:jc w:val="center"/>
                    <w:rPr>
                      <w:color w:val="auto"/>
                      <w:szCs w:val="21"/>
                    </w:rPr>
                  </w:pPr>
                  <w:r>
                    <w:rPr>
                      <w:rFonts w:hint="eastAsia"/>
                      <w:color w:val="auto"/>
                      <w:szCs w:val="21"/>
                      <w:lang w:val="en-US" w:eastAsia="zh-CN"/>
                    </w:rPr>
                    <w:t>100</w:t>
                  </w:r>
                  <w:r>
                    <w:rPr>
                      <w:color w:val="auto"/>
                      <w:szCs w:val="21"/>
                    </w:rPr>
                    <w:t>%</w:t>
                  </w:r>
                </w:p>
              </w:tc>
              <w:tc>
                <w:tcPr>
                  <w:tcW w:w="834" w:type="pct"/>
                  <w:tcBorders>
                    <w:tl2br w:val="nil"/>
                    <w:tr2bl w:val="nil"/>
                  </w:tcBorders>
                  <w:vAlign w:val="center"/>
                </w:tcPr>
                <w:p>
                  <w:pPr>
                    <w:spacing w:before="48" w:beforeLines="20" w:after="48" w:afterLines="20"/>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CO</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百分位数日平均质量浓度</w:t>
                  </w:r>
                </w:p>
              </w:tc>
              <w:tc>
                <w:tcPr>
                  <w:tcW w:w="711" w:type="pct"/>
                  <w:tcBorders>
                    <w:tl2br w:val="nil"/>
                    <w:tr2bl w:val="nil"/>
                  </w:tcBorders>
                  <w:vAlign w:val="center"/>
                </w:tcPr>
                <w:p>
                  <w:pPr>
                    <w:spacing w:before="48" w:beforeLines="20" w:after="48" w:afterLines="20"/>
                    <w:jc w:val="center"/>
                    <w:rPr>
                      <w:rFonts w:hint="default" w:eastAsia="宋体"/>
                      <w:color w:val="auto"/>
                      <w:szCs w:val="21"/>
                      <w:lang w:val="en-US" w:eastAsia="zh-CN"/>
                    </w:rPr>
                  </w:pPr>
                  <w:r>
                    <w:rPr>
                      <w:rFonts w:hint="eastAsia"/>
                      <w:color w:val="auto"/>
                      <w:szCs w:val="21"/>
                      <w:lang w:val="en-US" w:eastAsia="zh-CN"/>
                    </w:rPr>
                    <w:t>2.4</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4</w:t>
                  </w:r>
                </w:p>
              </w:tc>
              <w:tc>
                <w:tcPr>
                  <w:tcW w:w="662" w:type="pct"/>
                  <w:tcBorders>
                    <w:tl2br w:val="nil"/>
                    <w:tr2bl w:val="nil"/>
                  </w:tcBorders>
                  <w:vAlign w:val="center"/>
                </w:tcPr>
                <w:p>
                  <w:pPr>
                    <w:spacing w:before="48" w:beforeLines="20" w:after="48" w:afterLines="20"/>
                    <w:jc w:val="center"/>
                    <w:rPr>
                      <w:color w:val="auto"/>
                      <w:szCs w:val="21"/>
                    </w:rPr>
                  </w:pPr>
                  <w:r>
                    <w:rPr>
                      <w:rFonts w:hint="eastAsia"/>
                      <w:color w:val="auto"/>
                      <w:szCs w:val="21"/>
                      <w:lang w:val="en-US" w:eastAsia="zh-CN"/>
                    </w:rPr>
                    <w:t>6</w:t>
                  </w:r>
                  <w:r>
                    <w:rPr>
                      <w:rFonts w:hint="eastAsia"/>
                      <w:color w:val="auto"/>
                      <w:szCs w:val="21"/>
                    </w:rPr>
                    <w:t>0.0</w:t>
                  </w:r>
                  <w:r>
                    <w:rPr>
                      <w:color w:val="auto"/>
                      <w:szCs w:val="21"/>
                    </w:rPr>
                    <w:t>%</w:t>
                  </w:r>
                </w:p>
              </w:tc>
              <w:tc>
                <w:tcPr>
                  <w:tcW w:w="834" w:type="pct"/>
                  <w:tcBorders>
                    <w:tl2br w:val="nil"/>
                    <w:tr2bl w:val="nil"/>
                  </w:tcBorders>
                  <w:vAlign w:val="center"/>
                </w:tcPr>
                <w:p>
                  <w:pPr>
                    <w:spacing w:before="48" w:beforeLines="20" w:after="48" w:afterLines="20"/>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tcBorders>
                    <w:tl2br w:val="nil"/>
                    <w:tr2bl w:val="nil"/>
                  </w:tcBorders>
                  <w:vAlign w:val="center"/>
                </w:tcPr>
                <w:p>
                  <w:pPr>
                    <w:spacing w:before="48" w:beforeLines="20" w:after="48" w:afterLines="20"/>
                    <w:jc w:val="center"/>
                    <w:rPr>
                      <w:color w:val="auto"/>
                      <w:szCs w:val="21"/>
                    </w:rPr>
                  </w:pPr>
                  <w:r>
                    <w:rPr>
                      <w:color w:val="auto"/>
                      <w:szCs w:val="21"/>
                    </w:rPr>
                    <w:t>O</w:t>
                  </w:r>
                  <w:r>
                    <w:rPr>
                      <w:color w:val="auto"/>
                      <w:szCs w:val="21"/>
                      <w:vertAlign w:val="subscript"/>
                    </w:rPr>
                    <w:t>3</w:t>
                  </w:r>
                </w:p>
              </w:tc>
              <w:tc>
                <w:tcPr>
                  <w:tcW w:w="1629" w:type="pct"/>
                  <w:tcBorders>
                    <w:tl2br w:val="nil"/>
                    <w:tr2bl w:val="nil"/>
                  </w:tcBorders>
                  <w:vAlign w:val="center"/>
                </w:tcPr>
                <w:p>
                  <w:pPr>
                    <w:spacing w:before="48" w:beforeLines="20" w:after="48" w:afterLines="20"/>
                    <w:jc w:val="center"/>
                    <w:rPr>
                      <w:color w:val="auto"/>
                      <w:szCs w:val="21"/>
                    </w:rPr>
                  </w:pPr>
                  <w:r>
                    <w:rPr>
                      <w:color w:val="auto"/>
                      <w:szCs w:val="21"/>
                    </w:rPr>
                    <w:t>8h平均质量浓度</w:t>
                  </w:r>
                </w:p>
              </w:tc>
              <w:tc>
                <w:tcPr>
                  <w:tcW w:w="711" w:type="pct"/>
                  <w:tcBorders>
                    <w:tl2br w:val="nil"/>
                    <w:tr2bl w:val="nil"/>
                  </w:tcBorders>
                  <w:vAlign w:val="center"/>
                </w:tcPr>
                <w:p>
                  <w:pPr>
                    <w:spacing w:before="48" w:beforeLines="20" w:after="48" w:afterLines="20"/>
                    <w:jc w:val="center"/>
                    <w:rPr>
                      <w:rFonts w:hint="default" w:eastAsia="宋体"/>
                      <w:color w:val="auto"/>
                      <w:szCs w:val="21"/>
                      <w:lang w:val="en-US" w:eastAsia="zh-CN"/>
                    </w:rPr>
                  </w:pPr>
                  <w:r>
                    <w:rPr>
                      <w:rFonts w:hint="eastAsia"/>
                      <w:color w:val="auto"/>
                      <w:szCs w:val="21"/>
                      <w:lang w:val="en-US" w:eastAsia="zh-CN"/>
                    </w:rPr>
                    <w:t>157</w:t>
                  </w:r>
                </w:p>
              </w:tc>
              <w:tc>
                <w:tcPr>
                  <w:tcW w:w="585" w:type="pct"/>
                  <w:tcBorders>
                    <w:tl2br w:val="nil"/>
                    <w:tr2bl w:val="nil"/>
                  </w:tcBorders>
                  <w:vAlign w:val="center"/>
                </w:tcPr>
                <w:p>
                  <w:pPr>
                    <w:spacing w:before="48" w:beforeLines="20" w:after="48" w:afterLines="20"/>
                    <w:jc w:val="center"/>
                    <w:rPr>
                      <w:color w:val="auto"/>
                      <w:szCs w:val="21"/>
                    </w:rPr>
                  </w:pPr>
                  <w:r>
                    <w:rPr>
                      <w:color w:val="auto"/>
                      <w:szCs w:val="21"/>
                    </w:rPr>
                    <w:t>160</w:t>
                  </w:r>
                </w:p>
              </w:tc>
              <w:tc>
                <w:tcPr>
                  <w:tcW w:w="662" w:type="pct"/>
                  <w:tcBorders>
                    <w:tl2br w:val="nil"/>
                    <w:tr2bl w:val="nil"/>
                  </w:tcBorders>
                  <w:vAlign w:val="center"/>
                </w:tcPr>
                <w:p>
                  <w:pPr>
                    <w:spacing w:before="48" w:beforeLines="20" w:after="48" w:afterLines="20"/>
                    <w:jc w:val="center"/>
                    <w:rPr>
                      <w:color w:val="auto"/>
                      <w:szCs w:val="21"/>
                    </w:rPr>
                  </w:pPr>
                  <w:r>
                    <w:rPr>
                      <w:rFonts w:hint="eastAsia"/>
                      <w:color w:val="auto"/>
                      <w:szCs w:val="21"/>
                      <w:lang w:val="en-US" w:eastAsia="zh-CN"/>
                    </w:rPr>
                    <w:t>98.12</w:t>
                  </w:r>
                  <w:r>
                    <w:rPr>
                      <w:color w:val="auto"/>
                      <w:szCs w:val="21"/>
                    </w:rPr>
                    <w:t>%</w:t>
                  </w:r>
                </w:p>
              </w:tc>
              <w:tc>
                <w:tcPr>
                  <w:tcW w:w="834" w:type="pct"/>
                  <w:tcBorders>
                    <w:tl2br w:val="nil"/>
                    <w:tr2bl w:val="nil"/>
                  </w:tcBorders>
                  <w:vAlign w:val="center"/>
                </w:tcPr>
                <w:p>
                  <w:pPr>
                    <w:spacing w:before="48" w:beforeLines="20" w:after="48" w:afterLines="20"/>
                    <w:jc w:val="center"/>
                    <w:rPr>
                      <w:color w:val="auto"/>
                      <w:szCs w:val="21"/>
                    </w:rPr>
                  </w:pPr>
                  <w:r>
                    <w:rPr>
                      <w:rFonts w:hint="eastAsia"/>
                      <w:color w:val="auto"/>
                      <w:szCs w:val="21"/>
                    </w:rPr>
                    <w:t>达标</w:t>
                  </w:r>
                </w:p>
              </w:tc>
            </w:tr>
          </w:tbl>
          <w:p>
            <w:pPr>
              <w:tabs>
                <w:tab w:val="left" w:pos="7755"/>
              </w:tabs>
              <w:snapToGrid w:val="0"/>
              <w:spacing w:line="360" w:lineRule="auto"/>
              <w:ind w:firstLine="480" w:firstLineChars="200"/>
              <w:rPr>
                <w:rFonts w:hint="default" w:eastAsia="宋体"/>
                <w:color w:val="auto"/>
                <w:sz w:val="24"/>
                <w:lang w:val="en-US" w:eastAsia="zh-CN"/>
              </w:rPr>
            </w:pPr>
            <w:r>
              <w:rPr>
                <w:color w:val="auto"/>
                <w:sz w:val="24"/>
              </w:rPr>
              <w:t>根据年均浓度监测结果可知：</w:t>
            </w:r>
            <w:r>
              <w:rPr>
                <w:rFonts w:hint="eastAsia"/>
                <w:color w:val="auto"/>
                <w:sz w:val="24"/>
                <w:lang w:val="en-US" w:eastAsia="zh-CN"/>
              </w:rPr>
              <w:t>云州</w:t>
            </w:r>
            <w:r>
              <w:rPr>
                <w:rFonts w:hint="eastAsia"/>
                <w:color w:val="auto"/>
                <w:sz w:val="24"/>
              </w:rPr>
              <w:t>区</w:t>
            </w:r>
            <w:r>
              <w:rPr>
                <w:color w:val="auto"/>
                <w:sz w:val="24"/>
              </w:rPr>
              <w:t>2020年SO</w:t>
            </w:r>
            <w:r>
              <w:rPr>
                <w:color w:val="auto"/>
                <w:sz w:val="24"/>
                <w:vertAlign w:val="subscript"/>
              </w:rPr>
              <w:t>2</w:t>
            </w:r>
            <w:r>
              <w:rPr>
                <w:color w:val="auto"/>
                <w:sz w:val="24"/>
              </w:rPr>
              <w:t>全年平均浓度值为</w:t>
            </w:r>
            <w:r>
              <w:rPr>
                <w:rFonts w:hint="eastAsia"/>
                <w:color w:val="auto"/>
                <w:sz w:val="24"/>
              </w:rPr>
              <w:t>2</w:t>
            </w:r>
            <w:r>
              <w:rPr>
                <w:rFonts w:hint="eastAsia"/>
                <w:color w:val="auto"/>
                <w:sz w:val="24"/>
                <w:lang w:val="en-US" w:eastAsia="zh-CN"/>
              </w:rPr>
              <w:t>8</w:t>
            </w:r>
            <w:r>
              <w:rPr>
                <w:color w:val="auto"/>
                <w:sz w:val="24"/>
              </w:rPr>
              <w:t>μg/m</w:t>
            </w:r>
            <w:r>
              <w:rPr>
                <w:b/>
                <w:color w:val="auto"/>
                <w:sz w:val="24"/>
                <w:vertAlign w:val="superscript"/>
              </w:rPr>
              <w:t>3</w:t>
            </w:r>
            <w:r>
              <w:rPr>
                <w:color w:val="auto"/>
                <w:sz w:val="24"/>
              </w:rPr>
              <w:t>，NO</w:t>
            </w:r>
            <w:r>
              <w:rPr>
                <w:color w:val="auto"/>
                <w:sz w:val="24"/>
                <w:vertAlign w:val="subscript"/>
              </w:rPr>
              <w:t>2</w:t>
            </w:r>
            <w:r>
              <w:rPr>
                <w:color w:val="auto"/>
                <w:sz w:val="24"/>
              </w:rPr>
              <w:t>全年平均浓度值为</w:t>
            </w:r>
            <w:r>
              <w:rPr>
                <w:rFonts w:hint="eastAsia"/>
                <w:color w:val="auto"/>
                <w:sz w:val="24"/>
                <w:lang w:val="en-US" w:eastAsia="zh-CN"/>
              </w:rPr>
              <w:t>2</w:t>
            </w:r>
            <w:r>
              <w:rPr>
                <w:rFonts w:hint="eastAsia"/>
                <w:color w:val="auto"/>
                <w:sz w:val="24"/>
              </w:rPr>
              <w:t>2</w:t>
            </w:r>
            <w:r>
              <w:rPr>
                <w:color w:val="auto"/>
                <w:sz w:val="24"/>
              </w:rPr>
              <w:t>μg/m</w:t>
            </w:r>
            <w:r>
              <w:rPr>
                <w:b/>
                <w:color w:val="auto"/>
                <w:sz w:val="24"/>
                <w:vertAlign w:val="superscript"/>
              </w:rPr>
              <w:t>3</w:t>
            </w:r>
            <w:r>
              <w:rPr>
                <w:color w:val="auto"/>
                <w:sz w:val="24"/>
              </w:rPr>
              <w:t>，PM</w:t>
            </w:r>
            <w:r>
              <w:rPr>
                <w:color w:val="auto"/>
                <w:sz w:val="24"/>
                <w:vertAlign w:val="subscript"/>
              </w:rPr>
              <w:t>10</w:t>
            </w:r>
            <w:r>
              <w:rPr>
                <w:color w:val="auto"/>
                <w:sz w:val="24"/>
              </w:rPr>
              <w:t>全年平均浓度值为</w:t>
            </w:r>
            <w:r>
              <w:rPr>
                <w:rFonts w:hint="eastAsia"/>
                <w:color w:val="auto"/>
                <w:sz w:val="24"/>
                <w:lang w:val="en-US" w:eastAsia="zh-CN"/>
              </w:rPr>
              <w:t>65</w:t>
            </w:r>
            <w:r>
              <w:rPr>
                <w:color w:val="auto"/>
                <w:sz w:val="24"/>
              </w:rPr>
              <w:t>μg/m</w:t>
            </w:r>
            <w:r>
              <w:rPr>
                <w:b/>
                <w:color w:val="auto"/>
                <w:sz w:val="24"/>
                <w:vertAlign w:val="superscript"/>
              </w:rPr>
              <w:t>3</w:t>
            </w:r>
            <w:r>
              <w:rPr>
                <w:color w:val="auto"/>
                <w:sz w:val="24"/>
              </w:rPr>
              <w:t>，PM</w:t>
            </w:r>
            <w:r>
              <w:rPr>
                <w:color w:val="auto"/>
                <w:sz w:val="24"/>
                <w:vertAlign w:val="subscript"/>
              </w:rPr>
              <w:t>2.5</w:t>
            </w:r>
            <w:r>
              <w:rPr>
                <w:color w:val="auto"/>
                <w:sz w:val="24"/>
              </w:rPr>
              <w:t>全年平均浓度值为</w:t>
            </w:r>
            <w:r>
              <w:rPr>
                <w:rFonts w:hint="eastAsia"/>
                <w:color w:val="auto"/>
                <w:sz w:val="24"/>
                <w:lang w:val="en-US" w:eastAsia="zh-CN"/>
              </w:rPr>
              <w:t>35</w:t>
            </w:r>
            <w:r>
              <w:rPr>
                <w:color w:val="auto"/>
                <w:sz w:val="24"/>
              </w:rPr>
              <w:t>μg/m</w:t>
            </w:r>
            <w:r>
              <w:rPr>
                <w:b/>
                <w:color w:val="auto"/>
                <w:sz w:val="24"/>
                <w:vertAlign w:val="superscript"/>
              </w:rPr>
              <w:t>3</w:t>
            </w:r>
            <w:r>
              <w:rPr>
                <w:color w:val="auto"/>
                <w:sz w:val="24"/>
              </w:rPr>
              <w:t>，CO第95百分位数浓度</w:t>
            </w:r>
            <w:r>
              <w:rPr>
                <w:rFonts w:hint="eastAsia"/>
                <w:color w:val="auto"/>
                <w:sz w:val="24"/>
              </w:rPr>
              <w:t>2.</w:t>
            </w:r>
            <w:r>
              <w:rPr>
                <w:rFonts w:hint="eastAsia"/>
                <w:color w:val="auto"/>
                <w:sz w:val="24"/>
                <w:lang w:val="en-US" w:eastAsia="zh-CN"/>
              </w:rPr>
              <w:t>4</w:t>
            </w:r>
            <w:r>
              <w:rPr>
                <w:color w:val="auto"/>
                <w:sz w:val="24"/>
              </w:rPr>
              <w:t>mg/m</w:t>
            </w:r>
            <w:r>
              <w:rPr>
                <w:b/>
                <w:color w:val="auto"/>
                <w:sz w:val="24"/>
                <w:vertAlign w:val="superscript"/>
              </w:rPr>
              <w:t>3</w:t>
            </w:r>
            <w:r>
              <w:rPr>
                <w:color w:val="auto"/>
                <w:sz w:val="24"/>
              </w:rPr>
              <w:t>，O</w:t>
            </w:r>
            <w:r>
              <w:rPr>
                <w:color w:val="auto"/>
                <w:sz w:val="24"/>
                <w:vertAlign w:val="subscript"/>
              </w:rPr>
              <w:t>3</w:t>
            </w:r>
            <w:r>
              <w:rPr>
                <w:color w:val="auto"/>
                <w:sz w:val="24"/>
              </w:rPr>
              <w:t xml:space="preserve"> 8小时第90百分位数浓度</w:t>
            </w:r>
            <w:r>
              <w:rPr>
                <w:rFonts w:hint="eastAsia"/>
                <w:color w:val="auto"/>
                <w:sz w:val="24"/>
              </w:rPr>
              <w:t>1</w:t>
            </w:r>
            <w:r>
              <w:rPr>
                <w:rFonts w:hint="eastAsia"/>
                <w:color w:val="auto"/>
                <w:sz w:val="24"/>
                <w:lang w:val="en-US" w:eastAsia="zh-CN"/>
              </w:rPr>
              <w:t>57</w:t>
            </w:r>
            <w:r>
              <w:rPr>
                <w:color w:val="auto"/>
                <w:sz w:val="24"/>
              </w:rPr>
              <w:t>μg/m</w:t>
            </w:r>
            <w:r>
              <w:rPr>
                <w:b/>
                <w:color w:val="auto"/>
                <w:sz w:val="24"/>
                <w:vertAlign w:val="superscript"/>
              </w:rPr>
              <w:t>3</w:t>
            </w:r>
            <w:r>
              <w:rPr>
                <w:color w:val="auto"/>
                <w:sz w:val="24"/>
              </w:rPr>
              <w:t>。</w:t>
            </w:r>
            <w:r>
              <w:rPr>
                <w:rFonts w:hint="eastAsia"/>
                <w:color w:val="auto"/>
                <w:sz w:val="24"/>
                <w:lang w:val="en-US" w:eastAsia="zh-CN"/>
              </w:rPr>
              <w:t>项目区域范围内环境空气常规因子均达标。</w:t>
            </w:r>
          </w:p>
          <w:p>
            <w:pPr>
              <w:tabs>
                <w:tab w:val="left" w:pos="7755"/>
              </w:tabs>
              <w:snapToGrid w:val="0"/>
              <w:spacing w:line="360" w:lineRule="auto"/>
              <w:ind w:firstLine="480" w:firstLineChars="200"/>
              <w:rPr>
                <w:color w:val="auto"/>
                <w:sz w:val="24"/>
              </w:rPr>
            </w:pPr>
            <w:r>
              <w:rPr>
                <w:rFonts w:hint="eastAsia"/>
                <w:color w:val="auto"/>
                <w:sz w:val="24"/>
              </w:rPr>
              <w:t>因此，判定项目所在地</w:t>
            </w:r>
            <w:r>
              <w:rPr>
                <w:rFonts w:hint="eastAsia"/>
                <w:color w:val="auto"/>
                <w:sz w:val="24"/>
                <w:lang w:val="en-US" w:eastAsia="zh-CN"/>
              </w:rPr>
              <w:t>云州区</w:t>
            </w:r>
            <w:r>
              <w:rPr>
                <w:rFonts w:hint="eastAsia"/>
                <w:color w:val="auto"/>
                <w:sz w:val="24"/>
              </w:rPr>
              <w:t>为</w:t>
            </w:r>
            <w:r>
              <w:rPr>
                <w:color w:val="auto"/>
                <w:sz w:val="24"/>
              </w:rPr>
              <w:t>达标区。</w:t>
            </w:r>
          </w:p>
          <w:p>
            <w:pPr>
              <w:tabs>
                <w:tab w:val="left" w:pos="7755"/>
              </w:tabs>
              <w:snapToGrid w:val="0"/>
              <w:spacing w:line="360" w:lineRule="auto"/>
              <w:ind w:firstLine="480" w:firstLineChars="200"/>
              <w:rPr>
                <w:rFonts w:hint="default" w:eastAsia="宋体"/>
                <w:color w:val="auto"/>
                <w:sz w:val="24"/>
                <w:lang w:val="en-US" w:eastAsia="zh-CN"/>
              </w:rPr>
            </w:pPr>
            <w:r>
              <w:rPr>
                <w:color w:val="auto"/>
                <w:sz w:val="24"/>
              </w:rPr>
              <w:t>2）</w:t>
            </w:r>
            <w:r>
              <w:rPr>
                <w:rFonts w:hint="eastAsia"/>
                <w:color w:val="auto"/>
                <w:sz w:val="24"/>
                <w:lang w:val="en-US" w:eastAsia="zh-CN"/>
              </w:rPr>
              <w:t>特征因子环境空气质量现状统计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rFonts w:hint="eastAsia"/>
                <w:color w:val="auto"/>
                <w:sz w:val="24"/>
                <w:lang w:val="en-US" w:eastAsia="zh-CN"/>
              </w:rPr>
              <w:t>此次评价引用《大同市贵义碳素有限公司环保新材料煤质活性炭建设项目环境影响评价现状监测报告》中TSP、苯并芘现状监测资料用以评价项目所在地TSP和苯并芘环境空气质量现状。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引用监测数据监测日期：2019年12月25日~2019年12月31日</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sz w:val="24"/>
              </w:rPr>
            </w:pPr>
            <w:r>
              <w:rPr>
                <w:rFonts w:hint="eastAsia"/>
                <w:color w:val="auto"/>
                <w:sz w:val="24"/>
                <w:lang w:val="en-US" w:eastAsia="zh-CN"/>
              </w:rPr>
              <w:t xml:space="preserve">    </w:t>
            </w:r>
            <w:r>
              <w:rPr>
                <w:color w:val="auto"/>
                <w:sz w:val="24"/>
              </w:rPr>
              <w:t>监测点布设</w:t>
            </w:r>
            <w:r>
              <w:rPr>
                <w:rFonts w:hint="eastAsia"/>
                <w:color w:val="auto"/>
                <w:sz w:val="24"/>
                <w:lang w:eastAsia="zh-CN"/>
              </w:rPr>
              <w:t>：</w:t>
            </w:r>
            <w:r>
              <w:rPr>
                <w:rFonts w:hint="eastAsia"/>
                <w:color w:val="auto"/>
                <w:sz w:val="24"/>
                <w:lang w:val="en-US" w:eastAsia="zh-CN"/>
              </w:rPr>
              <w:t>引用监测资料监测点分别为利仁皂村和常家堡村</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监测点布设情况见下表</w:t>
            </w:r>
            <w:r>
              <w:rPr>
                <w:rFonts w:hint="eastAsia"/>
                <w:color w:val="auto"/>
                <w:sz w:val="24"/>
              </w:rPr>
              <w:t>1</w:t>
            </w:r>
            <w:r>
              <w:rPr>
                <w:rFonts w:hint="eastAsia"/>
                <w:color w:val="auto"/>
                <w:sz w:val="24"/>
                <w:lang w:val="en-US" w:eastAsia="zh-CN"/>
              </w:rPr>
              <w:t>6</w:t>
            </w:r>
            <w:r>
              <w:rPr>
                <w:color w:val="auto"/>
                <w:sz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color w:val="auto"/>
                <w:sz w:val="24"/>
              </w:rPr>
            </w:pPr>
            <w:r>
              <w:rPr>
                <w:rFonts w:hint="eastAsia" w:ascii="Times New Roman" w:hAnsi="Times New Roman" w:eastAsia="宋体" w:cs="Times New Roman"/>
                <w:color w:val="auto"/>
                <w:kern w:val="2"/>
                <w:sz w:val="24"/>
                <w:szCs w:val="24"/>
                <w:lang w:val="en-US" w:eastAsia="zh-CN" w:bidi="ar-SA"/>
              </w:rPr>
              <w:t xml:space="preserve"> </w:t>
            </w:r>
            <w:r>
              <w:rPr>
                <w:rFonts w:hint="eastAsia"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根据《建设项目环境影响报告表编制技术指南（污染影响类）》（试行），区域环境质量现状</w:t>
            </w:r>
            <w:r>
              <w:rPr>
                <w:rFonts w:hint="eastAsia" w:cs="Times New Roman"/>
                <w:color w:val="auto"/>
                <w:kern w:val="2"/>
                <w:sz w:val="24"/>
                <w:szCs w:val="24"/>
                <w:lang w:val="en-US" w:eastAsia="zh-CN" w:bidi="ar-SA"/>
              </w:rPr>
              <w:t>可引用项目周边5km范围内近3年的现有监测数据。项目厂址位于常家堡村西1.2km处，利仁皂村东2.5km处，引用监测点距离项目厂址均小于5km，而且监测数据在3年内。引用监测数据资料可用。</w:t>
            </w:r>
          </w:p>
          <w:p>
            <w:pPr>
              <w:adjustRightInd w:val="0"/>
              <w:snapToGrid w:val="0"/>
              <w:spacing w:line="500" w:lineRule="exact"/>
              <w:ind w:firstLine="482" w:firstLineChars="200"/>
              <w:jc w:val="center"/>
              <w:rPr>
                <w:b/>
                <w:bCs/>
                <w:color w:val="auto"/>
                <w:sz w:val="24"/>
              </w:rPr>
            </w:pPr>
            <w:r>
              <w:rPr>
                <w:b/>
                <w:bCs/>
                <w:color w:val="auto"/>
                <w:sz w:val="24"/>
              </w:rPr>
              <w:t>表</w:t>
            </w:r>
            <w:r>
              <w:rPr>
                <w:rFonts w:hint="eastAsia"/>
                <w:b/>
                <w:bCs/>
                <w:color w:val="auto"/>
                <w:sz w:val="24"/>
              </w:rPr>
              <w:t>1</w:t>
            </w:r>
            <w:r>
              <w:rPr>
                <w:rFonts w:hint="eastAsia"/>
                <w:b/>
                <w:bCs/>
                <w:color w:val="auto"/>
                <w:sz w:val="24"/>
                <w:lang w:val="en-US" w:eastAsia="zh-CN"/>
              </w:rPr>
              <w:t>6</w:t>
            </w:r>
            <w:r>
              <w:rPr>
                <w:rFonts w:hint="eastAsia"/>
                <w:b/>
                <w:bCs/>
                <w:color w:val="auto"/>
                <w:sz w:val="24"/>
              </w:rPr>
              <w:t xml:space="preserve"> </w:t>
            </w:r>
            <w:r>
              <w:rPr>
                <w:b/>
                <w:bCs/>
                <w:color w:val="auto"/>
                <w:sz w:val="24"/>
              </w:rPr>
              <w:t>环境空气采样点位及监测项目</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34"/>
              <w:gridCol w:w="1134"/>
              <w:gridCol w:w="2380"/>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89" w:type="pct"/>
                  <w:tcBorders>
                    <w:tl2br w:val="nil"/>
                    <w:tr2bl w:val="nil"/>
                  </w:tcBorders>
                  <w:vAlign w:val="center"/>
                </w:tcPr>
                <w:p>
                  <w:pPr>
                    <w:adjustRightInd w:val="0"/>
                    <w:snapToGrid w:val="0"/>
                    <w:jc w:val="center"/>
                    <w:rPr>
                      <w:color w:val="auto"/>
                      <w:szCs w:val="21"/>
                    </w:rPr>
                  </w:pPr>
                  <w:r>
                    <w:rPr>
                      <w:color w:val="auto"/>
                      <w:szCs w:val="21"/>
                    </w:rPr>
                    <w:t>监测点位</w:t>
                  </w:r>
                </w:p>
              </w:tc>
              <w:tc>
                <w:tcPr>
                  <w:tcW w:w="720" w:type="pct"/>
                  <w:tcBorders>
                    <w:tl2br w:val="nil"/>
                    <w:tr2bl w:val="nil"/>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功能区</w:t>
                  </w:r>
                </w:p>
              </w:tc>
              <w:tc>
                <w:tcPr>
                  <w:tcW w:w="720" w:type="pct"/>
                  <w:tcBorders>
                    <w:tl2br w:val="nil"/>
                    <w:tr2bl w:val="nil"/>
                  </w:tcBorders>
                  <w:vAlign w:val="center"/>
                </w:tcPr>
                <w:p>
                  <w:pPr>
                    <w:adjustRightInd w:val="0"/>
                    <w:snapToGrid w:val="0"/>
                    <w:jc w:val="center"/>
                    <w:rPr>
                      <w:color w:val="auto"/>
                      <w:szCs w:val="21"/>
                    </w:rPr>
                  </w:pPr>
                  <w:r>
                    <w:rPr>
                      <w:color w:val="auto"/>
                      <w:szCs w:val="21"/>
                    </w:rPr>
                    <w:t>监测项目</w:t>
                  </w:r>
                </w:p>
              </w:tc>
              <w:tc>
                <w:tcPr>
                  <w:tcW w:w="1511" w:type="pct"/>
                  <w:tcBorders>
                    <w:tl2br w:val="nil"/>
                    <w:tr2bl w:val="nil"/>
                  </w:tcBorders>
                  <w:vAlign w:val="center"/>
                </w:tcPr>
                <w:p>
                  <w:pPr>
                    <w:adjustRightInd w:val="0"/>
                    <w:snapToGrid w:val="0"/>
                    <w:jc w:val="center"/>
                    <w:rPr>
                      <w:color w:val="auto"/>
                      <w:szCs w:val="21"/>
                    </w:rPr>
                  </w:pPr>
                  <w:r>
                    <w:rPr>
                      <w:rFonts w:hint="eastAsia"/>
                      <w:color w:val="auto"/>
                      <w:szCs w:val="21"/>
                    </w:rPr>
                    <w:t>监测时间</w:t>
                  </w:r>
                </w:p>
              </w:tc>
              <w:tc>
                <w:tcPr>
                  <w:tcW w:w="1358" w:type="pct"/>
                  <w:tcBorders>
                    <w:tl2br w:val="nil"/>
                    <w:tr2bl w:val="nil"/>
                  </w:tcBorders>
                  <w:vAlign w:val="center"/>
                </w:tcPr>
                <w:p>
                  <w:pPr>
                    <w:adjustRightInd w:val="0"/>
                    <w:snapToGrid w:val="0"/>
                    <w:jc w:val="center"/>
                    <w:rPr>
                      <w:color w:val="auto"/>
                      <w:szCs w:val="21"/>
                    </w:rPr>
                  </w:pPr>
                  <w:r>
                    <w:rPr>
                      <w:rFonts w:hint="eastAsia"/>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rPr>
                    <w:t>常家堡村</w:t>
                  </w:r>
                </w:p>
              </w:tc>
              <w:tc>
                <w:tcPr>
                  <w:tcW w:w="720" w:type="pct"/>
                  <w:vMerge w:val="restart"/>
                  <w:tcBorders>
                    <w:tl2br w:val="nil"/>
                    <w:tr2bl w:val="nil"/>
                  </w:tcBorders>
                  <w:vAlign w:val="center"/>
                </w:tcPr>
                <w:p>
                  <w:pPr>
                    <w:pStyle w:val="50"/>
                    <w:spacing w:before="0" w:after="0" w:line="240" w:lineRule="auto"/>
                    <w:ind w:right="0"/>
                    <w:rPr>
                      <w:rFonts w:hint="eastAsia" w:ascii="Times New Roman" w:hAnsi="Times New Roman" w:eastAsia="宋体"/>
                      <w:color w:val="auto"/>
                      <w:kern w:val="2"/>
                      <w:lang w:val="en-US" w:eastAsia="zh-CN"/>
                    </w:rPr>
                  </w:pPr>
                  <w:r>
                    <w:rPr>
                      <w:rFonts w:hint="eastAsia" w:ascii="Times New Roman" w:hAnsi="Times New Roman"/>
                      <w:color w:val="auto"/>
                      <w:kern w:val="2"/>
                      <w:lang w:val="en-US" w:eastAsia="zh-CN"/>
                    </w:rPr>
                    <w:t>一类</w:t>
                  </w:r>
                </w:p>
              </w:tc>
              <w:tc>
                <w:tcPr>
                  <w:tcW w:w="720" w:type="pct"/>
                  <w:tcBorders>
                    <w:tl2br w:val="nil"/>
                    <w:tr2bl w:val="nil"/>
                  </w:tcBorders>
                  <w:vAlign w:val="center"/>
                </w:tcPr>
                <w:p>
                  <w:pPr>
                    <w:pStyle w:val="50"/>
                    <w:spacing w:before="0" w:after="0" w:line="240" w:lineRule="auto"/>
                    <w:ind w:right="0"/>
                    <w:rPr>
                      <w:rFonts w:ascii="Times New Roman" w:hAnsi="Times New Roman"/>
                      <w:color w:val="auto"/>
                    </w:rPr>
                  </w:pPr>
                  <w:r>
                    <w:rPr>
                      <w:rFonts w:ascii="Times New Roman" w:hAnsi="Times New Roman"/>
                      <w:color w:val="auto"/>
                      <w:kern w:val="2"/>
                    </w:rPr>
                    <w:t>TSP</w:t>
                  </w:r>
                </w:p>
              </w:tc>
              <w:tc>
                <w:tcPr>
                  <w:tcW w:w="1511" w:type="pct"/>
                  <w:vMerge w:val="restart"/>
                  <w:tcBorders>
                    <w:tl2br w:val="nil"/>
                    <w:tr2bl w:val="nil"/>
                  </w:tcBorders>
                  <w:vAlign w:val="center"/>
                </w:tcPr>
                <w:p>
                  <w:pPr>
                    <w:pStyle w:val="50"/>
                    <w:spacing w:before="0" w:after="0" w:line="240" w:lineRule="auto"/>
                    <w:ind w:right="0"/>
                    <w:rPr>
                      <w:rFonts w:hint="eastAsia" w:ascii="Times New Roman" w:hAnsi="Times New Roman"/>
                      <w:color w:val="auto"/>
                      <w:kern w:val="2"/>
                      <w:lang w:val="en-US" w:eastAsia="zh-CN"/>
                    </w:rPr>
                  </w:pPr>
                  <w:r>
                    <w:rPr>
                      <w:rFonts w:hint="eastAsia" w:ascii="Times New Roman" w:hAnsi="Times New Roman"/>
                      <w:color w:val="auto"/>
                      <w:kern w:val="2"/>
                      <w:lang w:val="en-US" w:eastAsia="zh-CN"/>
                    </w:rPr>
                    <w:t>2019年12月25日</w:t>
                  </w:r>
                </w:p>
                <w:p>
                  <w:pPr>
                    <w:pStyle w:val="50"/>
                    <w:spacing w:before="0" w:after="0" w:line="240" w:lineRule="auto"/>
                    <w:ind w:right="0"/>
                    <w:rPr>
                      <w:rFonts w:ascii="Times New Roman" w:hAnsi="Times New Roman"/>
                      <w:color w:val="auto"/>
                      <w:kern w:val="2"/>
                    </w:rPr>
                  </w:pPr>
                  <w:r>
                    <w:rPr>
                      <w:rFonts w:hint="eastAsia" w:ascii="Times New Roman" w:hAnsi="Times New Roman"/>
                      <w:color w:val="auto"/>
                      <w:kern w:val="2"/>
                      <w:lang w:val="en-US" w:eastAsia="zh-CN"/>
                    </w:rPr>
                    <w:t>~2019年12月31日</w:t>
                  </w:r>
                </w:p>
              </w:tc>
              <w:tc>
                <w:tcPr>
                  <w:tcW w:w="1358" w:type="pct"/>
                  <w:vMerge w:val="restart"/>
                  <w:tcBorders>
                    <w:tl2br w:val="nil"/>
                    <w:tr2bl w:val="nil"/>
                  </w:tcBorders>
                  <w:vAlign w:val="center"/>
                </w:tcPr>
                <w:p>
                  <w:pPr>
                    <w:pStyle w:val="50"/>
                    <w:spacing w:before="0" w:after="0" w:line="240" w:lineRule="auto"/>
                    <w:ind w:right="0"/>
                    <w:rPr>
                      <w:rFonts w:ascii="Times New Roman" w:hAnsi="Times New Roman"/>
                      <w:color w:val="auto"/>
                      <w:kern w:val="2"/>
                    </w:rPr>
                  </w:pPr>
                  <w:r>
                    <w:rPr>
                      <w:rFonts w:hint="eastAsia" w:ascii="Times New Roman" w:hAnsi="Times New Roman"/>
                      <w:color w:val="auto"/>
                      <w:kern w:val="2"/>
                      <w:lang w:val="en-US" w:eastAsia="zh-CN"/>
                    </w:rPr>
                    <w:t>引用《大同市贵义碳素有限公司环保新材料煤质活性炭建设项目环境影响评价现状监测报告》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Borders>
                    <w:tl2br w:val="nil"/>
                    <w:tr2bl w:val="nil"/>
                  </w:tcBorders>
                  <w:vAlign w:val="center"/>
                </w:tcPr>
                <w:p>
                  <w:pPr>
                    <w:jc w:val="center"/>
                    <w:rPr>
                      <w:color w:val="auto"/>
                      <w:szCs w:val="21"/>
                    </w:rPr>
                  </w:pPr>
                </w:p>
              </w:tc>
              <w:tc>
                <w:tcPr>
                  <w:tcW w:w="720" w:type="pct"/>
                  <w:vMerge w:val="continue"/>
                  <w:tcBorders>
                    <w:tl2br w:val="nil"/>
                    <w:tr2bl w:val="nil"/>
                  </w:tcBorders>
                  <w:vAlign w:val="center"/>
                </w:tcPr>
                <w:p>
                  <w:pPr>
                    <w:pStyle w:val="50"/>
                    <w:spacing w:before="0" w:after="0" w:line="240" w:lineRule="auto"/>
                    <w:ind w:right="0"/>
                    <w:rPr>
                      <w:rFonts w:hint="eastAsia" w:ascii="Times New Roman" w:hAnsi="Times New Roman"/>
                      <w:color w:val="auto"/>
                      <w:kern w:val="2"/>
                    </w:rPr>
                  </w:pPr>
                </w:p>
              </w:tc>
              <w:tc>
                <w:tcPr>
                  <w:tcW w:w="720" w:type="pct"/>
                  <w:tcBorders>
                    <w:tl2br w:val="nil"/>
                    <w:tr2bl w:val="nil"/>
                  </w:tcBorders>
                  <w:vAlign w:val="center"/>
                </w:tcPr>
                <w:p>
                  <w:pPr>
                    <w:pStyle w:val="50"/>
                    <w:spacing w:before="0" w:after="0" w:line="240" w:lineRule="auto"/>
                    <w:ind w:right="0"/>
                    <w:rPr>
                      <w:rFonts w:ascii="Times New Roman" w:hAnsi="Times New Roman"/>
                      <w:color w:val="auto"/>
                      <w:kern w:val="2"/>
                    </w:rPr>
                  </w:pPr>
                  <w:r>
                    <w:rPr>
                      <w:rFonts w:hint="eastAsia" w:ascii="Times New Roman" w:hAnsi="Times New Roman"/>
                      <w:color w:val="auto"/>
                      <w:kern w:val="2"/>
                    </w:rPr>
                    <w:t>苯并芘</w:t>
                  </w:r>
                </w:p>
              </w:tc>
              <w:tc>
                <w:tcPr>
                  <w:tcW w:w="1511" w:type="pct"/>
                  <w:vMerge w:val="continue"/>
                  <w:tcBorders>
                    <w:tl2br w:val="nil"/>
                    <w:tr2bl w:val="nil"/>
                  </w:tcBorders>
                  <w:vAlign w:val="center"/>
                </w:tcPr>
                <w:p>
                  <w:pPr>
                    <w:pStyle w:val="50"/>
                    <w:spacing w:before="0" w:after="0" w:line="240" w:lineRule="auto"/>
                    <w:ind w:right="0"/>
                    <w:rPr>
                      <w:rFonts w:ascii="Times New Roman" w:hAnsi="Times New Roman"/>
                      <w:color w:val="auto"/>
                      <w:kern w:val="2"/>
                    </w:rPr>
                  </w:pPr>
                </w:p>
              </w:tc>
              <w:tc>
                <w:tcPr>
                  <w:tcW w:w="1358" w:type="pct"/>
                  <w:vMerge w:val="continue"/>
                  <w:tcBorders>
                    <w:tl2br w:val="nil"/>
                    <w:tr2bl w:val="nil"/>
                  </w:tcBorders>
                  <w:vAlign w:val="center"/>
                </w:tcPr>
                <w:p>
                  <w:pPr>
                    <w:pStyle w:val="50"/>
                    <w:spacing w:before="0" w:after="0" w:line="240" w:lineRule="auto"/>
                    <w:ind w:right="0"/>
                    <w:rPr>
                      <w:rFonts w:ascii="Times New Roman" w:hAnsi="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利仁皂村</w:t>
                  </w:r>
                </w:p>
              </w:tc>
              <w:tc>
                <w:tcPr>
                  <w:tcW w:w="720" w:type="pct"/>
                  <w:vMerge w:val="restart"/>
                  <w:tcBorders>
                    <w:tl2br w:val="nil"/>
                    <w:tr2bl w:val="nil"/>
                  </w:tcBorders>
                  <w:vAlign w:val="center"/>
                </w:tcPr>
                <w:p>
                  <w:pPr>
                    <w:pStyle w:val="50"/>
                    <w:spacing w:before="0" w:after="0" w:line="240" w:lineRule="auto"/>
                    <w:ind w:right="0" w:rightChars="0"/>
                    <w:rPr>
                      <w:rFonts w:hint="eastAsia" w:ascii="Times New Roman" w:hAnsi="Times New Roman" w:eastAsia="宋体"/>
                      <w:color w:val="auto"/>
                      <w:kern w:val="2"/>
                      <w:lang w:val="en-US" w:eastAsia="zh-CN"/>
                    </w:rPr>
                  </w:pPr>
                  <w:r>
                    <w:rPr>
                      <w:rFonts w:hint="eastAsia" w:ascii="Times New Roman" w:hAnsi="Times New Roman"/>
                      <w:color w:val="auto"/>
                      <w:kern w:val="2"/>
                      <w:lang w:val="en-US" w:eastAsia="zh-CN"/>
                    </w:rPr>
                    <w:t>二类</w:t>
                  </w:r>
                </w:p>
              </w:tc>
              <w:tc>
                <w:tcPr>
                  <w:tcW w:w="720" w:type="pct"/>
                  <w:tcBorders>
                    <w:tl2br w:val="nil"/>
                    <w:tr2bl w:val="nil"/>
                  </w:tcBorders>
                  <w:vAlign w:val="center"/>
                </w:tcPr>
                <w:p>
                  <w:pPr>
                    <w:pStyle w:val="50"/>
                    <w:spacing w:before="0" w:after="0" w:line="240" w:lineRule="auto"/>
                    <w:ind w:right="0" w:rightChars="0"/>
                    <w:rPr>
                      <w:rFonts w:hint="eastAsia" w:ascii="Times New Roman" w:hAnsi="Times New Roman" w:eastAsia="宋体" w:cs="Times New Roman"/>
                      <w:color w:val="auto"/>
                      <w:kern w:val="21"/>
                      <w:sz w:val="21"/>
                      <w:szCs w:val="21"/>
                      <w:lang w:val="en-US" w:eastAsia="zh-CN" w:bidi="ar-SA"/>
                    </w:rPr>
                  </w:pPr>
                  <w:r>
                    <w:rPr>
                      <w:rFonts w:ascii="Times New Roman" w:hAnsi="Times New Roman"/>
                      <w:color w:val="auto"/>
                      <w:kern w:val="2"/>
                    </w:rPr>
                    <w:t>TSP</w:t>
                  </w:r>
                </w:p>
              </w:tc>
              <w:tc>
                <w:tcPr>
                  <w:tcW w:w="1511" w:type="pct"/>
                  <w:vMerge w:val="continue"/>
                  <w:tcBorders>
                    <w:tl2br w:val="nil"/>
                    <w:tr2bl w:val="nil"/>
                  </w:tcBorders>
                  <w:vAlign w:val="center"/>
                </w:tcPr>
                <w:p>
                  <w:pPr>
                    <w:pStyle w:val="50"/>
                    <w:spacing w:before="0" w:after="0" w:line="240" w:lineRule="auto"/>
                    <w:ind w:right="0"/>
                    <w:rPr>
                      <w:rFonts w:hint="eastAsia" w:ascii="Times New Roman" w:hAnsi="Times New Roman"/>
                      <w:color w:val="auto"/>
                      <w:kern w:val="2"/>
                    </w:rPr>
                  </w:pPr>
                </w:p>
              </w:tc>
              <w:tc>
                <w:tcPr>
                  <w:tcW w:w="1358" w:type="pct"/>
                  <w:vMerge w:val="continue"/>
                  <w:tcBorders>
                    <w:tl2br w:val="nil"/>
                    <w:tr2bl w:val="nil"/>
                  </w:tcBorders>
                  <w:vAlign w:val="center"/>
                </w:tcPr>
                <w:p>
                  <w:pPr>
                    <w:pStyle w:val="50"/>
                    <w:spacing w:before="0" w:after="0" w:line="240" w:lineRule="auto"/>
                    <w:ind w:right="0"/>
                    <w:rPr>
                      <w:rFonts w:hint="eastAsia" w:ascii="Times New Roman" w:hAnsi="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Borders>
                    <w:tl2br w:val="nil"/>
                    <w:tr2bl w:val="nil"/>
                  </w:tcBorders>
                  <w:vAlign w:val="center"/>
                </w:tcPr>
                <w:p>
                  <w:pPr>
                    <w:jc w:val="center"/>
                    <w:rPr>
                      <w:color w:val="auto"/>
                      <w:szCs w:val="21"/>
                    </w:rPr>
                  </w:pPr>
                </w:p>
              </w:tc>
              <w:tc>
                <w:tcPr>
                  <w:tcW w:w="720" w:type="pct"/>
                  <w:vMerge w:val="continue"/>
                  <w:tcBorders>
                    <w:tl2br w:val="nil"/>
                    <w:tr2bl w:val="nil"/>
                  </w:tcBorders>
                  <w:vAlign w:val="center"/>
                </w:tcPr>
                <w:p>
                  <w:pPr>
                    <w:pStyle w:val="50"/>
                    <w:spacing w:before="0" w:after="0" w:line="240" w:lineRule="auto"/>
                    <w:ind w:right="0" w:rightChars="0"/>
                    <w:rPr>
                      <w:rFonts w:hint="eastAsia" w:ascii="Times New Roman" w:hAnsi="Times New Roman"/>
                      <w:color w:val="auto"/>
                      <w:kern w:val="2"/>
                    </w:rPr>
                  </w:pPr>
                </w:p>
              </w:tc>
              <w:tc>
                <w:tcPr>
                  <w:tcW w:w="720" w:type="pct"/>
                  <w:tcBorders>
                    <w:tl2br w:val="nil"/>
                    <w:tr2bl w:val="nil"/>
                  </w:tcBorders>
                  <w:vAlign w:val="center"/>
                </w:tcPr>
                <w:p>
                  <w:pPr>
                    <w:pStyle w:val="50"/>
                    <w:spacing w:before="0" w:after="0" w:line="240" w:lineRule="auto"/>
                    <w:ind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kern w:val="2"/>
                    </w:rPr>
                    <w:t>苯并芘</w:t>
                  </w:r>
                </w:p>
              </w:tc>
              <w:tc>
                <w:tcPr>
                  <w:tcW w:w="1511" w:type="pct"/>
                  <w:vMerge w:val="continue"/>
                  <w:tcBorders>
                    <w:tl2br w:val="nil"/>
                    <w:tr2bl w:val="nil"/>
                  </w:tcBorders>
                  <w:vAlign w:val="center"/>
                </w:tcPr>
                <w:p>
                  <w:pPr>
                    <w:pStyle w:val="50"/>
                    <w:spacing w:before="0" w:after="0" w:line="240" w:lineRule="auto"/>
                    <w:ind w:right="0"/>
                    <w:rPr>
                      <w:rFonts w:hint="eastAsia" w:ascii="Times New Roman" w:hAnsi="Times New Roman"/>
                      <w:color w:val="auto"/>
                      <w:kern w:val="2"/>
                    </w:rPr>
                  </w:pPr>
                </w:p>
              </w:tc>
              <w:tc>
                <w:tcPr>
                  <w:tcW w:w="1358" w:type="pct"/>
                  <w:vMerge w:val="continue"/>
                  <w:tcBorders>
                    <w:tl2br w:val="nil"/>
                    <w:tr2bl w:val="nil"/>
                  </w:tcBorders>
                  <w:vAlign w:val="center"/>
                </w:tcPr>
                <w:p>
                  <w:pPr>
                    <w:pStyle w:val="50"/>
                    <w:spacing w:before="0" w:after="0" w:line="240" w:lineRule="auto"/>
                    <w:ind w:right="0"/>
                    <w:rPr>
                      <w:rFonts w:hint="eastAsia" w:ascii="Times New Roman" w:hAnsi="Times New Roman"/>
                      <w:color w:val="auto"/>
                      <w:kern w:val="2"/>
                    </w:rPr>
                  </w:pPr>
                </w:p>
              </w:tc>
            </w:tr>
          </w:tbl>
          <w:p>
            <w:pPr>
              <w:pStyle w:val="17"/>
              <w:spacing w:after="0" w:line="360" w:lineRule="auto"/>
              <w:rPr>
                <w:color w:val="auto"/>
                <w:sz w:val="24"/>
              </w:rPr>
            </w:pPr>
            <w:r>
              <w:rPr>
                <w:color w:val="auto"/>
                <w:sz w:val="24"/>
              </w:rPr>
              <w:t xml:space="preserve">   b.现状监测结果评价</w:t>
            </w:r>
          </w:p>
          <w:p>
            <w:pPr>
              <w:pStyle w:val="51"/>
              <w:spacing w:line="240" w:lineRule="auto"/>
              <w:rPr>
                <w:color w:val="auto"/>
              </w:rPr>
            </w:pPr>
            <w:r>
              <w:rPr>
                <w:rFonts w:eastAsia="宋体"/>
                <w:b/>
                <w:bCs/>
                <w:color w:val="auto"/>
                <w:sz w:val="24"/>
                <w:szCs w:val="24"/>
              </w:rPr>
              <w:t>表</w:t>
            </w:r>
            <w:r>
              <w:rPr>
                <w:rFonts w:hint="eastAsia" w:eastAsia="宋体"/>
                <w:b/>
                <w:bCs/>
                <w:color w:val="auto"/>
                <w:sz w:val="24"/>
                <w:szCs w:val="24"/>
                <w:lang w:val="en-US" w:eastAsia="zh-CN"/>
              </w:rPr>
              <w:t>17</w:t>
            </w:r>
            <w:r>
              <w:rPr>
                <w:rFonts w:hint="eastAsia" w:eastAsia="宋体"/>
                <w:b/>
                <w:bCs/>
                <w:color w:val="auto"/>
                <w:sz w:val="24"/>
                <w:szCs w:val="24"/>
              </w:rPr>
              <w:t xml:space="preserve"> </w:t>
            </w:r>
            <w:r>
              <w:rPr>
                <w:rFonts w:eastAsia="宋体"/>
                <w:b/>
                <w:bCs/>
                <w:color w:val="auto"/>
                <w:sz w:val="24"/>
                <w:szCs w:val="24"/>
              </w:rPr>
              <w:t>日均浓度监测数据统计表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7"/>
              <w:gridCol w:w="775"/>
              <w:gridCol w:w="789"/>
              <w:gridCol w:w="738"/>
              <w:gridCol w:w="717"/>
              <w:gridCol w:w="930"/>
              <w:gridCol w:w="930"/>
              <w:gridCol w:w="742"/>
              <w:gridCol w:w="742"/>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7" w:type="dxa"/>
                  <w:vMerge w:val="restart"/>
                  <w:vAlign w:val="center"/>
                </w:tcPr>
                <w:p>
                  <w:pPr>
                    <w:pStyle w:val="51"/>
                    <w:spacing w:line="240" w:lineRule="auto"/>
                    <w:rPr>
                      <w:rFonts w:eastAsia="宋体"/>
                      <w:color w:val="auto"/>
                    </w:rPr>
                  </w:pPr>
                  <w:r>
                    <w:rPr>
                      <w:rFonts w:eastAsia="宋体"/>
                      <w:color w:val="auto"/>
                    </w:rPr>
                    <w:t>监测点位</w:t>
                  </w:r>
                </w:p>
              </w:tc>
              <w:tc>
                <w:tcPr>
                  <w:tcW w:w="1564" w:type="dxa"/>
                  <w:gridSpan w:val="2"/>
                  <w:vAlign w:val="center"/>
                </w:tcPr>
                <w:p>
                  <w:pPr>
                    <w:pStyle w:val="51"/>
                    <w:spacing w:line="240" w:lineRule="auto"/>
                    <w:rPr>
                      <w:rFonts w:eastAsia="宋体"/>
                      <w:color w:val="auto"/>
                    </w:rPr>
                  </w:pPr>
                  <w:r>
                    <w:rPr>
                      <w:rFonts w:eastAsia="宋体"/>
                      <w:color w:val="auto"/>
                    </w:rPr>
                    <w:t>监测点坐标/m</w:t>
                  </w:r>
                </w:p>
              </w:tc>
              <w:tc>
                <w:tcPr>
                  <w:tcW w:w="738" w:type="dxa"/>
                  <w:vMerge w:val="restart"/>
                  <w:vAlign w:val="center"/>
                </w:tcPr>
                <w:p>
                  <w:pPr>
                    <w:pStyle w:val="51"/>
                    <w:spacing w:line="240" w:lineRule="auto"/>
                    <w:rPr>
                      <w:rFonts w:eastAsia="宋体"/>
                      <w:color w:val="auto"/>
                    </w:rPr>
                  </w:pPr>
                  <w:r>
                    <w:rPr>
                      <w:rFonts w:eastAsia="宋体"/>
                      <w:color w:val="auto"/>
                    </w:rPr>
                    <w:t>污染物</w:t>
                  </w:r>
                </w:p>
              </w:tc>
              <w:tc>
                <w:tcPr>
                  <w:tcW w:w="717" w:type="dxa"/>
                  <w:vMerge w:val="restart"/>
                  <w:vAlign w:val="center"/>
                </w:tcPr>
                <w:p>
                  <w:pPr>
                    <w:pStyle w:val="51"/>
                    <w:spacing w:line="240" w:lineRule="auto"/>
                    <w:rPr>
                      <w:rFonts w:eastAsia="宋体"/>
                      <w:color w:val="auto"/>
                    </w:rPr>
                  </w:pPr>
                  <w:r>
                    <w:rPr>
                      <w:rFonts w:eastAsia="宋体"/>
                      <w:color w:val="auto"/>
                    </w:rPr>
                    <w:t>平均时间</w:t>
                  </w:r>
                </w:p>
              </w:tc>
              <w:tc>
                <w:tcPr>
                  <w:tcW w:w="930" w:type="dxa"/>
                  <w:vMerge w:val="restart"/>
                  <w:vAlign w:val="center"/>
                </w:tcPr>
                <w:p>
                  <w:pPr>
                    <w:pStyle w:val="51"/>
                    <w:spacing w:line="240" w:lineRule="auto"/>
                    <w:rPr>
                      <w:rFonts w:eastAsia="宋体"/>
                      <w:color w:val="auto"/>
                    </w:rPr>
                  </w:pPr>
                  <w:r>
                    <w:rPr>
                      <w:rFonts w:eastAsia="宋体"/>
                      <w:color w:val="auto"/>
                    </w:rPr>
                    <w:t>评价标准（ug/m</w:t>
                  </w:r>
                  <w:r>
                    <w:rPr>
                      <w:rFonts w:eastAsia="宋体"/>
                      <w:color w:val="auto"/>
                      <w:vertAlign w:val="superscript"/>
                    </w:rPr>
                    <w:t>3</w:t>
                  </w:r>
                  <w:r>
                    <w:rPr>
                      <w:rFonts w:eastAsia="宋体"/>
                      <w:color w:val="auto"/>
                    </w:rPr>
                    <w:t>）</w:t>
                  </w:r>
                </w:p>
              </w:tc>
              <w:tc>
                <w:tcPr>
                  <w:tcW w:w="930" w:type="dxa"/>
                  <w:vMerge w:val="restart"/>
                  <w:vAlign w:val="center"/>
                </w:tcPr>
                <w:p>
                  <w:pPr>
                    <w:pStyle w:val="51"/>
                    <w:spacing w:line="240" w:lineRule="auto"/>
                    <w:rPr>
                      <w:rFonts w:eastAsia="宋体"/>
                      <w:color w:val="auto"/>
                    </w:rPr>
                  </w:pPr>
                  <w:r>
                    <w:rPr>
                      <w:rFonts w:eastAsia="宋体"/>
                      <w:color w:val="auto"/>
                    </w:rPr>
                    <w:t>监测浓度范围（ug/m</w:t>
                  </w:r>
                  <w:r>
                    <w:rPr>
                      <w:rFonts w:eastAsia="宋体"/>
                      <w:color w:val="auto"/>
                      <w:vertAlign w:val="superscript"/>
                    </w:rPr>
                    <w:t>3</w:t>
                  </w:r>
                  <w:r>
                    <w:rPr>
                      <w:rFonts w:eastAsia="宋体"/>
                      <w:color w:val="auto"/>
                    </w:rPr>
                    <w:t>）</w:t>
                  </w:r>
                </w:p>
              </w:tc>
              <w:tc>
                <w:tcPr>
                  <w:tcW w:w="742" w:type="dxa"/>
                  <w:vMerge w:val="restart"/>
                  <w:vAlign w:val="center"/>
                </w:tcPr>
                <w:p>
                  <w:pPr>
                    <w:pStyle w:val="51"/>
                    <w:spacing w:line="240" w:lineRule="auto"/>
                    <w:rPr>
                      <w:rFonts w:eastAsia="宋体"/>
                      <w:color w:val="auto"/>
                    </w:rPr>
                  </w:pPr>
                  <w:r>
                    <w:rPr>
                      <w:rFonts w:eastAsia="宋体"/>
                      <w:color w:val="auto"/>
                    </w:rPr>
                    <w:t>最大浓度占标率</w:t>
                  </w:r>
                  <w:r>
                    <w:rPr>
                      <w:rFonts w:hint="eastAsia" w:eastAsia="宋体"/>
                      <w:color w:val="auto"/>
                    </w:rPr>
                    <w:t>%</w:t>
                  </w:r>
                </w:p>
              </w:tc>
              <w:tc>
                <w:tcPr>
                  <w:tcW w:w="742" w:type="dxa"/>
                  <w:vMerge w:val="restart"/>
                  <w:vAlign w:val="center"/>
                </w:tcPr>
                <w:p>
                  <w:pPr>
                    <w:pStyle w:val="51"/>
                    <w:spacing w:line="240" w:lineRule="auto"/>
                    <w:rPr>
                      <w:rFonts w:eastAsia="宋体"/>
                      <w:color w:val="auto"/>
                    </w:rPr>
                  </w:pPr>
                  <w:r>
                    <w:rPr>
                      <w:rFonts w:eastAsia="宋体"/>
                      <w:color w:val="auto"/>
                    </w:rPr>
                    <w:t>超标率</w:t>
                  </w:r>
                  <w:r>
                    <w:rPr>
                      <w:rFonts w:hint="eastAsia" w:eastAsia="宋体"/>
                      <w:color w:val="auto"/>
                    </w:rPr>
                    <w:t>%</w:t>
                  </w:r>
                </w:p>
              </w:tc>
              <w:tc>
                <w:tcPr>
                  <w:tcW w:w="718" w:type="dxa"/>
                  <w:vMerge w:val="restart"/>
                  <w:vAlign w:val="center"/>
                </w:tcPr>
                <w:p>
                  <w:pPr>
                    <w:pStyle w:val="51"/>
                    <w:spacing w:line="240" w:lineRule="auto"/>
                    <w:rPr>
                      <w:rFonts w:eastAsia="宋体"/>
                      <w:color w:val="auto"/>
                    </w:rPr>
                  </w:pPr>
                  <w:r>
                    <w:rPr>
                      <w:rFonts w:eastAsia="宋体"/>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7" w:type="dxa"/>
                  <w:vMerge w:val="continue"/>
                  <w:vAlign w:val="center"/>
                </w:tcPr>
                <w:p>
                  <w:pPr>
                    <w:pStyle w:val="51"/>
                    <w:spacing w:line="240" w:lineRule="auto"/>
                    <w:rPr>
                      <w:rFonts w:eastAsia="宋体"/>
                      <w:color w:val="auto"/>
                    </w:rPr>
                  </w:pPr>
                </w:p>
              </w:tc>
              <w:tc>
                <w:tcPr>
                  <w:tcW w:w="775" w:type="dxa"/>
                  <w:vAlign w:val="center"/>
                </w:tcPr>
                <w:p>
                  <w:pPr>
                    <w:pStyle w:val="51"/>
                    <w:spacing w:line="240" w:lineRule="auto"/>
                    <w:rPr>
                      <w:rFonts w:eastAsia="宋体"/>
                      <w:color w:val="auto"/>
                    </w:rPr>
                  </w:pPr>
                  <w:r>
                    <w:rPr>
                      <w:rFonts w:eastAsia="宋体"/>
                      <w:color w:val="auto"/>
                    </w:rPr>
                    <w:t xml:space="preserve">X </w:t>
                  </w:r>
                </w:p>
              </w:tc>
              <w:tc>
                <w:tcPr>
                  <w:tcW w:w="789" w:type="dxa"/>
                  <w:vAlign w:val="center"/>
                </w:tcPr>
                <w:p>
                  <w:pPr>
                    <w:pStyle w:val="51"/>
                    <w:spacing w:line="240" w:lineRule="auto"/>
                    <w:rPr>
                      <w:rFonts w:eastAsia="宋体"/>
                      <w:color w:val="auto"/>
                    </w:rPr>
                  </w:pPr>
                  <w:r>
                    <w:rPr>
                      <w:rFonts w:eastAsia="宋体"/>
                      <w:color w:val="auto"/>
                    </w:rPr>
                    <w:t xml:space="preserve">Y </w:t>
                  </w:r>
                </w:p>
              </w:tc>
              <w:tc>
                <w:tcPr>
                  <w:tcW w:w="738" w:type="dxa"/>
                  <w:vMerge w:val="continue"/>
                  <w:vAlign w:val="center"/>
                </w:tcPr>
                <w:p>
                  <w:pPr>
                    <w:pStyle w:val="51"/>
                    <w:spacing w:line="240" w:lineRule="auto"/>
                    <w:rPr>
                      <w:rFonts w:eastAsia="宋体"/>
                      <w:color w:val="auto"/>
                    </w:rPr>
                  </w:pPr>
                </w:p>
              </w:tc>
              <w:tc>
                <w:tcPr>
                  <w:tcW w:w="717" w:type="dxa"/>
                  <w:vMerge w:val="continue"/>
                  <w:vAlign w:val="center"/>
                </w:tcPr>
                <w:p>
                  <w:pPr>
                    <w:pStyle w:val="51"/>
                    <w:spacing w:line="240" w:lineRule="auto"/>
                    <w:rPr>
                      <w:rFonts w:eastAsia="宋体"/>
                      <w:color w:val="auto"/>
                    </w:rPr>
                  </w:pPr>
                </w:p>
              </w:tc>
              <w:tc>
                <w:tcPr>
                  <w:tcW w:w="930" w:type="dxa"/>
                  <w:vMerge w:val="continue"/>
                  <w:vAlign w:val="center"/>
                </w:tcPr>
                <w:p>
                  <w:pPr>
                    <w:pStyle w:val="51"/>
                    <w:spacing w:line="240" w:lineRule="auto"/>
                    <w:rPr>
                      <w:rFonts w:eastAsia="宋体"/>
                      <w:color w:val="auto"/>
                    </w:rPr>
                  </w:pPr>
                </w:p>
              </w:tc>
              <w:tc>
                <w:tcPr>
                  <w:tcW w:w="930" w:type="dxa"/>
                  <w:vMerge w:val="continue"/>
                  <w:vAlign w:val="center"/>
                </w:tcPr>
                <w:p>
                  <w:pPr>
                    <w:pStyle w:val="51"/>
                    <w:spacing w:line="240" w:lineRule="auto"/>
                    <w:rPr>
                      <w:rFonts w:eastAsia="宋体"/>
                      <w:color w:val="auto"/>
                    </w:rPr>
                  </w:pPr>
                </w:p>
              </w:tc>
              <w:tc>
                <w:tcPr>
                  <w:tcW w:w="742" w:type="dxa"/>
                  <w:vMerge w:val="continue"/>
                  <w:vAlign w:val="center"/>
                </w:tcPr>
                <w:p>
                  <w:pPr>
                    <w:pStyle w:val="51"/>
                    <w:spacing w:line="240" w:lineRule="auto"/>
                    <w:rPr>
                      <w:rFonts w:eastAsia="宋体"/>
                      <w:color w:val="auto"/>
                    </w:rPr>
                  </w:pPr>
                </w:p>
              </w:tc>
              <w:tc>
                <w:tcPr>
                  <w:tcW w:w="742" w:type="dxa"/>
                  <w:vMerge w:val="continue"/>
                  <w:vAlign w:val="center"/>
                </w:tcPr>
                <w:p>
                  <w:pPr>
                    <w:pStyle w:val="51"/>
                    <w:spacing w:line="240" w:lineRule="auto"/>
                    <w:rPr>
                      <w:rFonts w:eastAsia="宋体"/>
                      <w:color w:val="auto"/>
                    </w:rPr>
                  </w:pPr>
                </w:p>
              </w:tc>
              <w:tc>
                <w:tcPr>
                  <w:tcW w:w="718" w:type="dxa"/>
                  <w:vMerge w:val="continue"/>
                  <w:vAlign w:val="center"/>
                </w:tcPr>
                <w:p>
                  <w:pPr>
                    <w:pStyle w:val="51"/>
                    <w:spacing w:line="240" w:lineRule="auto"/>
                    <w:rPr>
                      <w:rFonts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7" w:type="dxa"/>
                  <w:vMerge w:val="restart"/>
                  <w:vAlign w:val="center"/>
                </w:tcPr>
                <w:p>
                  <w:pPr>
                    <w:pStyle w:val="51"/>
                    <w:spacing w:line="240" w:lineRule="auto"/>
                    <w:rPr>
                      <w:rFonts w:eastAsia="宋体"/>
                      <w:color w:val="auto"/>
                    </w:rPr>
                  </w:pPr>
                  <w:r>
                    <w:rPr>
                      <w:rFonts w:hint="eastAsia" w:eastAsia="宋体"/>
                      <w:color w:val="auto"/>
                    </w:rPr>
                    <w:t>常家</w:t>
                  </w:r>
                </w:p>
                <w:p>
                  <w:pPr>
                    <w:pStyle w:val="51"/>
                    <w:spacing w:line="240" w:lineRule="auto"/>
                    <w:rPr>
                      <w:rFonts w:eastAsia="宋体"/>
                      <w:color w:val="auto"/>
                    </w:rPr>
                  </w:pPr>
                  <w:r>
                    <w:rPr>
                      <w:rFonts w:hint="eastAsia" w:eastAsia="宋体"/>
                      <w:color w:val="auto"/>
                    </w:rPr>
                    <w:t>堡村</w:t>
                  </w:r>
                </w:p>
              </w:tc>
              <w:tc>
                <w:tcPr>
                  <w:tcW w:w="775" w:type="dxa"/>
                  <w:vMerge w:val="restart"/>
                  <w:vAlign w:val="center"/>
                </w:tcPr>
                <w:p>
                  <w:pPr>
                    <w:pStyle w:val="51"/>
                    <w:spacing w:line="240" w:lineRule="auto"/>
                    <w:rPr>
                      <w:rFonts w:eastAsia="宋体"/>
                      <w:color w:val="auto"/>
                    </w:rPr>
                  </w:pPr>
                  <w:r>
                    <w:rPr>
                      <w:rFonts w:hint="eastAsia" w:eastAsia="宋体"/>
                      <w:color w:val="auto"/>
                    </w:rPr>
                    <w:t>712261</w:t>
                  </w:r>
                </w:p>
              </w:tc>
              <w:tc>
                <w:tcPr>
                  <w:tcW w:w="789" w:type="dxa"/>
                  <w:vMerge w:val="restart"/>
                  <w:vAlign w:val="center"/>
                </w:tcPr>
                <w:p>
                  <w:pPr>
                    <w:pStyle w:val="51"/>
                    <w:spacing w:line="240" w:lineRule="auto"/>
                    <w:rPr>
                      <w:rFonts w:eastAsia="宋体"/>
                      <w:color w:val="auto"/>
                    </w:rPr>
                  </w:pPr>
                  <w:r>
                    <w:rPr>
                      <w:rFonts w:hint="eastAsia" w:eastAsia="宋体"/>
                      <w:color w:val="auto"/>
                    </w:rPr>
                    <w:t>4418062</w:t>
                  </w:r>
                </w:p>
              </w:tc>
              <w:tc>
                <w:tcPr>
                  <w:tcW w:w="738" w:type="dxa"/>
                  <w:vAlign w:val="center"/>
                </w:tcPr>
                <w:p>
                  <w:pPr>
                    <w:pStyle w:val="51"/>
                    <w:spacing w:line="240" w:lineRule="auto"/>
                    <w:rPr>
                      <w:rFonts w:eastAsia="宋体"/>
                      <w:color w:val="auto"/>
                    </w:rPr>
                  </w:pPr>
                  <w:r>
                    <w:rPr>
                      <w:rFonts w:hint="eastAsia" w:eastAsia="宋体"/>
                      <w:color w:val="auto"/>
                    </w:rPr>
                    <w:t>TSP</w:t>
                  </w:r>
                </w:p>
              </w:tc>
              <w:tc>
                <w:tcPr>
                  <w:tcW w:w="717" w:type="dxa"/>
                  <w:vAlign w:val="center"/>
                </w:tcPr>
                <w:p>
                  <w:pPr>
                    <w:pStyle w:val="51"/>
                    <w:spacing w:line="240" w:lineRule="auto"/>
                    <w:rPr>
                      <w:rFonts w:eastAsia="宋体"/>
                      <w:color w:val="auto"/>
                    </w:rPr>
                  </w:pPr>
                  <w:r>
                    <w:rPr>
                      <w:rFonts w:hint="eastAsia" w:eastAsia="宋体"/>
                      <w:color w:val="auto"/>
                    </w:rPr>
                    <w:t>24小时平均</w:t>
                  </w:r>
                </w:p>
              </w:tc>
              <w:tc>
                <w:tcPr>
                  <w:tcW w:w="930"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120</w:t>
                  </w:r>
                </w:p>
              </w:tc>
              <w:tc>
                <w:tcPr>
                  <w:tcW w:w="930"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105~147</w:t>
                  </w:r>
                </w:p>
              </w:tc>
              <w:tc>
                <w:tcPr>
                  <w:tcW w:w="742"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122.5</w:t>
                  </w:r>
                </w:p>
              </w:tc>
              <w:tc>
                <w:tcPr>
                  <w:tcW w:w="742"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85.7</w:t>
                  </w:r>
                </w:p>
              </w:tc>
              <w:tc>
                <w:tcPr>
                  <w:tcW w:w="718" w:type="dxa"/>
                  <w:vAlign w:val="center"/>
                </w:tcPr>
                <w:p>
                  <w:pPr>
                    <w:pStyle w:val="51"/>
                    <w:spacing w:line="240" w:lineRule="auto"/>
                    <w:rPr>
                      <w:rFonts w:eastAsia="宋体"/>
                      <w:color w:val="auto"/>
                    </w:rPr>
                  </w:pPr>
                  <w:r>
                    <w:rPr>
                      <w:rFonts w:hint="eastAsia" w:eastAsia="宋体"/>
                      <w:color w:val="auto"/>
                      <w:lang w:val="en-US" w:eastAsia="zh-CN"/>
                    </w:rPr>
                    <w:t>超</w:t>
                  </w:r>
                  <w:r>
                    <w:rPr>
                      <w:rFonts w:hint="eastAsia" w:eastAsia="宋体"/>
                      <w:color w:val="auto"/>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7" w:type="dxa"/>
                  <w:vMerge w:val="continue"/>
                  <w:vAlign w:val="center"/>
                </w:tcPr>
                <w:p>
                  <w:pPr>
                    <w:pStyle w:val="51"/>
                    <w:spacing w:line="240" w:lineRule="auto"/>
                    <w:rPr>
                      <w:rFonts w:eastAsia="宋体"/>
                      <w:color w:val="auto"/>
                    </w:rPr>
                  </w:pPr>
                </w:p>
              </w:tc>
              <w:tc>
                <w:tcPr>
                  <w:tcW w:w="775" w:type="dxa"/>
                  <w:vMerge w:val="continue"/>
                  <w:vAlign w:val="center"/>
                </w:tcPr>
                <w:p>
                  <w:pPr>
                    <w:pStyle w:val="51"/>
                    <w:spacing w:line="240" w:lineRule="auto"/>
                    <w:rPr>
                      <w:rFonts w:eastAsia="宋体"/>
                      <w:color w:val="auto"/>
                    </w:rPr>
                  </w:pPr>
                </w:p>
              </w:tc>
              <w:tc>
                <w:tcPr>
                  <w:tcW w:w="789" w:type="dxa"/>
                  <w:vMerge w:val="continue"/>
                  <w:vAlign w:val="center"/>
                </w:tcPr>
                <w:p>
                  <w:pPr>
                    <w:pStyle w:val="51"/>
                    <w:spacing w:line="240" w:lineRule="auto"/>
                    <w:rPr>
                      <w:rFonts w:eastAsia="宋体"/>
                      <w:color w:val="auto"/>
                    </w:rPr>
                  </w:pPr>
                </w:p>
              </w:tc>
              <w:tc>
                <w:tcPr>
                  <w:tcW w:w="738" w:type="dxa"/>
                  <w:vAlign w:val="center"/>
                </w:tcPr>
                <w:p>
                  <w:pPr>
                    <w:pStyle w:val="51"/>
                    <w:spacing w:line="240" w:lineRule="auto"/>
                    <w:rPr>
                      <w:rFonts w:eastAsia="宋体"/>
                      <w:color w:val="auto"/>
                    </w:rPr>
                  </w:pPr>
                  <w:r>
                    <w:rPr>
                      <w:rFonts w:hint="eastAsia" w:eastAsia="宋体"/>
                      <w:color w:val="auto"/>
                    </w:rPr>
                    <w:t>苯并芘</w:t>
                  </w:r>
                </w:p>
              </w:tc>
              <w:tc>
                <w:tcPr>
                  <w:tcW w:w="717" w:type="dxa"/>
                  <w:vAlign w:val="center"/>
                </w:tcPr>
                <w:p>
                  <w:pPr>
                    <w:pStyle w:val="51"/>
                    <w:spacing w:line="240" w:lineRule="auto"/>
                    <w:rPr>
                      <w:rFonts w:eastAsia="宋体"/>
                      <w:color w:val="auto"/>
                    </w:rPr>
                  </w:pPr>
                  <w:r>
                    <w:rPr>
                      <w:rFonts w:hint="eastAsia" w:eastAsia="宋体"/>
                      <w:color w:val="auto"/>
                    </w:rPr>
                    <w:t>24小时平均</w:t>
                  </w:r>
                </w:p>
              </w:tc>
              <w:tc>
                <w:tcPr>
                  <w:tcW w:w="930" w:type="dxa"/>
                  <w:vAlign w:val="center"/>
                </w:tcPr>
                <w:p>
                  <w:pPr>
                    <w:pStyle w:val="51"/>
                    <w:spacing w:line="240" w:lineRule="auto"/>
                    <w:rPr>
                      <w:rFonts w:eastAsia="宋体"/>
                      <w:color w:val="auto"/>
                    </w:rPr>
                  </w:pPr>
                  <w:r>
                    <w:rPr>
                      <w:rFonts w:hint="eastAsia" w:eastAsia="宋体"/>
                      <w:color w:val="auto"/>
                    </w:rPr>
                    <w:t>0.0025</w:t>
                  </w:r>
                </w:p>
              </w:tc>
              <w:tc>
                <w:tcPr>
                  <w:tcW w:w="930"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0.0010~0.0015</w:t>
                  </w:r>
                </w:p>
              </w:tc>
              <w:tc>
                <w:tcPr>
                  <w:tcW w:w="742"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60.0</w:t>
                  </w:r>
                </w:p>
              </w:tc>
              <w:tc>
                <w:tcPr>
                  <w:tcW w:w="742" w:type="dxa"/>
                  <w:vAlign w:val="center"/>
                </w:tcPr>
                <w:p>
                  <w:pPr>
                    <w:pStyle w:val="51"/>
                    <w:spacing w:line="240" w:lineRule="auto"/>
                    <w:rPr>
                      <w:rFonts w:eastAsia="宋体"/>
                      <w:color w:val="auto"/>
                    </w:rPr>
                  </w:pPr>
                  <w:r>
                    <w:rPr>
                      <w:rFonts w:hint="eastAsia" w:eastAsia="宋体"/>
                      <w:color w:val="auto"/>
                    </w:rPr>
                    <w:t>0</w:t>
                  </w:r>
                </w:p>
              </w:tc>
              <w:tc>
                <w:tcPr>
                  <w:tcW w:w="718" w:type="dxa"/>
                  <w:vAlign w:val="center"/>
                </w:tcPr>
                <w:p>
                  <w:pPr>
                    <w:pStyle w:val="51"/>
                    <w:spacing w:line="240" w:lineRule="auto"/>
                    <w:rPr>
                      <w:rFonts w:eastAsia="宋体"/>
                      <w:color w:val="auto"/>
                    </w:rPr>
                  </w:pPr>
                  <w:r>
                    <w:rPr>
                      <w:rFonts w:hint="eastAsia" w:eastAsia="宋体"/>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7" w:type="dxa"/>
                  <w:vMerge w:val="restart"/>
                  <w:vAlign w:val="center"/>
                </w:tcPr>
                <w:p>
                  <w:pPr>
                    <w:pStyle w:val="51"/>
                    <w:spacing w:line="240" w:lineRule="auto"/>
                    <w:rPr>
                      <w:rFonts w:hint="eastAsia" w:eastAsia="宋体"/>
                      <w:color w:val="auto"/>
                      <w:lang w:val="en-US" w:eastAsia="zh-CN"/>
                    </w:rPr>
                  </w:pPr>
                  <w:r>
                    <w:rPr>
                      <w:rFonts w:hint="eastAsia" w:eastAsia="宋体"/>
                      <w:color w:val="auto"/>
                      <w:lang w:val="en-US" w:eastAsia="zh-CN"/>
                    </w:rPr>
                    <w:t>利仁</w:t>
                  </w:r>
                </w:p>
                <w:p>
                  <w:pPr>
                    <w:pStyle w:val="51"/>
                    <w:spacing w:line="240" w:lineRule="auto"/>
                    <w:rPr>
                      <w:rFonts w:hint="eastAsia" w:eastAsia="宋体"/>
                      <w:color w:val="auto"/>
                      <w:lang w:val="en-US" w:eastAsia="zh-CN"/>
                    </w:rPr>
                  </w:pPr>
                  <w:r>
                    <w:rPr>
                      <w:rFonts w:hint="eastAsia" w:eastAsia="宋体"/>
                      <w:color w:val="auto"/>
                      <w:lang w:val="en-US" w:eastAsia="zh-CN"/>
                    </w:rPr>
                    <w:t>皂村</w:t>
                  </w:r>
                </w:p>
              </w:tc>
              <w:tc>
                <w:tcPr>
                  <w:tcW w:w="775" w:type="dxa"/>
                  <w:vMerge w:val="restart"/>
                  <w:vAlign w:val="center"/>
                </w:tcPr>
                <w:p>
                  <w:pPr>
                    <w:pStyle w:val="51"/>
                    <w:spacing w:line="240" w:lineRule="auto"/>
                    <w:rPr>
                      <w:rFonts w:hint="default" w:eastAsia="宋体"/>
                      <w:color w:val="auto"/>
                      <w:lang w:val="en-US" w:eastAsia="zh-CN"/>
                    </w:rPr>
                  </w:pPr>
                  <w:r>
                    <w:rPr>
                      <w:rFonts w:hint="eastAsia" w:eastAsia="宋体"/>
                      <w:color w:val="auto"/>
                      <w:lang w:val="en-US" w:eastAsia="zh-CN"/>
                    </w:rPr>
                    <w:t>707691</w:t>
                  </w:r>
                </w:p>
              </w:tc>
              <w:tc>
                <w:tcPr>
                  <w:tcW w:w="789" w:type="dxa"/>
                  <w:vMerge w:val="restart"/>
                  <w:vAlign w:val="center"/>
                </w:tcPr>
                <w:p>
                  <w:pPr>
                    <w:pStyle w:val="51"/>
                    <w:spacing w:line="240" w:lineRule="auto"/>
                    <w:rPr>
                      <w:rFonts w:hint="default" w:eastAsia="宋体"/>
                      <w:color w:val="auto"/>
                      <w:lang w:val="en-US" w:eastAsia="zh-CN"/>
                    </w:rPr>
                  </w:pPr>
                  <w:r>
                    <w:rPr>
                      <w:rFonts w:hint="eastAsia" w:eastAsia="宋体"/>
                      <w:color w:val="auto"/>
                      <w:lang w:val="en-US" w:eastAsia="zh-CN"/>
                    </w:rPr>
                    <w:t>4417001</w:t>
                  </w:r>
                </w:p>
              </w:tc>
              <w:tc>
                <w:tcPr>
                  <w:tcW w:w="738" w:type="dxa"/>
                  <w:vAlign w:val="center"/>
                </w:tcPr>
                <w:p>
                  <w:pPr>
                    <w:pStyle w:val="51"/>
                    <w:spacing w:line="240" w:lineRule="auto"/>
                    <w:rPr>
                      <w:rFonts w:hint="eastAsia" w:ascii="Times New Roman" w:hAnsi="Times New Roman" w:eastAsia="宋体" w:cs="Times New Roman"/>
                      <w:color w:val="auto"/>
                      <w:kern w:val="2"/>
                      <w:sz w:val="21"/>
                      <w:szCs w:val="21"/>
                      <w:lang w:val="en-US" w:eastAsia="zh-CN" w:bidi="ar-SA"/>
                    </w:rPr>
                  </w:pPr>
                  <w:r>
                    <w:rPr>
                      <w:rFonts w:hint="eastAsia" w:eastAsia="宋体"/>
                      <w:color w:val="auto"/>
                    </w:rPr>
                    <w:t>TSP</w:t>
                  </w:r>
                </w:p>
              </w:tc>
              <w:tc>
                <w:tcPr>
                  <w:tcW w:w="717" w:type="dxa"/>
                  <w:vAlign w:val="center"/>
                </w:tcPr>
                <w:p>
                  <w:pPr>
                    <w:pStyle w:val="51"/>
                    <w:spacing w:line="240" w:lineRule="auto"/>
                    <w:rPr>
                      <w:rFonts w:hint="eastAsia" w:ascii="Times New Roman" w:hAnsi="Times New Roman" w:eastAsia="宋体" w:cs="Times New Roman"/>
                      <w:color w:val="auto"/>
                      <w:kern w:val="2"/>
                      <w:sz w:val="21"/>
                      <w:szCs w:val="21"/>
                      <w:lang w:val="en-US" w:eastAsia="zh-CN" w:bidi="ar-SA"/>
                    </w:rPr>
                  </w:pPr>
                  <w:r>
                    <w:rPr>
                      <w:rFonts w:hint="eastAsia" w:eastAsia="宋体"/>
                      <w:color w:val="auto"/>
                    </w:rPr>
                    <w:t>24小时平均</w:t>
                  </w:r>
                </w:p>
              </w:tc>
              <w:tc>
                <w:tcPr>
                  <w:tcW w:w="930" w:type="dxa"/>
                  <w:vAlign w:val="center"/>
                </w:tcPr>
                <w:p>
                  <w:pPr>
                    <w:pStyle w:val="51"/>
                    <w:spacing w:line="240" w:lineRule="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300</w:t>
                  </w:r>
                </w:p>
              </w:tc>
              <w:tc>
                <w:tcPr>
                  <w:tcW w:w="930"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115~170</w:t>
                  </w:r>
                </w:p>
              </w:tc>
              <w:tc>
                <w:tcPr>
                  <w:tcW w:w="742"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56.7</w:t>
                  </w:r>
                </w:p>
              </w:tc>
              <w:tc>
                <w:tcPr>
                  <w:tcW w:w="742" w:type="dxa"/>
                  <w:vAlign w:val="center"/>
                </w:tcPr>
                <w:p>
                  <w:pPr>
                    <w:pStyle w:val="51"/>
                    <w:spacing w:line="240" w:lineRule="auto"/>
                    <w:rPr>
                      <w:rFonts w:hint="eastAsia" w:eastAsia="宋体"/>
                      <w:color w:val="auto"/>
                      <w:lang w:val="en-US" w:eastAsia="zh-CN"/>
                    </w:rPr>
                  </w:pPr>
                  <w:r>
                    <w:rPr>
                      <w:rFonts w:hint="eastAsia" w:eastAsia="宋体"/>
                      <w:color w:val="auto"/>
                      <w:lang w:val="en-US" w:eastAsia="zh-CN"/>
                    </w:rPr>
                    <w:t>0</w:t>
                  </w:r>
                </w:p>
              </w:tc>
              <w:tc>
                <w:tcPr>
                  <w:tcW w:w="718" w:type="dxa"/>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7" w:type="dxa"/>
                  <w:vMerge w:val="continue"/>
                  <w:vAlign w:val="center"/>
                </w:tcPr>
                <w:p>
                  <w:pPr>
                    <w:pStyle w:val="51"/>
                    <w:spacing w:line="240" w:lineRule="auto"/>
                    <w:rPr>
                      <w:rFonts w:eastAsia="宋体"/>
                      <w:color w:val="auto"/>
                    </w:rPr>
                  </w:pPr>
                </w:p>
              </w:tc>
              <w:tc>
                <w:tcPr>
                  <w:tcW w:w="775" w:type="dxa"/>
                  <w:vMerge w:val="continue"/>
                  <w:vAlign w:val="center"/>
                </w:tcPr>
                <w:p>
                  <w:pPr>
                    <w:pStyle w:val="51"/>
                    <w:spacing w:line="240" w:lineRule="auto"/>
                    <w:rPr>
                      <w:rFonts w:eastAsia="宋体"/>
                      <w:color w:val="auto"/>
                    </w:rPr>
                  </w:pPr>
                </w:p>
              </w:tc>
              <w:tc>
                <w:tcPr>
                  <w:tcW w:w="789" w:type="dxa"/>
                  <w:vMerge w:val="continue"/>
                  <w:vAlign w:val="center"/>
                </w:tcPr>
                <w:p>
                  <w:pPr>
                    <w:pStyle w:val="51"/>
                    <w:spacing w:line="240" w:lineRule="auto"/>
                    <w:rPr>
                      <w:rFonts w:eastAsia="宋体"/>
                      <w:color w:val="auto"/>
                    </w:rPr>
                  </w:pPr>
                </w:p>
              </w:tc>
              <w:tc>
                <w:tcPr>
                  <w:tcW w:w="738" w:type="dxa"/>
                  <w:vAlign w:val="center"/>
                </w:tcPr>
                <w:p>
                  <w:pPr>
                    <w:pStyle w:val="51"/>
                    <w:spacing w:line="240" w:lineRule="auto"/>
                    <w:rPr>
                      <w:rFonts w:hint="eastAsia" w:ascii="Times New Roman" w:hAnsi="Times New Roman" w:eastAsia="宋体" w:cs="Times New Roman"/>
                      <w:color w:val="auto"/>
                      <w:kern w:val="2"/>
                      <w:sz w:val="21"/>
                      <w:szCs w:val="21"/>
                      <w:lang w:val="en-US" w:eastAsia="zh-CN" w:bidi="ar-SA"/>
                    </w:rPr>
                  </w:pPr>
                  <w:r>
                    <w:rPr>
                      <w:rFonts w:hint="eastAsia" w:eastAsia="宋体"/>
                      <w:color w:val="auto"/>
                    </w:rPr>
                    <w:t>苯并芘</w:t>
                  </w:r>
                </w:p>
              </w:tc>
              <w:tc>
                <w:tcPr>
                  <w:tcW w:w="717" w:type="dxa"/>
                  <w:vAlign w:val="center"/>
                </w:tcPr>
                <w:p>
                  <w:pPr>
                    <w:pStyle w:val="51"/>
                    <w:spacing w:line="240" w:lineRule="auto"/>
                    <w:rPr>
                      <w:rFonts w:hint="eastAsia" w:ascii="Times New Roman" w:hAnsi="Times New Roman" w:eastAsia="宋体" w:cs="Times New Roman"/>
                      <w:color w:val="auto"/>
                      <w:kern w:val="2"/>
                      <w:sz w:val="21"/>
                      <w:szCs w:val="21"/>
                      <w:lang w:val="en-US" w:eastAsia="zh-CN" w:bidi="ar-SA"/>
                    </w:rPr>
                  </w:pPr>
                  <w:r>
                    <w:rPr>
                      <w:rFonts w:hint="eastAsia" w:eastAsia="宋体"/>
                      <w:color w:val="auto"/>
                    </w:rPr>
                    <w:t>24小时平均</w:t>
                  </w:r>
                </w:p>
              </w:tc>
              <w:tc>
                <w:tcPr>
                  <w:tcW w:w="930" w:type="dxa"/>
                  <w:vAlign w:val="center"/>
                </w:tcPr>
                <w:p>
                  <w:pPr>
                    <w:pStyle w:val="51"/>
                    <w:spacing w:line="240" w:lineRule="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0.0025</w:t>
                  </w:r>
                </w:p>
              </w:tc>
              <w:tc>
                <w:tcPr>
                  <w:tcW w:w="930"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0.0006~0.0022</w:t>
                  </w:r>
                </w:p>
              </w:tc>
              <w:tc>
                <w:tcPr>
                  <w:tcW w:w="742" w:type="dxa"/>
                  <w:vAlign w:val="center"/>
                </w:tcPr>
                <w:p>
                  <w:pPr>
                    <w:pStyle w:val="51"/>
                    <w:spacing w:line="240" w:lineRule="auto"/>
                    <w:rPr>
                      <w:rFonts w:hint="default" w:eastAsia="宋体"/>
                      <w:color w:val="auto"/>
                      <w:lang w:val="en-US" w:eastAsia="zh-CN"/>
                    </w:rPr>
                  </w:pPr>
                  <w:r>
                    <w:rPr>
                      <w:rFonts w:hint="eastAsia" w:eastAsia="宋体"/>
                      <w:color w:val="auto"/>
                      <w:lang w:val="en-US" w:eastAsia="zh-CN"/>
                    </w:rPr>
                    <w:t>88.0</w:t>
                  </w:r>
                </w:p>
              </w:tc>
              <w:tc>
                <w:tcPr>
                  <w:tcW w:w="742" w:type="dxa"/>
                  <w:vAlign w:val="center"/>
                </w:tcPr>
                <w:p>
                  <w:pPr>
                    <w:pStyle w:val="51"/>
                    <w:spacing w:line="240" w:lineRule="auto"/>
                    <w:rPr>
                      <w:rFonts w:hint="eastAsia" w:eastAsia="宋体"/>
                      <w:color w:val="auto"/>
                      <w:lang w:val="en-US" w:eastAsia="zh-CN"/>
                    </w:rPr>
                  </w:pPr>
                  <w:r>
                    <w:rPr>
                      <w:rFonts w:hint="eastAsia" w:eastAsia="宋体"/>
                      <w:color w:val="auto"/>
                      <w:lang w:val="en-US" w:eastAsia="zh-CN"/>
                    </w:rPr>
                    <w:t>0</w:t>
                  </w:r>
                </w:p>
              </w:tc>
              <w:tc>
                <w:tcPr>
                  <w:tcW w:w="718" w:type="dxa"/>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rPr>
                    <w:t>达标</w:t>
                  </w:r>
                </w:p>
              </w:tc>
            </w:tr>
          </w:tbl>
          <w:p>
            <w:pPr>
              <w:pStyle w:val="52"/>
              <w:spacing w:before="0" w:after="0" w:line="360" w:lineRule="auto"/>
              <w:ind w:firstLine="496"/>
              <w:rPr>
                <w:rFonts w:hint="default" w:cs="Times New Roman"/>
                <w:color w:val="auto"/>
                <w:sz w:val="24"/>
                <w:szCs w:val="24"/>
                <w:lang w:val="en-US" w:eastAsia="zh-CN"/>
              </w:rPr>
            </w:pPr>
            <w:r>
              <w:rPr>
                <w:rFonts w:ascii="Times New Roman" w:hAnsi="Times New Roman" w:cs="Times New Roman"/>
                <w:color w:val="auto"/>
                <w:sz w:val="24"/>
                <w:szCs w:val="24"/>
              </w:rPr>
              <w:t>常家堡村TSP日平均浓度范围为</w:t>
            </w:r>
            <w:r>
              <w:rPr>
                <w:rFonts w:hint="eastAsia" w:ascii="Times New Roman" w:hAnsi="Times New Roman" w:cs="Times New Roman"/>
                <w:color w:val="auto"/>
                <w:sz w:val="24"/>
                <w:szCs w:val="24"/>
              </w:rPr>
              <w:t>105</w:t>
            </w:r>
            <w:r>
              <w:rPr>
                <w:rFonts w:ascii="Times New Roman" w:hAnsi="Times New Roman" w:cs="Times New Roman"/>
                <w:color w:val="auto"/>
                <w:sz w:val="24"/>
                <w:szCs w:val="24"/>
              </w:rPr>
              <w:t>～</w:t>
            </w:r>
            <w:r>
              <w:rPr>
                <w:rFonts w:hint="eastAsia" w:ascii="Times New Roman" w:hAnsi="Times New Roman" w:cs="Times New Roman"/>
                <w:color w:val="auto"/>
                <w:sz w:val="24"/>
                <w:szCs w:val="24"/>
              </w:rPr>
              <w:t>147</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ascii="Times New Roman" w:hAnsi="Times New Roman" w:cs="Times New Roman"/>
                <w:color w:val="auto"/>
                <w:sz w:val="24"/>
                <w:szCs w:val="24"/>
              </w:rPr>
              <w:t>122.5</w:t>
            </w:r>
            <w:r>
              <w:rPr>
                <w:rFonts w:ascii="Times New Roman" w:hAnsi="Times New Roman" w:cs="Times New Roman"/>
                <w:color w:val="auto"/>
                <w:sz w:val="24"/>
                <w:szCs w:val="24"/>
              </w:rPr>
              <w:t>%，超标率</w:t>
            </w:r>
            <w:r>
              <w:rPr>
                <w:rFonts w:hint="eastAsia" w:ascii="Times New Roman" w:hAnsi="Times New Roman" w:cs="Times New Roman"/>
                <w:color w:val="auto"/>
                <w:sz w:val="24"/>
                <w:szCs w:val="24"/>
              </w:rPr>
              <w:t>85.7</w:t>
            </w:r>
            <w:r>
              <w:rPr>
                <w:rFonts w:ascii="Times New Roman" w:hAnsi="Times New Roman" w:cs="Times New Roman"/>
                <w:color w:val="auto"/>
                <w:sz w:val="24"/>
                <w:szCs w:val="24"/>
              </w:rPr>
              <w:t>%；利仁皂村TSP日平均浓度范围为</w:t>
            </w:r>
            <w:r>
              <w:rPr>
                <w:rFonts w:hint="eastAsia" w:ascii="Times New Roman" w:hAnsi="Times New Roman" w:cs="Times New Roman"/>
                <w:color w:val="auto"/>
                <w:sz w:val="24"/>
                <w:szCs w:val="24"/>
              </w:rPr>
              <w:t>115</w:t>
            </w:r>
            <w:r>
              <w:rPr>
                <w:rFonts w:ascii="Times New Roman" w:hAnsi="Times New Roman" w:cs="Times New Roman"/>
                <w:color w:val="auto"/>
                <w:sz w:val="24"/>
                <w:szCs w:val="24"/>
              </w:rPr>
              <w:t>～</w:t>
            </w:r>
            <w:r>
              <w:rPr>
                <w:rFonts w:hint="eastAsia" w:ascii="Times New Roman" w:hAnsi="Times New Roman" w:cs="Times New Roman"/>
                <w:color w:val="auto"/>
                <w:sz w:val="24"/>
                <w:szCs w:val="24"/>
              </w:rPr>
              <w:t>170</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ascii="Times New Roman" w:hAnsi="Times New Roman" w:cs="Times New Roman"/>
                <w:color w:val="auto"/>
                <w:sz w:val="24"/>
                <w:szCs w:val="24"/>
              </w:rPr>
              <w:t>56.7</w:t>
            </w:r>
            <w:r>
              <w:rPr>
                <w:rFonts w:ascii="Times New Roman" w:hAnsi="Times New Roman" w:cs="Times New Roman"/>
                <w:color w:val="auto"/>
                <w:sz w:val="24"/>
                <w:szCs w:val="24"/>
              </w:rPr>
              <w:t>%，超标率</w:t>
            </w:r>
            <w:r>
              <w:rPr>
                <w:rFonts w:hint="eastAsia" w:ascii="Times New Roman" w:hAnsi="Times New Roman" w:cs="Times New Roman"/>
                <w:color w:val="auto"/>
                <w:sz w:val="24"/>
                <w:szCs w:val="24"/>
              </w:rPr>
              <w:t>0%</w:t>
            </w:r>
            <w:r>
              <w:rPr>
                <w:rFonts w:hint="eastAsia" w:cs="Times New Roman"/>
                <w:color w:val="auto"/>
                <w:sz w:val="24"/>
                <w:szCs w:val="24"/>
                <w:lang w:eastAsia="zh-CN"/>
              </w:rPr>
              <w:t>。</w:t>
            </w:r>
            <w:r>
              <w:rPr>
                <w:rFonts w:hint="eastAsia" w:cs="Times New Roman"/>
                <w:color w:val="auto"/>
                <w:sz w:val="24"/>
                <w:szCs w:val="24"/>
                <w:lang w:val="en-US" w:eastAsia="zh-CN"/>
              </w:rPr>
              <w:t>项目环境空气一类功能区TSP出现了超标，超标与监测期间区域气候干燥、植被稀少和地面裸露有关；二类功能区TSP环境空气质量状况较好。</w:t>
            </w:r>
          </w:p>
          <w:p>
            <w:pPr>
              <w:pStyle w:val="52"/>
              <w:spacing w:before="0" w:after="0" w:line="360" w:lineRule="auto"/>
              <w:ind w:firstLine="496"/>
              <w:rPr>
                <w:rFonts w:hint="default" w:cs="Times New Roman"/>
                <w:color w:val="auto"/>
                <w:sz w:val="24"/>
                <w:szCs w:val="24"/>
                <w:lang w:val="en-US" w:eastAsia="zh-CN"/>
              </w:rPr>
            </w:pPr>
            <w:r>
              <w:rPr>
                <w:rFonts w:ascii="Times New Roman" w:hAnsi="Times New Roman" w:cs="Times New Roman"/>
                <w:color w:val="auto"/>
                <w:sz w:val="24"/>
                <w:szCs w:val="24"/>
              </w:rPr>
              <w:t>常家堡村</w:t>
            </w:r>
            <w:r>
              <w:rPr>
                <w:rFonts w:hint="eastAsia" w:cs="Times New Roman"/>
                <w:color w:val="auto"/>
                <w:sz w:val="24"/>
                <w:szCs w:val="24"/>
                <w:lang w:val="en-US" w:eastAsia="zh-CN"/>
              </w:rPr>
              <w:t>苯并芘</w:t>
            </w:r>
            <w:r>
              <w:rPr>
                <w:rFonts w:ascii="Times New Roman" w:hAnsi="Times New Roman" w:cs="Times New Roman"/>
                <w:color w:val="auto"/>
                <w:sz w:val="24"/>
                <w:szCs w:val="24"/>
              </w:rPr>
              <w:t>日平均浓度范围为</w:t>
            </w:r>
            <w:r>
              <w:rPr>
                <w:rFonts w:hint="eastAsia" w:cs="Times New Roman"/>
                <w:color w:val="auto"/>
                <w:sz w:val="24"/>
                <w:szCs w:val="24"/>
                <w:lang w:val="en-US" w:eastAsia="zh-CN"/>
              </w:rPr>
              <w:t>0.0010</w:t>
            </w:r>
            <w:r>
              <w:rPr>
                <w:rFonts w:ascii="Times New Roman" w:hAnsi="Times New Roman" w:cs="Times New Roman"/>
                <w:color w:val="auto"/>
                <w:sz w:val="24"/>
                <w:szCs w:val="24"/>
              </w:rPr>
              <w:t>～</w:t>
            </w:r>
            <w:r>
              <w:rPr>
                <w:rFonts w:hint="eastAsia" w:cs="Times New Roman"/>
                <w:color w:val="auto"/>
                <w:sz w:val="24"/>
                <w:szCs w:val="24"/>
                <w:lang w:val="en-US" w:eastAsia="zh-CN"/>
              </w:rPr>
              <w:t>0.0015</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cs="Times New Roman"/>
                <w:color w:val="auto"/>
                <w:sz w:val="24"/>
                <w:szCs w:val="24"/>
                <w:lang w:val="en-US" w:eastAsia="zh-CN"/>
              </w:rPr>
              <w:t>60</w:t>
            </w:r>
            <w:r>
              <w:rPr>
                <w:rFonts w:ascii="Times New Roman" w:hAnsi="Times New Roman" w:cs="Times New Roman"/>
                <w:color w:val="auto"/>
                <w:sz w:val="24"/>
                <w:szCs w:val="24"/>
              </w:rPr>
              <w:t>%，超标率</w:t>
            </w:r>
            <w:r>
              <w:rPr>
                <w:rFonts w:hint="eastAsia" w:cs="Times New Roman"/>
                <w:color w:val="auto"/>
                <w:sz w:val="24"/>
                <w:szCs w:val="24"/>
                <w:lang w:val="en-US" w:eastAsia="zh-CN"/>
              </w:rPr>
              <w:t>0</w:t>
            </w:r>
            <w:r>
              <w:rPr>
                <w:rFonts w:ascii="Times New Roman" w:hAnsi="Times New Roman" w:cs="Times New Roman"/>
                <w:color w:val="auto"/>
                <w:sz w:val="24"/>
                <w:szCs w:val="24"/>
              </w:rPr>
              <w:t>%；利仁皂村</w:t>
            </w:r>
            <w:r>
              <w:rPr>
                <w:rFonts w:hint="eastAsia" w:cs="Times New Roman"/>
                <w:color w:val="auto"/>
                <w:sz w:val="24"/>
                <w:szCs w:val="24"/>
                <w:lang w:val="en-US" w:eastAsia="zh-CN"/>
              </w:rPr>
              <w:t>苯并芘</w:t>
            </w:r>
            <w:r>
              <w:rPr>
                <w:rFonts w:ascii="Times New Roman" w:hAnsi="Times New Roman" w:cs="Times New Roman"/>
                <w:color w:val="auto"/>
                <w:sz w:val="24"/>
                <w:szCs w:val="24"/>
              </w:rPr>
              <w:t>日平均浓度范围为</w:t>
            </w:r>
            <w:r>
              <w:rPr>
                <w:rFonts w:hint="eastAsia" w:cs="Times New Roman"/>
                <w:color w:val="auto"/>
                <w:sz w:val="24"/>
                <w:szCs w:val="24"/>
                <w:lang w:val="en-US" w:eastAsia="zh-CN"/>
              </w:rPr>
              <w:t>0.0006</w:t>
            </w:r>
            <w:r>
              <w:rPr>
                <w:rFonts w:ascii="Times New Roman" w:hAnsi="Times New Roman" w:cs="Times New Roman"/>
                <w:color w:val="auto"/>
                <w:sz w:val="24"/>
                <w:szCs w:val="24"/>
              </w:rPr>
              <w:t>～</w:t>
            </w:r>
            <w:r>
              <w:rPr>
                <w:rFonts w:hint="eastAsia" w:cs="Times New Roman"/>
                <w:color w:val="auto"/>
                <w:sz w:val="24"/>
                <w:szCs w:val="24"/>
                <w:lang w:val="en-US" w:eastAsia="zh-CN"/>
              </w:rPr>
              <w:t>0.0022</w:t>
            </w:r>
            <w:r>
              <w:rPr>
                <w:rFonts w:ascii="Times New Roman" w:hAnsi="Times New Roman" w:cs="Times New Roman"/>
                <w:color w:val="auto"/>
                <w:sz w:val="24"/>
                <w:szCs w:val="24"/>
              </w:rPr>
              <w:t>µg/Nm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之间，最大质量浓度占标率为</w:t>
            </w:r>
            <w:r>
              <w:rPr>
                <w:rFonts w:hint="eastAsia" w:cs="Times New Roman"/>
                <w:color w:val="auto"/>
                <w:sz w:val="24"/>
                <w:szCs w:val="24"/>
                <w:lang w:val="en-US" w:eastAsia="zh-CN"/>
              </w:rPr>
              <w:t>88</w:t>
            </w:r>
            <w:r>
              <w:rPr>
                <w:rFonts w:ascii="Times New Roman" w:hAnsi="Times New Roman" w:cs="Times New Roman"/>
                <w:color w:val="auto"/>
                <w:sz w:val="24"/>
                <w:szCs w:val="24"/>
              </w:rPr>
              <w:t>%，超标率</w:t>
            </w:r>
            <w:r>
              <w:rPr>
                <w:rFonts w:hint="eastAsia" w:ascii="Times New Roman" w:hAnsi="Times New Roman" w:cs="Times New Roman"/>
                <w:color w:val="auto"/>
                <w:sz w:val="24"/>
                <w:szCs w:val="24"/>
              </w:rPr>
              <w:t>0%</w:t>
            </w:r>
            <w:r>
              <w:rPr>
                <w:rFonts w:hint="eastAsia" w:cs="Times New Roman"/>
                <w:color w:val="auto"/>
                <w:sz w:val="24"/>
                <w:szCs w:val="24"/>
                <w:lang w:eastAsia="zh-CN"/>
              </w:rPr>
              <w:t>。</w:t>
            </w:r>
            <w:r>
              <w:rPr>
                <w:rFonts w:hint="eastAsia" w:cs="Times New Roman"/>
                <w:color w:val="auto"/>
                <w:sz w:val="24"/>
                <w:szCs w:val="24"/>
                <w:lang w:val="en-US" w:eastAsia="zh-CN"/>
              </w:rPr>
              <w:t>项目环境空气一类功能区和二类功能区苯并芘环境空气质量状况均较好。</w:t>
            </w:r>
          </w:p>
          <w:p>
            <w:pPr>
              <w:spacing w:line="360" w:lineRule="auto"/>
              <w:ind w:firstLine="482" w:firstLineChars="200"/>
              <w:jc w:val="left"/>
              <w:rPr>
                <w:b/>
                <w:bCs/>
                <w:color w:val="auto"/>
                <w:sz w:val="24"/>
              </w:rPr>
            </w:pPr>
            <w:r>
              <w:rPr>
                <w:b/>
                <w:bCs/>
                <w:color w:val="auto"/>
                <w:sz w:val="24"/>
              </w:rPr>
              <w:t>2、地表水质量现状</w:t>
            </w:r>
          </w:p>
          <w:p>
            <w:pPr>
              <w:spacing w:line="360" w:lineRule="auto"/>
              <w:ind w:firstLine="480" w:firstLineChars="200"/>
              <w:rPr>
                <w:color w:val="auto"/>
                <w:sz w:val="24"/>
              </w:rPr>
            </w:pPr>
            <w:r>
              <w:rPr>
                <w:rFonts w:hint="eastAsia"/>
                <w:color w:val="auto"/>
                <w:sz w:val="24"/>
              </w:rPr>
              <w:t>项目西侧</w:t>
            </w:r>
            <w:r>
              <w:rPr>
                <w:rFonts w:hint="eastAsia"/>
                <w:color w:val="auto"/>
                <w:sz w:val="24"/>
                <w:lang w:val="en-US" w:eastAsia="zh-CN"/>
              </w:rPr>
              <w:t>3.8k</w:t>
            </w:r>
            <w:r>
              <w:rPr>
                <w:rFonts w:hint="eastAsia"/>
                <w:color w:val="auto"/>
                <w:sz w:val="24"/>
              </w:rPr>
              <w:t>m处地表水体为御河，南侧</w:t>
            </w:r>
            <w:r>
              <w:rPr>
                <w:rFonts w:hint="eastAsia"/>
                <w:color w:val="auto"/>
                <w:sz w:val="24"/>
                <w:lang w:val="en-US" w:eastAsia="zh-CN"/>
              </w:rPr>
              <w:t>1.78k</w:t>
            </w:r>
            <w:r>
              <w:rPr>
                <w:rFonts w:hint="eastAsia"/>
                <w:color w:val="auto"/>
                <w:sz w:val="24"/>
              </w:rPr>
              <w:t>m处地表水体为桑干河</w:t>
            </w:r>
          </w:p>
          <w:p>
            <w:pPr>
              <w:spacing w:line="360" w:lineRule="auto"/>
              <w:rPr>
                <w:color w:val="auto"/>
                <w:sz w:val="24"/>
              </w:rPr>
            </w:pPr>
            <w:r>
              <w:rPr>
                <w:rFonts w:hint="eastAsia"/>
                <w:color w:val="auto"/>
                <w:sz w:val="24"/>
              </w:rPr>
              <w:t>根据《山西省地表水环境功能区划》（DB14/67-2019），项目所在地区段地表水体御河和桑干河地表水环境功能均为IV类。</w:t>
            </w:r>
          </w:p>
          <w:p>
            <w:pPr>
              <w:spacing w:line="360" w:lineRule="auto"/>
              <w:ind w:firstLine="480" w:firstLineChars="200"/>
              <w:rPr>
                <w:color w:val="auto"/>
                <w:sz w:val="24"/>
              </w:rPr>
            </w:pPr>
            <w:r>
              <w:rPr>
                <w:rFonts w:hint="eastAsia"/>
                <w:color w:val="auto"/>
                <w:sz w:val="24"/>
              </w:rPr>
              <w:t>根据2021年7月大同市地表水环境质量报告，桑干河固定桥省考监控断面处水质环境为IV类，能够满足《地表水环境质量标准》（GB3838-2002）中规定的IV类水质标准要求，水质状况达标；御河利仁皂国考监控断面处水质环境达到V类水水质标准，未</w:t>
            </w:r>
            <w:r>
              <w:rPr>
                <w:rFonts w:hint="eastAsia"/>
                <w:color w:val="auto"/>
                <w:sz w:val="24"/>
                <w:lang w:val="en-US" w:eastAsia="zh-CN"/>
              </w:rPr>
              <w:t>能</w:t>
            </w:r>
            <w:r>
              <w:rPr>
                <w:rFonts w:hint="eastAsia"/>
                <w:color w:val="auto"/>
                <w:sz w:val="24"/>
              </w:rPr>
              <w:t>满足相应功能区IV类水水质标准要求，水质状况为不达标。</w:t>
            </w:r>
          </w:p>
          <w:p>
            <w:pPr>
              <w:spacing w:line="360" w:lineRule="auto"/>
              <w:ind w:firstLine="482" w:firstLineChars="200"/>
              <w:rPr>
                <w:b/>
                <w:bCs/>
                <w:color w:val="auto"/>
                <w:sz w:val="24"/>
              </w:rPr>
            </w:pPr>
            <w:r>
              <w:rPr>
                <w:b/>
                <w:bCs/>
                <w:color w:val="auto"/>
                <w:sz w:val="24"/>
              </w:rPr>
              <w:t>3、声环境质量现状</w:t>
            </w:r>
          </w:p>
          <w:p>
            <w:pPr>
              <w:pStyle w:val="6"/>
              <w:numPr>
                <w:ilvl w:val="3"/>
                <w:numId w:val="0"/>
              </w:numPr>
              <w:spacing w:line="360" w:lineRule="auto"/>
              <w:rPr>
                <w:rFonts w:hAnsi="Times New Roman"/>
                <w:color w:val="auto"/>
                <w:sz w:val="24"/>
              </w:rPr>
            </w:pPr>
            <w:r>
              <w:rPr>
                <w:rFonts w:hint="eastAsia" w:hAnsi="Times New Roman"/>
                <w:color w:val="auto"/>
                <w:sz w:val="24"/>
                <w:lang w:val="en-US" w:eastAsia="zh-CN"/>
              </w:rPr>
              <w:t xml:space="preserve">    </w:t>
            </w:r>
            <w:r>
              <w:rPr>
                <w:rFonts w:hint="eastAsia" w:hAnsi="Times New Roman"/>
                <w:b w:val="0"/>
                <w:bCs w:val="0"/>
                <w:color w:val="auto"/>
                <w:sz w:val="24"/>
                <w:lang w:val="en-US" w:eastAsia="zh-CN"/>
              </w:rPr>
              <w:t>山西宏境检测科技有限公司于2021年10月16日对项目厂界声环境进行了现状监测，</w:t>
            </w:r>
            <w:r>
              <w:rPr>
                <w:rFonts w:hint="eastAsia" w:hAnsi="Times New Roman"/>
                <w:b w:val="0"/>
                <w:bCs w:val="0"/>
                <w:color w:val="auto"/>
                <w:sz w:val="24"/>
              </w:rPr>
              <w:t>噪声监测点位如图5所示。</w:t>
            </w:r>
          </w:p>
          <w:p>
            <w:pPr>
              <w:snapToGrid w:val="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8</w:t>
            </w:r>
            <w:r>
              <w:rPr>
                <w:b/>
                <w:color w:val="auto"/>
                <w:sz w:val="24"/>
              </w:rPr>
              <w:t xml:space="preserve"> 厂界噪监测结果一览表  单位：dB （A）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408"/>
              <w:gridCol w:w="659"/>
              <w:gridCol w:w="659"/>
              <w:gridCol w:w="659"/>
              <w:gridCol w:w="666"/>
              <w:gridCol w:w="659"/>
              <w:gridCol w:w="659"/>
              <w:gridCol w:w="659"/>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pct"/>
                  <w:vMerge w:val="restart"/>
                  <w:tcBorders>
                    <w:tl2br w:val="nil"/>
                    <w:tr2bl w:val="nil"/>
                  </w:tcBorders>
                  <w:vAlign w:val="center"/>
                </w:tcPr>
                <w:p>
                  <w:pPr>
                    <w:jc w:val="center"/>
                    <w:rPr>
                      <w:b/>
                      <w:bCs/>
                      <w:color w:val="auto"/>
                      <w:szCs w:val="21"/>
                    </w:rPr>
                  </w:pPr>
                  <w:r>
                    <w:rPr>
                      <w:b/>
                      <w:bCs/>
                      <w:color w:val="auto"/>
                      <w:szCs w:val="21"/>
                    </w:rPr>
                    <w:t>监测日期</w:t>
                  </w:r>
                </w:p>
              </w:tc>
              <w:tc>
                <w:tcPr>
                  <w:tcW w:w="894" w:type="pct"/>
                  <w:vMerge w:val="restart"/>
                  <w:tcBorders>
                    <w:tl2br w:val="nil"/>
                    <w:tr2bl w:val="nil"/>
                  </w:tcBorders>
                  <w:vAlign w:val="center"/>
                </w:tcPr>
                <w:p>
                  <w:pPr>
                    <w:jc w:val="center"/>
                    <w:rPr>
                      <w:b/>
                      <w:bCs/>
                      <w:color w:val="auto"/>
                      <w:szCs w:val="21"/>
                    </w:rPr>
                  </w:pPr>
                  <w:r>
                    <w:rPr>
                      <w:b/>
                      <w:bCs/>
                      <w:color w:val="auto"/>
                      <w:szCs w:val="21"/>
                    </w:rPr>
                    <w:t>监测点位</w:t>
                  </w:r>
                </w:p>
              </w:tc>
              <w:tc>
                <w:tcPr>
                  <w:tcW w:w="1677" w:type="pct"/>
                  <w:gridSpan w:val="4"/>
                  <w:tcBorders>
                    <w:tl2br w:val="nil"/>
                    <w:tr2bl w:val="nil"/>
                  </w:tcBorders>
                  <w:vAlign w:val="center"/>
                </w:tcPr>
                <w:p>
                  <w:pPr>
                    <w:jc w:val="center"/>
                    <w:rPr>
                      <w:b/>
                      <w:bCs/>
                      <w:color w:val="auto"/>
                      <w:szCs w:val="21"/>
                    </w:rPr>
                  </w:pPr>
                  <w:r>
                    <w:rPr>
                      <w:b/>
                      <w:bCs/>
                      <w:color w:val="auto"/>
                      <w:szCs w:val="21"/>
                    </w:rPr>
                    <w:t>昼间</w:t>
                  </w:r>
                </w:p>
              </w:tc>
              <w:tc>
                <w:tcPr>
                  <w:tcW w:w="1683" w:type="pct"/>
                  <w:gridSpan w:val="4"/>
                  <w:tcBorders>
                    <w:tl2br w:val="nil"/>
                    <w:tr2bl w:val="nil"/>
                  </w:tcBorders>
                  <w:vAlign w:val="center"/>
                </w:tcPr>
                <w:p>
                  <w:pPr>
                    <w:jc w:val="center"/>
                    <w:rPr>
                      <w:b/>
                      <w:bCs/>
                      <w:color w:val="auto"/>
                      <w:szCs w:val="21"/>
                    </w:rPr>
                  </w:pPr>
                  <w:r>
                    <w:rPr>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pct"/>
                  <w:vMerge w:val="continue"/>
                  <w:tcBorders>
                    <w:tl2br w:val="nil"/>
                    <w:tr2bl w:val="nil"/>
                  </w:tcBorders>
                  <w:vAlign w:val="center"/>
                </w:tcPr>
                <w:p>
                  <w:pPr>
                    <w:jc w:val="center"/>
                    <w:rPr>
                      <w:color w:val="auto"/>
                      <w:szCs w:val="21"/>
                    </w:rPr>
                  </w:pPr>
                </w:p>
              </w:tc>
              <w:tc>
                <w:tcPr>
                  <w:tcW w:w="894" w:type="pct"/>
                  <w:vMerge w:val="continue"/>
                  <w:tcBorders>
                    <w:tl2br w:val="nil"/>
                    <w:tr2bl w:val="nil"/>
                  </w:tcBorders>
                  <w:vAlign w:val="center"/>
                </w:tcPr>
                <w:p>
                  <w:pPr>
                    <w:jc w:val="center"/>
                    <w:rPr>
                      <w:color w:val="auto"/>
                      <w:szCs w:val="21"/>
                    </w:rPr>
                  </w:pPr>
                </w:p>
              </w:tc>
              <w:tc>
                <w:tcPr>
                  <w:tcW w:w="418" w:type="pct"/>
                  <w:tcBorders>
                    <w:tl2br w:val="nil"/>
                    <w:tr2bl w:val="nil"/>
                  </w:tcBorders>
                  <w:vAlign w:val="center"/>
                </w:tcPr>
                <w:p>
                  <w:pPr>
                    <w:jc w:val="center"/>
                    <w:rPr>
                      <w:color w:val="auto"/>
                      <w:szCs w:val="21"/>
                    </w:rPr>
                  </w:pPr>
                  <w:r>
                    <w:rPr>
                      <w:color w:val="auto"/>
                      <w:szCs w:val="21"/>
                    </w:rPr>
                    <w:t>Leq</w:t>
                  </w:r>
                </w:p>
              </w:tc>
              <w:tc>
                <w:tcPr>
                  <w:tcW w:w="418" w:type="pct"/>
                  <w:tcBorders>
                    <w:tl2br w:val="nil"/>
                    <w:tr2bl w:val="nil"/>
                  </w:tcBorders>
                  <w:vAlign w:val="center"/>
                </w:tcPr>
                <w:p>
                  <w:pPr>
                    <w:jc w:val="center"/>
                    <w:rPr>
                      <w:color w:val="auto"/>
                      <w:szCs w:val="21"/>
                    </w:rPr>
                  </w:pPr>
                  <w:r>
                    <w:rPr>
                      <w:color w:val="auto"/>
                      <w:szCs w:val="21"/>
                    </w:rPr>
                    <w:t>L</w:t>
                  </w:r>
                  <w:r>
                    <w:rPr>
                      <w:rFonts w:hint="eastAsia"/>
                      <w:color w:val="auto"/>
                      <w:szCs w:val="21"/>
                      <w:vertAlign w:val="subscript"/>
                    </w:rPr>
                    <w:t>90</w:t>
                  </w:r>
                </w:p>
              </w:tc>
              <w:tc>
                <w:tcPr>
                  <w:tcW w:w="418" w:type="pct"/>
                  <w:tcBorders>
                    <w:tl2br w:val="nil"/>
                    <w:tr2bl w:val="nil"/>
                  </w:tcBorders>
                  <w:vAlign w:val="center"/>
                </w:tcPr>
                <w:p>
                  <w:pPr>
                    <w:jc w:val="center"/>
                    <w:rPr>
                      <w:color w:val="auto"/>
                      <w:szCs w:val="21"/>
                    </w:rPr>
                  </w:pPr>
                  <w:r>
                    <w:rPr>
                      <w:color w:val="auto"/>
                      <w:szCs w:val="21"/>
                    </w:rPr>
                    <w:t>L</w:t>
                  </w:r>
                  <w:r>
                    <w:rPr>
                      <w:color w:val="auto"/>
                      <w:szCs w:val="21"/>
                      <w:vertAlign w:val="subscript"/>
                    </w:rPr>
                    <w:t>50</w:t>
                  </w:r>
                </w:p>
              </w:tc>
              <w:tc>
                <w:tcPr>
                  <w:tcW w:w="423" w:type="pct"/>
                  <w:tcBorders>
                    <w:tl2br w:val="nil"/>
                    <w:tr2bl w:val="nil"/>
                  </w:tcBorders>
                  <w:vAlign w:val="center"/>
                </w:tcPr>
                <w:p>
                  <w:pPr>
                    <w:jc w:val="center"/>
                    <w:rPr>
                      <w:color w:val="auto"/>
                      <w:szCs w:val="21"/>
                    </w:rPr>
                  </w:pPr>
                  <w:r>
                    <w:rPr>
                      <w:color w:val="auto"/>
                      <w:szCs w:val="21"/>
                    </w:rPr>
                    <w:t>L</w:t>
                  </w:r>
                  <w:r>
                    <w:rPr>
                      <w:rFonts w:hint="eastAsia"/>
                      <w:color w:val="auto"/>
                      <w:szCs w:val="21"/>
                      <w:vertAlign w:val="subscript"/>
                    </w:rPr>
                    <w:t>1</w:t>
                  </w:r>
                  <w:r>
                    <w:rPr>
                      <w:color w:val="auto"/>
                      <w:szCs w:val="21"/>
                      <w:vertAlign w:val="subscript"/>
                    </w:rPr>
                    <w:t>0</w:t>
                  </w:r>
                </w:p>
              </w:tc>
              <w:tc>
                <w:tcPr>
                  <w:tcW w:w="418" w:type="pct"/>
                  <w:tcBorders>
                    <w:tl2br w:val="nil"/>
                    <w:tr2bl w:val="nil"/>
                  </w:tcBorders>
                  <w:vAlign w:val="center"/>
                </w:tcPr>
                <w:p>
                  <w:pPr>
                    <w:jc w:val="center"/>
                    <w:rPr>
                      <w:color w:val="auto"/>
                      <w:szCs w:val="21"/>
                    </w:rPr>
                  </w:pPr>
                  <w:r>
                    <w:rPr>
                      <w:color w:val="auto"/>
                      <w:szCs w:val="21"/>
                    </w:rPr>
                    <w:t>Leq</w:t>
                  </w:r>
                </w:p>
              </w:tc>
              <w:tc>
                <w:tcPr>
                  <w:tcW w:w="418" w:type="pct"/>
                  <w:tcBorders>
                    <w:tl2br w:val="nil"/>
                    <w:tr2bl w:val="nil"/>
                  </w:tcBorders>
                  <w:vAlign w:val="center"/>
                </w:tcPr>
                <w:p>
                  <w:pPr>
                    <w:jc w:val="center"/>
                    <w:rPr>
                      <w:color w:val="auto"/>
                      <w:szCs w:val="21"/>
                    </w:rPr>
                  </w:pPr>
                  <w:r>
                    <w:rPr>
                      <w:color w:val="auto"/>
                      <w:szCs w:val="21"/>
                    </w:rPr>
                    <w:t>L</w:t>
                  </w:r>
                  <w:r>
                    <w:rPr>
                      <w:rFonts w:hint="eastAsia"/>
                      <w:color w:val="auto"/>
                      <w:szCs w:val="21"/>
                      <w:vertAlign w:val="subscript"/>
                    </w:rPr>
                    <w:t>90</w:t>
                  </w:r>
                </w:p>
              </w:tc>
              <w:tc>
                <w:tcPr>
                  <w:tcW w:w="418" w:type="pct"/>
                  <w:tcBorders>
                    <w:tl2br w:val="nil"/>
                    <w:tr2bl w:val="nil"/>
                  </w:tcBorders>
                  <w:vAlign w:val="center"/>
                </w:tcPr>
                <w:p>
                  <w:pPr>
                    <w:jc w:val="center"/>
                    <w:rPr>
                      <w:color w:val="auto"/>
                      <w:szCs w:val="21"/>
                    </w:rPr>
                  </w:pPr>
                  <w:r>
                    <w:rPr>
                      <w:color w:val="auto"/>
                      <w:szCs w:val="21"/>
                    </w:rPr>
                    <w:t>L</w:t>
                  </w:r>
                  <w:r>
                    <w:rPr>
                      <w:color w:val="auto"/>
                      <w:szCs w:val="21"/>
                      <w:vertAlign w:val="subscript"/>
                    </w:rPr>
                    <w:t>50</w:t>
                  </w:r>
                </w:p>
              </w:tc>
              <w:tc>
                <w:tcPr>
                  <w:tcW w:w="428" w:type="pct"/>
                  <w:tcBorders>
                    <w:tl2br w:val="nil"/>
                    <w:tr2bl w:val="nil"/>
                  </w:tcBorders>
                  <w:vAlign w:val="center"/>
                </w:tcPr>
                <w:p>
                  <w:pPr>
                    <w:jc w:val="center"/>
                    <w:rPr>
                      <w:color w:val="auto"/>
                      <w:szCs w:val="21"/>
                    </w:rPr>
                  </w:pPr>
                  <w:r>
                    <w:rPr>
                      <w:color w:val="auto"/>
                      <w:szCs w:val="21"/>
                    </w:rPr>
                    <w:t>L</w:t>
                  </w:r>
                  <w:r>
                    <w:rPr>
                      <w:rFonts w:hint="eastAsia"/>
                      <w:color w:val="auto"/>
                      <w:szCs w:val="21"/>
                      <w:vertAlign w:val="subscript"/>
                    </w:rPr>
                    <w:t>1</w:t>
                  </w:r>
                  <w:r>
                    <w:rPr>
                      <w:color w:val="auto"/>
                      <w:szCs w:val="21"/>
                      <w:vertAlign w:val="subscrip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44" w:type="pct"/>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rPr>
                    <w:t>2021.</w:t>
                  </w:r>
                  <w:r>
                    <w:rPr>
                      <w:rFonts w:hint="eastAsia"/>
                      <w:color w:val="auto"/>
                      <w:szCs w:val="21"/>
                      <w:lang w:val="en-US" w:eastAsia="zh-CN"/>
                    </w:rPr>
                    <w:t>10</w:t>
                  </w:r>
                  <w:r>
                    <w:rPr>
                      <w:color w:val="auto"/>
                      <w:szCs w:val="21"/>
                    </w:rPr>
                    <w:t>.</w:t>
                  </w:r>
                  <w:r>
                    <w:rPr>
                      <w:rFonts w:hint="eastAsia"/>
                      <w:color w:val="auto"/>
                      <w:szCs w:val="21"/>
                      <w:lang w:val="en-US" w:eastAsia="zh-CN"/>
                    </w:rPr>
                    <w:t>16</w:t>
                  </w:r>
                </w:p>
              </w:tc>
              <w:tc>
                <w:tcPr>
                  <w:tcW w:w="894" w:type="pct"/>
                  <w:tcBorders>
                    <w:tl2br w:val="nil"/>
                    <w:tr2bl w:val="nil"/>
                  </w:tcBorders>
                  <w:vAlign w:val="center"/>
                </w:tcPr>
                <w:p>
                  <w:pPr>
                    <w:jc w:val="center"/>
                    <w:rPr>
                      <w:color w:val="auto"/>
                      <w:szCs w:val="21"/>
                    </w:rPr>
                  </w:pPr>
                  <w:r>
                    <w:rPr>
                      <w:color w:val="auto"/>
                      <w:szCs w:val="21"/>
                    </w:rPr>
                    <w:t>1#</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52.8</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54.8</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51.4</w:t>
                  </w:r>
                </w:p>
              </w:tc>
              <w:tc>
                <w:tcPr>
                  <w:tcW w:w="423"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48.0</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49.2</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47.6</w:t>
                  </w:r>
                </w:p>
              </w:tc>
              <w:tc>
                <w:tcPr>
                  <w:tcW w:w="42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4" w:type="pct"/>
                  <w:vMerge w:val="continue"/>
                  <w:tcBorders>
                    <w:tl2br w:val="nil"/>
                    <w:tr2bl w:val="nil"/>
                  </w:tcBorders>
                  <w:vAlign w:val="center"/>
                </w:tcPr>
                <w:p>
                  <w:pPr>
                    <w:jc w:val="center"/>
                    <w:rPr>
                      <w:color w:val="auto"/>
                      <w:szCs w:val="21"/>
                    </w:rPr>
                  </w:pPr>
                </w:p>
              </w:tc>
              <w:tc>
                <w:tcPr>
                  <w:tcW w:w="894" w:type="pct"/>
                  <w:tcBorders>
                    <w:tl2br w:val="nil"/>
                    <w:tr2bl w:val="nil"/>
                  </w:tcBorders>
                  <w:vAlign w:val="center"/>
                </w:tcPr>
                <w:p>
                  <w:pPr>
                    <w:jc w:val="center"/>
                    <w:rPr>
                      <w:color w:val="auto"/>
                      <w:szCs w:val="21"/>
                    </w:rPr>
                  </w:pPr>
                  <w:r>
                    <w:rPr>
                      <w:color w:val="auto"/>
                      <w:szCs w:val="21"/>
                    </w:rPr>
                    <w:t>2#</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52.2</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52.8</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51.0</w:t>
                  </w:r>
                </w:p>
              </w:tc>
              <w:tc>
                <w:tcPr>
                  <w:tcW w:w="423"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50.4</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49.1</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51.2</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48.6</w:t>
                  </w:r>
                </w:p>
              </w:tc>
              <w:tc>
                <w:tcPr>
                  <w:tcW w:w="42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pct"/>
                  <w:vMerge w:val="continue"/>
                  <w:tcBorders>
                    <w:tl2br w:val="nil"/>
                    <w:tr2bl w:val="nil"/>
                  </w:tcBorders>
                  <w:vAlign w:val="center"/>
                </w:tcPr>
                <w:p>
                  <w:pPr>
                    <w:jc w:val="center"/>
                    <w:rPr>
                      <w:color w:val="auto"/>
                      <w:szCs w:val="21"/>
                    </w:rPr>
                  </w:pPr>
                </w:p>
              </w:tc>
              <w:tc>
                <w:tcPr>
                  <w:tcW w:w="894" w:type="pct"/>
                  <w:tcBorders>
                    <w:tl2br w:val="nil"/>
                    <w:tr2bl w:val="nil"/>
                  </w:tcBorders>
                  <w:vAlign w:val="center"/>
                </w:tcPr>
                <w:p>
                  <w:pPr>
                    <w:jc w:val="center"/>
                    <w:rPr>
                      <w:color w:val="auto"/>
                      <w:szCs w:val="21"/>
                    </w:rPr>
                  </w:pPr>
                  <w:r>
                    <w:rPr>
                      <w:color w:val="auto"/>
                      <w:szCs w:val="21"/>
                    </w:rPr>
                    <w:t>3#</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52.7</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55.4</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51.8</w:t>
                  </w:r>
                </w:p>
              </w:tc>
              <w:tc>
                <w:tcPr>
                  <w:tcW w:w="423"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48.7</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46.6</w:t>
                  </w:r>
                </w:p>
              </w:tc>
              <w:tc>
                <w:tcPr>
                  <w:tcW w:w="42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pct"/>
                  <w:vMerge w:val="continue"/>
                  <w:tcBorders>
                    <w:tl2br w:val="nil"/>
                    <w:tr2bl w:val="nil"/>
                  </w:tcBorders>
                  <w:vAlign w:val="center"/>
                </w:tcPr>
                <w:p>
                  <w:pPr>
                    <w:jc w:val="center"/>
                    <w:rPr>
                      <w:color w:val="auto"/>
                      <w:szCs w:val="21"/>
                    </w:rPr>
                  </w:pPr>
                </w:p>
              </w:tc>
              <w:tc>
                <w:tcPr>
                  <w:tcW w:w="894" w:type="pct"/>
                  <w:tcBorders>
                    <w:tl2br w:val="nil"/>
                    <w:tr2bl w:val="nil"/>
                  </w:tcBorders>
                  <w:vAlign w:val="center"/>
                </w:tcPr>
                <w:p>
                  <w:pPr>
                    <w:jc w:val="center"/>
                    <w:rPr>
                      <w:color w:val="auto"/>
                      <w:szCs w:val="21"/>
                    </w:rPr>
                  </w:pPr>
                  <w:r>
                    <w:rPr>
                      <w:color w:val="auto"/>
                      <w:szCs w:val="21"/>
                    </w:rPr>
                    <w:t>4#</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51.9</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53.2</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51.4</w:t>
                  </w:r>
                </w:p>
              </w:tc>
              <w:tc>
                <w:tcPr>
                  <w:tcW w:w="423"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50.4</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49.6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53.0</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49.2</w:t>
                  </w:r>
                </w:p>
              </w:tc>
              <w:tc>
                <w:tcPr>
                  <w:tcW w:w="42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pct"/>
                  <w:vMerge w:val="continue"/>
                  <w:tcBorders>
                    <w:tl2br w:val="nil"/>
                    <w:tr2bl w:val="nil"/>
                  </w:tcBorders>
                  <w:vAlign w:val="center"/>
                </w:tcPr>
                <w:p>
                  <w:pPr>
                    <w:jc w:val="center"/>
                    <w:rPr>
                      <w:color w:val="auto"/>
                      <w:szCs w:val="21"/>
                    </w:rPr>
                  </w:pPr>
                </w:p>
              </w:tc>
              <w:tc>
                <w:tcPr>
                  <w:tcW w:w="894" w:type="pct"/>
                  <w:tcBorders>
                    <w:tl2br w:val="nil"/>
                    <w:tr2bl w:val="nil"/>
                  </w:tcBorders>
                  <w:vAlign w:val="center"/>
                </w:tcPr>
                <w:p>
                  <w:pPr>
                    <w:jc w:val="center"/>
                    <w:rPr>
                      <w:color w:val="auto"/>
                      <w:szCs w:val="21"/>
                    </w:rPr>
                  </w:pPr>
                  <w:r>
                    <w:rPr>
                      <w:rFonts w:hint="eastAsia"/>
                      <w:color w:val="auto"/>
                      <w:szCs w:val="21"/>
                    </w:rPr>
                    <w:t>5#</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52.8</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53.4</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50.6</w:t>
                  </w:r>
                </w:p>
              </w:tc>
              <w:tc>
                <w:tcPr>
                  <w:tcW w:w="423"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50.0</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48.8</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47.8</w:t>
                  </w:r>
                </w:p>
              </w:tc>
              <w:tc>
                <w:tcPr>
                  <w:tcW w:w="42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4" w:type="pct"/>
                  <w:vMerge w:val="continue"/>
                  <w:tcBorders>
                    <w:tl2br w:val="nil"/>
                    <w:tr2bl w:val="nil"/>
                  </w:tcBorders>
                  <w:vAlign w:val="center"/>
                </w:tcPr>
                <w:p>
                  <w:pPr>
                    <w:jc w:val="center"/>
                    <w:rPr>
                      <w:color w:val="auto"/>
                      <w:szCs w:val="21"/>
                    </w:rPr>
                  </w:pPr>
                </w:p>
              </w:tc>
              <w:tc>
                <w:tcPr>
                  <w:tcW w:w="894" w:type="pct"/>
                  <w:tcBorders>
                    <w:tl2br w:val="nil"/>
                    <w:tr2bl w:val="nil"/>
                  </w:tcBorders>
                  <w:vAlign w:val="center"/>
                </w:tcPr>
                <w:p>
                  <w:pPr>
                    <w:jc w:val="center"/>
                    <w:rPr>
                      <w:color w:val="auto"/>
                      <w:szCs w:val="21"/>
                    </w:rPr>
                  </w:pPr>
                  <w:r>
                    <w:rPr>
                      <w:rFonts w:hint="eastAsia"/>
                      <w:color w:val="auto"/>
                      <w:szCs w:val="21"/>
                    </w:rPr>
                    <w:t>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52.3</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54.0</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51.2</w:t>
                  </w:r>
                </w:p>
              </w:tc>
              <w:tc>
                <w:tcPr>
                  <w:tcW w:w="423"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50.6</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48.1</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51.4</w:t>
                  </w:r>
                </w:p>
              </w:tc>
              <w:tc>
                <w:tcPr>
                  <w:tcW w:w="41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45.8</w:t>
                  </w:r>
                </w:p>
              </w:tc>
              <w:tc>
                <w:tcPr>
                  <w:tcW w:w="428" w:type="pc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44.4</w:t>
                  </w:r>
                </w:p>
              </w:tc>
            </w:tr>
          </w:tbl>
          <w:p>
            <w:pPr>
              <w:pStyle w:val="2"/>
              <w:ind w:firstLine="480"/>
              <w:rPr>
                <w:color w:val="auto"/>
                <w:sz w:val="24"/>
              </w:rPr>
            </w:pPr>
            <w:r>
              <w:rPr>
                <w:color w:val="auto"/>
                <w:sz w:val="24"/>
              </w:rPr>
              <mc:AlternateContent>
                <mc:Choice Requires="wpg">
                  <w:drawing>
                    <wp:anchor distT="0" distB="0" distL="114300" distR="114300" simplePos="0" relativeHeight="251660288" behindDoc="0" locked="0" layoutInCell="1" allowOverlap="1">
                      <wp:simplePos x="0" y="0"/>
                      <wp:positionH relativeFrom="column">
                        <wp:posOffset>135255</wp:posOffset>
                      </wp:positionH>
                      <wp:positionV relativeFrom="paragraph">
                        <wp:posOffset>111760</wp:posOffset>
                      </wp:positionV>
                      <wp:extent cx="4608830" cy="4347210"/>
                      <wp:effectExtent l="10160" t="0" r="0" b="14605"/>
                      <wp:wrapNone/>
                      <wp:docPr id="1" name="组合 1"/>
                      <wp:cNvGraphicFramePr/>
                      <a:graphic xmlns:a="http://schemas.openxmlformats.org/drawingml/2006/main">
                        <a:graphicData uri="http://schemas.microsoft.com/office/word/2010/wordprocessingGroup">
                          <wpg:wgp>
                            <wpg:cNvGrpSpPr/>
                            <wpg:grpSpPr>
                              <a:xfrm>
                                <a:off x="0" y="0"/>
                                <a:ext cx="4608830" cy="4347210"/>
                                <a:chOff x="10301" y="91965"/>
                                <a:chExt cx="7258" cy="6846"/>
                              </a:xfrm>
                            </wpg:grpSpPr>
                            <wps:wsp>
                              <wps:cNvPr id="13" name="文本框 6"/>
                              <wps:cNvSpPr txBox="1"/>
                              <wps:spPr>
                                <a:xfrm>
                                  <a:off x="16297" y="91965"/>
                                  <a:ext cx="1262" cy="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上箭头 5"/>
                              <wps:cNvSpPr/>
                              <wps:spPr>
                                <a:xfrm>
                                  <a:off x="16444" y="92385"/>
                                  <a:ext cx="238" cy="80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等腰三角形 7"/>
                              <wps:cNvSpPr/>
                              <wps:spPr>
                                <a:xfrm>
                                  <a:off x="14797" y="94360"/>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8"/>
                              <wps:cNvSpPr/>
                              <wps:spPr>
                                <a:xfrm>
                                  <a:off x="14596" y="98076"/>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9"/>
                              <wps:cNvSpPr/>
                              <wps:spPr>
                                <a:xfrm>
                                  <a:off x="15438" y="96191"/>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等腰三角形 10"/>
                              <wps:cNvSpPr/>
                              <wps:spPr>
                                <a:xfrm>
                                  <a:off x="12657" y="97270"/>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等腰三角形 11"/>
                              <wps:cNvSpPr/>
                              <wps:spPr>
                                <a:xfrm>
                                  <a:off x="11998" y="95514"/>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等腰三角形 12"/>
                              <wps:cNvSpPr/>
                              <wps:spPr>
                                <a:xfrm>
                                  <a:off x="12931" y="93667"/>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4"/>
                              <wps:cNvSpPr/>
                              <wps:spPr>
                                <a:xfrm>
                                  <a:off x="10301" y="98592"/>
                                  <a:ext cx="219" cy="219"/>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65pt;margin-top:8.8pt;height:342.3pt;width:362.9pt;z-index:251660288;mso-width-relative:page;mso-height-relative:page;" coordorigin="10301,91965" coordsize="7258,6846" o:gfxdata="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GZkW33ZAAAACQEAAA8AAAAAAAAA&#10;AQAgAAAAIgAAAGRycy9kb3ducmV2LnhtbFBLAQIUABQAAAAIAIdO4kCC0Wa9gwQAANcfAAAOAAAA&#10;AAAAAAEAIAAAACgBAABkcnMvZTJvRG9jLnhtbFBLBQYAAAAABgAGAFkBAAAdCAAAAAA=&#10;">
                      <o:lock v:ext="edit" aspectratio="f"/>
                      <v:shape id="文本框 6" o:spid="_x0000_s1026" o:spt="202" type="#_x0000_t202" style="position:absolute;left:16297;top:91965;height:475;width:1262;"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北</w:t>
                              </w:r>
                            </w:p>
                          </w:txbxContent>
                        </v:textbox>
                      </v:shape>
                      <v:shape id="上箭头 5" o:spid="_x0000_s1026" o:spt="68" type="#_x0000_t68" style="position:absolute;left:16444;top:92385;height:805;width:238;v-text-anchor:middle;" filled="f" stroked="t" coordsize="21600,21600" o:gfxdata="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bLv74A&#10;AADbAAAADwAAAAAAAAABACAAAAAiAAAAZHJzL2Rvd25yZXYueG1sUEsBAhQAFAAAAAgAh07iQDMv&#10;BZ47AAAAOQAAABAAAAAAAAAAAQAgAAAADQEAAGRycy9zaGFwZXhtbC54bWxQSwUGAAAAAAYABgBb&#10;AQAAtwMAAAAA&#10;" adj="3193,5400">
                        <v:fill on="f" focussize="0,0"/>
                        <v:stroke weight="1pt" color="#000000 [3213]" miterlimit="8" joinstyle="miter"/>
                        <v:imagedata o:title=""/>
                        <o:lock v:ext="edit" aspectratio="f"/>
                        <v:textbox>
                          <w:txbxContent>
                            <w:p>
                              <w:pPr>
                                <w:jc w:val="center"/>
                              </w:pPr>
                            </w:p>
                          </w:txbxContent>
                        </v:textbox>
                      </v:shape>
                      <v:shape id="等腰三角形 7" o:spid="_x0000_s1026" o:spt="5" type="#_x0000_t5" style="position:absolute;left:14797;top:94360;height:219;width:219;v-text-anchor:middle;" fillcolor="#000000 [3213]" filled="t" stroked="t" coordsize="21600,21600" o:gfxdata="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WAfIvQAA&#10;ANsAAAAPAAAAAAAAAAEAIAAAACIAAABkcnMvZG93bnJldi54bWxQSwECFAAUAAAACACHTuJAMy8F&#10;njsAAAA5AAAAEAAAAAAAAAABACAAAAAMAQAAZHJzL3NoYXBleG1sLnhtbFBLBQYAAAAABgAGAFsB&#10;AAC2AwAAAAA=&#10;" adj="10800">
                        <v:fill on="t" focussize="0,0"/>
                        <v:stroke weight="1pt" color="#41719C [3204]" miterlimit="8" joinstyle="miter"/>
                        <v:imagedata o:title=""/>
                        <o:lock v:ext="edit" aspectratio="f"/>
                        <v:textbox>
                          <w:txbxContent>
                            <w:p>
                              <w:pPr>
                                <w:jc w:val="center"/>
                              </w:pPr>
                            </w:p>
                          </w:txbxContent>
                        </v:textbox>
                      </v:shape>
                      <v:shape id="等腰三角形 8" o:spid="_x0000_s1026" o:spt="5" type="#_x0000_t5" style="position:absolute;left:14596;top:98076;height:219;width:219;v-text-anchor:middle;" fillcolor="#000000 [3213]" filled="t" stroked="t" coordsize="21600,21600" o:gfxdata="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xn7y8AAAA&#10;2wAAAA8AAAAAAAAAAQAgAAAAIgAAAGRycy9kb3ducmV2LnhtbFBLAQIUABQAAAAIAIdO4kAzLwWe&#10;OwAAADkAAAAQAAAAAAAAAAEAIAAAAAsBAABkcnMvc2hhcGV4bWwueG1sUEsFBgAAAAAGAAYAWwEA&#10;ALUDAAAAAA==&#10;" adj="10800">
                        <v:fill on="t" focussize="0,0"/>
                        <v:stroke weight="1pt" color="#41719C [3204]" miterlimit="8" joinstyle="miter"/>
                        <v:imagedata o:title=""/>
                        <o:lock v:ext="edit" aspectratio="f"/>
                        <v:textbox>
                          <w:txbxContent>
                            <w:p>
                              <w:pPr>
                                <w:jc w:val="center"/>
                              </w:pPr>
                            </w:p>
                          </w:txbxContent>
                        </v:textbox>
                      </v:shape>
                      <v:shape id="等腰三角形 9" o:spid="_x0000_s1026" o:spt="5" type="#_x0000_t5" style="position:absolute;left:15438;top:96191;height:219;width:219;v-text-anchor:middle;" fillcolor="#000000 [3213]" filled="t" stroked="t" coordsize="21600,21600" o:gfxdata="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9Oie8AAAA&#10;2wAAAA8AAAAAAAAAAQAgAAAAIgAAAGRycy9kb3ducmV2LnhtbFBLAQIUABQAAAAIAIdO4kAzLwWe&#10;OwAAADkAAAAQAAAAAAAAAAEAIAAAAAsBAABkcnMvc2hhcGV4bWwueG1sUEsFBgAAAAAGAAYAWwEA&#10;ALUDAAAAAA==&#10;" adj="10800">
                        <v:fill on="t" focussize="0,0"/>
                        <v:stroke weight="1pt" color="#41719C [3204]" miterlimit="8" joinstyle="miter"/>
                        <v:imagedata o:title=""/>
                        <o:lock v:ext="edit" aspectratio="f"/>
                        <v:textbox>
                          <w:txbxContent>
                            <w:p>
                              <w:pPr>
                                <w:jc w:val="center"/>
                              </w:pPr>
                            </w:p>
                          </w:txbxContent>
                        </v:textbox>
                      </v:shape>
                      <v:shape id="等腰三角形 10" o:spid="_x0000_s1026" o:spt="5" type="#_x0000_t5" style="position:absolute;left:12657;top:97270;height:219;width:219;v-text-anchor:middle;" fillcolor="#000000 [3213]" filled="t" stroked="t" coordsize="21600,21600" o:gfxdata="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vpFC8AAAA&#10;2wAAAA8AAAAAAAAAAQAgAAAAIgAAAGRycy9kb3ducmV2LnhtbFBLAQIUABQAAAAIAIdO4kAzLwWe&#10;OwAAADkAAAAQAAAAAAAAAAEAIAAAAAsBAABkcnMvc2hhcGV4bWwueG1sUEsFBgAAAAAGAAYAWwEA&#10;ALUDAAAAAA==&#10;" adj="10800">
                        <v:fill on="t" focussize="0,0"/>
                        <v:stroke weight="1pt" color="#41719C [3204]" miterlimit="8" joinstyle="miter"/>
                        <v:imagedata o:title=""/>
                        <o:lock v:ext="edit" aspectratio="f"/>
                        <v:textbox>
                          <w:txbxContent>
                            <w:p>
                              <w:pPr>
                                <w:jc w:val="center"/>
                              </w:pPr>
                            </w:p>
                          </w:txbxContent>
                        </v:textbox>
                      </v:shape>
                      <v:shape id="等腰三角形 11" o:spid="_x0000_s1026" o:spt="5" type="#_x0000_t5" style="position:absolute;left:11998;top:95514;height:219;width:219;v-text-anchor:middle;" fillcolor="#000000 [3213]" filled="t" stroked="t" coordsize="21600,21600" o:gfxdata="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jAcu8AAAA&#10;2wAAAA8AAAAAAAAAAQAgAAAAIgAAAGRycy9kb3ducmV2LnhtbFBLAQIUABQAAAAIAIdO4kAzLwWe&#10;OwAAADkAAAAQAAAAAAAAAAEAIAAAAAsBAABkcnMvc2hhcGV4bWwueG1sUEsFBgAAAAAGAAYAWwEA&#10;ALUDAAAAAA==&#10;" adj="10800">
                        <v:fill on="t" focussize="0,0"/>
                        <v:stroke weight="1pt" color="#41719C [3204]" miterlimit="8" joinstyle="miter"/>
                        <v:imagedata o:title=""/>
                        <o:lock v:ext="edit" aspectratio="f"/>
                        <v:textbox>
                          <w:txbxContent>
                            <w:p>
                              <w:pPr>
                                <w:jc w:val="center"/>
                              </w:pPr>
                            </w:p>
                          </w:txbxContent>
                        </v:textbox>
                      </v:shape>
                      <v:shape id="等腰三角形 12" o:spid="_x0000_s1026" o:spt="5" type="#_x0000_t5" style="position:absolute;left:12931;top:93667;height:219;width:219;v-text-anchor:middle;" fillcolor="#000000 [3213]" filled="t" stroked="t" coordsize="21600,21600" o:gfxdata="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JW5ugAAANsA&#10;AAAPAAAAAAAAAAEAIAAAACIAAABkcnMvZG93bnJldi54bWxQSwECFAAUAAAACACHTuJAMy8FnjsA&#10;AAA5AAAAEAAAAAAAAAABACAAAAAJAQAAZHJzL3NoYXBleG1sLnhtbFBLBQYAAAAABgAGAFsBAACz&#10;AwAAAAA=&#10;" adj="10800">
                        <v:fill on="t" focussize="0,0"/>
                        <v:stroke weight="1pt" color="#41719C [3204]" miterlimit="8" joinstyle="miter"/>
                        <v:imagedata o:title=""/>
                        <o:lock v:ext="edit" aspectratio="f"/>
                        <v:textbox>
                          <w:txbxContent>
                            <w:p>
                              <w:pPr>
                                <w:jc w:val="center"/>
                              </w:pPr>
                            </w:p>
                          </w:txbxContent>
                        </v:textbox>
                      </v:shape>
                      <v:shape id="等腰三角形 14" o:spid="_x0000_s1026" o:spt="5" type="#_x0000_t5" style="position:absolute;left:10301;top:98592;height:219;width:219;v-text-anchor:middle;" fillcolor="#000000 [3213]" filled="t" stroked="t" coordsize="21600,21600" o:gfxdata="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wMCK8AAAA&#10;2wAAAA8AAAAAAAAAAQAgAAAAIgAAAGRycy9kb3ducmV2LnhtbFBLAQIUABQAAAAIAIdO4kAzLwWe&#10;OwAAADkAAAAQAAAAAAAAAAEAIAAAAAsBAABkcnMvc2hhcGV4bWwueG1sUEsFBgAAAAAGAAYAWwEA&#10;ALUDAAAAAA==&#10;" adj="10800">
                        <v:fill on="t" focussize="0,0"/>
                        <v:stroke weight="1pt" color="#41719C [3204]" miterlimit="8" joinstyle="miter"/>
                        <v:imagedata o:title=""/>
                        <o:lock v:ext="edit" aspectratio="f"/>
                        <v:textbox>
                          <w:txbxContent>
                            <w:p>
                              <w:pPr>
                                <w:jc w:val="center"/>
                              </w:pPr>
                            </w:p>
                          </w:txbxContent>
                        </v:textbox>
                      </v:shape>
                    </v:group>
                  </w:pict>
                </mc:Fallback>
              </mc:AlternateContent>
            </w:r>
          </w:p>
          <w:p>
            <w:pPr>
              <w:pStyle w:val="2"/>
              <w:ind w:firstLine="480"/>
              <w:rPr>
                <w:color w:val="auto"/>
                <w:sz w:val="24"/>
              </w:rPr>
            </w:pPr>
          </w:p>
          <w:p>
            <w:pPr>
              <w:rPr>
                <w:color w:val="auto"/>
                <w:sz w:val="24"/>
              </w:rPr>
            </w:pPr>
          </w:p>
          <w:p>
            <w:pPr>
              <w:pStyle w:val="2"/>
              <w:ind w:firstLine="480"/>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1838960</wp:posOffset>
                      </wp:positionH>
                      <wp:positionV relativeFrom="paragraph">
                        <wp:posOffset>137795</wp:posOffset>
                      </wp:positionV>
                      <wp:extent cx="925830" cy="436880"/>
                      <wp:effectExtent l="0" t="0" r="0" b="0"/>
                      <wp:wrapNone/>
                      <wp:docPr id="40" name="文本框 40"/>
                      <wp:cNvGraphicFramePr/>
                      <a:graphic xmlns:a="http://schemas.openxmlformats.org/drawingml/2006/main">
                        <a:graphicData uri="http://schemas.microsoft.com/office/word/2010/wordprocessingShape">
                          <wps:wsp>
                            <wps:cNvSpPr txBox="1"/>
                            <wps:spPr>
                              <a:xfrm>
                                <a:off x="3297555" y="4592955"/>
                                <a:ext cx="925830"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pt;margin-top:10.85pt;height:34.4pt;width:72.9pt;z-index:251661312;mso-width-relative:page;mso-height-relative:page;" filled="f" stroked="f" coordsize="21600,21600" o:gfxdata="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wnmIvbAAAACQEAAA8AAAAAAAAA&#10;AQAgAAAAIgAAAGRycy9kb3ducmV2LnhtbFBLAQIUABQAAAAIAIdO4kAdKWrKRwIAAHMEAAAOAAAA&#10;AAAAAAEAIAAAACoBAABkcnMvZTJvRG9jLnhtbFBLBQYAAAAABgAGAFkBAADjBQ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w:pict>
                </mc:Fallback>
              </mc:AlternateContent>
            </w:r>
          </w:p>
          <w:p>
            <w:pPr>
              <w:rPr>
                <w:color w:val="auto"/>
                <w:sz w:val="24"/>
              </w:rPr>
            </w:pPr>
          </w:p>
          <w:p>
            <w:pPr>
              <w:pStyle w:val="2"/>
              <w:ind w:firstLine="480"/>
              <w:rPr>
                <w:color w:val="auto"/>
                <w:sz w:val="24"/>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3003550</wp:posOffset>
                      </wp:positionH>
                      <wp:positionV relativeFrom="paragraph">
                        <wp:posOffset>121285</wp:posOffset>
                      </wp:positionV>
                      <wp:extent cx="925830" cy="43688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25830"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5pt;margin-top:9.55pt;height:34.4pt;width:72.9pt;z-index:251662336;mso-width-relative:page;mso-height-relative:page;" filled="f" stroked="f" coordsize="21600,21600" o:gfxdata="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3w5m2gAAAAkBAAAPAAAAAAAAAAEAIAAAACIAAABk&#10;cnMvZG93bnJldi54bWxQSwECFAAUAAAACACHTuJAQgiwrj0CAABnBAAADgAAAAAAAAABACAAAAAp&#10;AQAAZHJzL2Uyb0RvYy54bWxQSwUGAAAAAAYABgBZAQAA2AU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w:pict>
                </mc:Fallback>
              </mc:AlternateContent>
            </w:r>
          </w:p>
          <w:p>
            <w:pPr>
              <w:rPr>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1607820</wp:posOffset>
                      </wp:positionH>
                      <wp:positionV relativeFrom="paragraph">
                        <wp:posOffset>8255</wp:posOffset>
                      </wp:positionV>
                      <wp:extent cx="1524635" cy="2545715"/>
                      <wp:effectExtent l="401955" t="196850" r="416560" b="210185"/>
                      <wp:wrapNone/>
                      <wp:docPr id="4" name="矩形 4"/>
                      <wp:cNvGraphicFramePr/>
                      <a:graphic xmlns:a="http://schemas.openxmlformats.org/drawingml/2006/main">
                        <a:graphicData uri="http://schemas.microsoft.com/office/word/2010/wordprocessingShape">
                          <wps:wsp>
                            <wps:cNvSpPr/>
                            <wps:spPr>
                              <a:xfrm rot="20400000">
                                <a:off x="2892425" y="5053965"/>
                                <a:ext cx="1524635" cy="2545715"/>
                              </a:xfrm>
                              <a:prstGeom prst="rect">
                                <a:avLst/>
                              </a:prstGeom>
                              <a:no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6pt;margin-top:0.65pt;height:200.45pt;width:120.05pt;rotation:-1310720f;z-index:251668480;v-text-anchor:middle;mso-width-relative:page;mso-height-relative:page;" filled="f" stroked="t" coordsize="21600,21600" o:gfxdata="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P2/hHZAAAACQEAAA8AAAAAAAAAAQAgAAAA&#10;IgAAAGRycy9kb3ducmV2LnhtbFBLAQIUABQAAAAIAIdO4kAhssyWfAIAAOkEAAAOAAAAAAAAAAEA&#10;IAAAACgBAABkcnMvZTJvRG9jLnhtbFBLBQYAAAAABgAGAFkBAAAWBgAAAAA=&#10;">
                      <v:fill on="f" focussize="0,0"/>
                      <v:stroke weight="2pt" color="#000000" joinstyle="round"/>
                      <v:imagedata o:title=""/>
                      <o:lock v:ext="edit" aspectratio="f"/>
                      <v:textbox>
                        <w:txbxContent>
                          <w:p>
                            <w:pPr>
                              <w:jc w:val="center"/>
                            </w:pPr>
                          </w:p>
                        </w:txbxContent>
                      </v:textbox>
                    </v:rect>
                  </w:pict>
                </mc:Fallback>
              </mc:AlternateContent>
            </w:r>
          </w:p>
          <w:p>
            <w:pPr>
              <w:pStyle w:val="2"/>
              <w:ind w:firstLine="480"/>
              <w:rPr>
                <w:color w:val="auto"/>
                <w:sz w:val="24"/>
              </w:rPr>
            </w:pPr>
          </w:p>
          <w:p>
            <w:pPr>
              <w:rPr>
                <w:color w:val="auto"/>
                <w:sz w:val="24"/>
              </w:rPr>
            </w:pPr>
          </w:p>
          <w:p>
            <w:pPr>
              <w:pStyle w:val="2"/>
              <w:ind w:firstLine="480"/>
              <w:rPr>
                <w:color w:val="auto"/>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986155</wp:posOffset>
                      </wp:positionH>
                      <wp:positionV relativeFrom="paragraph">
                        <wp:posOffset>66675</wp:posOffset>
                      </wp:positionV>
                      <wp:extent cx="925830" cy="43688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25830"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65pt;margin-top:5.25pt;height:34.4pt;width:72.9pt;z-index:251666432;mso-width-relative:page;mso-height-relative:page;" filled="f" stroked="f" coordsize="21600,21600" o:gfxdata="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&#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LpHN2gAAAAkBAAAPAAAAAAAAAAEAIAAAACIAAABk&#10;cnMvZG93bnJldi54bWxQSwECFAAUAAAACACHTuJAqPlfuz0CAABnBAAADgAAAAAAAAABACAAAAAp&#10;AQAAZHJzL2Uyb0RvYy54bWxQSwUGAAAAAAYABgBZAQAA2AU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xbxContent>
                      </v:textbox>
                    </v:shape>
                  </w:pict>
                </mc:Fallback>
              </mc:AlternateContent>
            </w:r>
          </w:p>
          <w:p>
            <w:pPr>
              <w:pStyle w:val="17"/>
              <w:spacing w:after="0" w:line="360" w:lineRule="auto"/>
              <w:ind w:firstLine="480"/>
              <w:rPr>
                <w:color w:val="auto"/>
                <w:sz w:val="24"/>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3409950</wp:posOffset>
                      </wp:positionH>
                      <wp:positionV relativeFrom="paragraph">
                        <wp:posOffset>215265</wp:posOffset>
                      </wp:positionV>
                      <wp:extent cx="925830" cy="43688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25830"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5pt;margin-top:16.95pt;height:34.4pt;width:72.9pt;z-index:251663360;mso-width-relative:page;mso-height-relative:page;" filled="f" stroked="f" coordsize="21600,21600" o:gfxdata="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Dal5fbAAAACgEAAA8AAAAAAAAAAQAgAAAAIgAA&#10;AGRycy9kb3ducmV2LnhtbFBLAQIUABQAAAAIAIdO4kDtj4RMPgIAAGcEAAAOAAAAAAAAAAEAIAAA&#10;ACoBAABkcnMvZTJvRG9jLnhtbFBLBQYAAAAABgAGAFkBAADaBQ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w:pict>
                </mc:Fallback>
              </mc:AlternateContent>
            </w:r>
          </w:p>
          <w:p>
            <w:pPr>
              <w:pStyle w:val="17"/>
              <w:spacing w:after="0" w:line="360" w:lineRule="auto"/>
              <w:ind w:firstLine="480"/>
              <w:rPr>
                <w:color w:val="auto"/>
                <w:sz w:val="24"/>
              </w:rPr>
            </w:pPr>
          </w:p>
          <w:p>
            <w:pPr>
              <w:pStyle w:val="17"/>
              <w:spacing w:after="0" w:line="360" w:lineRule="auto"/>
              <w:ind w:firstLine="480"/>
              <w:rPr>
                <w:color w:val="auto"/>
                <w:sz w:val="24"/>
              </w:rPr>
            </w:pPr>
          </w:p>
          <w:p>
            <w:pPr>
              <w:pStyle w:val="17"/>
              <w:spacing w:after="0" w:line="360" w:lineRule="auto"/>
              <w:ind w:firstLine="480"/>
              <w:rPr>
                <w:color w:val="auto"/>
                <w:sz w:val="24"/>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1422400</wp:posOffset>
                      </wp:positionH>
                      <wp:positionV relativeFrom="paragraph">
                        <wp:posOffset>189230</wp:posOffset>
                      </wp:positionV>
                      <wp:extent cx="925830" cy="43688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25830"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pt;margin-top:14.9pt;height:34.4pt;width:72.9pt;z-index:251665408;mso-width-relative:page;mso-height-relative:page;" filled="f" stroked="f" coordsize="21600,21600" o:gfxdata="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XyV72QAAAAkBAAAPAAAAAAAAAAEAIAAAACIAAABk&#10;cnMvZG93bnJldi54bWxQSwECFAAUAAAACACHTuJA8oacUz4CAABnBAAADgAAAAAAAAABACAAAAAo&#10;AQAAZHJzL2Uyb0RvYy54bWxQSwUGAAAAAAYABgBZAQAA2AU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xbxContent>
                      </v:textbox>
                    </v:shape>
                  </w:pict>
                </mc:Fallback>
              </mc:AlternateContent>
            </w:r>
          </w:p>
          <w:p>
            <w:pPr>
              <w:pStyle w:val="17"/>
              <w:spacing w:after="0" w:line="360" w:lineRule="auto"/>
              <w:ind w:firstLine="480"/>
              <w:rPr>
                <w:color w:val="auto"/>
                <w:sz w:val="24"/>
              </w:rPr>
            </w:pPr>
          </w:p>
          <w:p>
            <w:pPr>
              <w:pStyle w:val="17"/>
              <w:spacing w:after="0" w:line="360" w:lineRule="auto"/>
              <w:ind w:firstLine="480"/>
              <w:rPr>
                <w:color w:val="auto"/>
                <w:sz w:val="24"/>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2946400</wp:posOffset>
                      </wp:positionH>
                      <wp:positionV relativeFrom="paragraph">
                        <wp:posOffset>261620</wp:posOffset>
                      </wp:positionV>
                      <wp:extent cx="925830" cy="43688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25830" cy="436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pt;margin-top:20.6pt;height:34.4pt;width:72.9pt;z-index:251664384;mso-width-relative:page;mso-height-relative:page;" filled="f" stroked="f" coordsize="21600,21600" o:gfxdata="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&#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L3Fl2gAAAAoBAAAPAAAAAAAAAAEAIAAAACIAAABk&#10;cnMvZG93bnJldi54bWxQSwECFAAUAAAACACHTuJAt/BHpD0CAABnBAAADgAAAAAAAAABACAAAAAp&#10;AQAAZHJzL2Uyb0RvYy54bWxQSwUGAAAAAAYABgBZAQAA2AU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w:pict>
                </mc:Fallback>
              </mc:AlternateContent>
            </w:r>
          </w:p>
          <w:p>
            <w:pPr>
              <w:pStyle w:val="17"/>
              <w:spacing w:after="0" w:line="360" w:lineRule="auto"/>
              <w:ind w:firstLine="480"/>
              <w:rPr>
                <w:color w:val="auto"/>
                <w:sz w:val="24"/>
              </w:rPr>
            </w:pPr>
          </w:p>
          <w:p>
            <w:pPr>
              <w:pStyle w:val="17"/>
              <w:spacing w:after="0" w:line="360" w:lineRule="auto"/>
              <w:ind w:firstLine="480"/>
              <w:rPr>
                <w:color w:val="auto"/>
                <w:sz w:val="24"/>
              </w:rPr>
            </w:pPr>
          </w:p>
          <w:p>
            <w:pPr>
              <w:pStyle w:val="17"/>
              <w:spacing w:after="0" w:line="360" w:lineRule="auto"/>
              <w:ind w:firstLine="480"/>
              <w:rPr>
                <w:color w:val="auto"/>
                <w:sz w:val="24"/>
              </w:rPr>
            </w:pPr>
            <w:r>
              <w:rPr>
                <w:rFonts w:hint="eastAsia"/>
                <w:color w:val="auto"/>
                <w:sz w:val="24"/>
              </w:rPr>
              <w:t>为噪声监测点位</w:t>
            </w:r>
          </w:p>
          <w:p>
            <w:pPr>
              <w:pStyle w:val="17"/>
              <w:spacing w:after="0" w:line="360" w:lineRule="auto"/>
              <w:jc w:val="center"/>
              <w:rPr>
                <w:color w:val="auto"/>
                <w:sz w:val="24"/>
              </w:rPr>
            </w:pPr>
            <w:r>
              <w:rPr>
                <w:rFonts w:hint="eastAsia"/>
                <w:b/>
                <w:bCs/>
                <w:color w:val="auto"/>
                <w:sz w:val="24"/>
              </w:rPr>
              <w:t>图5 噪声监测点位图</w:t>
            </w:r>
          </w:p>
          <w:p>
            <w:pPr>
              <w:pStyle w:val="17"/>
              <w:spacing w:after="0" w:line="360" w:lineRule="auto"/>
              <w:rPr>
                <w:color w:val="auto"/>
                <w:sz w:val="24"/>
              </w:rPr>
            </w:pPr>
            <w:r>
              <w:rPr>
                <w:rFonts w:hint="eastAsia"/>
                <w:color w:val="auto"/>
                <w:sz w:val="24"/>
              </w:rPr>
              <w:t xml:space="preserve"> </w:t>
            </w:r>
            <w:r>
              <w:rPr>
                <w:rFonts w:hint="eastAsia"/>
                <w:b/>
                <w:bCs/>
                <w:color w:val="auto"/>
                <w:sz w:val="24"/>
              </w:rPr>
              <w:t xml:space="preserve">  </w:t>
            </w:r>
            <w:r>
              <w:rPr>
                <w:color w:val="auto"/>
                <w:sz w:val="24"/>
              </w:rPr>
              <w:t>由上述监测结果可以看出：</w:t>
            </w:r>
            <w:bookmarkStart w:id="7" w:name="_Hlk493096839"/>
            <w:r>
              <w:rPr>
                <w:color w:val="auto"/>
                <w:sz w:val="24"/>
              </w:rPr>
              <w:t>项目所在厂区边界昼间噪声为</w:t>
            </w:r>
            <w:r>
              <w:rPr>
                <w:rFonts w:hint="eastAsia"/>
                <w:color w:val="auto"/>
                <w:sz w:val="24"/>
              </w:rPr>
              <w:t>51.9</w:t>
            </w:r>
            <w:r>
              <w:rPr>
                <w:color w:val="auto"/>
                <w:sz w:val="24"/>
              </w:rPr>
              <w:t>～5</w:t>
            </w:r>
            <w:r>
              <w:rPr>
                <w:rFonts w:hint="eastAsia"/>
                <w:color w:val="auto"/>
                <w:sz w:val="24"/>
                <w:lang w:val="en-US" w:eastAsia="zh-CN"/>
              </w:rPr>
              <w:t>2.8</w:t>
            </w:r>
            <w:r>
              <w:rPr>
                <w:color w:val="auto"/>
                <w:sz w:val="24"/>
              </w:rPr>
              <w:t>dB（A）、夜间噪声为</w:t>
            </w:r>
            <w:r>
              <w:rPr>
                <w:rFonts w:hint="eastAsia"/>
                <w:color w:val="auto"/>
                <w:sz w:val="24"/>
              </w:rPr>
              <w:t>4</w:t>
            </w:r>
            <w:r>
              <w:rPr>
                <w:rFonts w:hint="eastAsia"/>
                <w:color w:val="auto"/>
                <w:sz w:val="24"/>
                <w:lang w:val="en-US" w:eastAsia="zh-CN"/>
              </w:rPr>
              <w:t>8.0</w:t>
            </w:r>
            <w:r>
              <w:rPr>
                <w:color w:val="auto"/>
                <w:sz w:val="24"/>
              </w:rPr>
              <w:t>～</w:t>
            </w:r>
            <w:r>
              <w:rPr>
                <w:rFonts w:hint="eastAsia"/>
                <w:color w:val="auto"/>
                <w:sz w:val="24"/>
              </w:rPr>
              <w:t>4</w:t>
            </w:r>
            <w:r>
              <w:rPr>
                <w:rFonts w:hint="eastAsia"/>
                <w:color w:val="auto"/>
                <w:sz w:val="24"/>
                <w:lang w:val="en-US" w:eastAsia="zh-CN"/>
              </w:rPr>
              <w:t>9.6</w:t>
            </w:r>
            <w:r>
              <w:rPr>
                <w:color w:val="auto"/>
                <w:sz w:val="24"/>
              </w:rPr>
              <w:t>dB（A），满足《声环境质量标准》（GB3096-2008）中</w:t>
            </w:r>
            <w:r>
              <w:rPr>
                <w:rFonts w:hint="eastAsia"/>
                <w:color w:val="auto"/>
                <w:sz w:val="24"/>
                <w:lang w:val="en-US" w:eastAsia="zh-CN"/>
              </w:rPr>
              <w:t>3</w:t>
            </w:r>
            <w:r>
              <w:rPr>
                <w:color w:val="auto"/>
                <w:sz w:val="24"/>
              </w:rPr>
              <w:t>类标准</w:t>
            </w:r>
            <w:bookmarkEnd w:id="7"/>
            <w:r>
              <w:rPr>
                <w:color w:val="auto"/>
                <w:sz w:val="24"/>
              </w:rPr>
              <w:t>。</w:t>
            </w:r>
          </w:p>
          <w:p>
            <w:pPr>
              <w:pStyle w:val="17"/>
              <w:spacing w:after="0" w:line="360" w:lineRule="auto"/>
              <w:rPr>
                <w:b/>
                <w:bCs/>
                <w:color w:val="auto"/>
                <w:sz w:val="24"/>
              </w:rPr>
            </w:pPr>
            <w:r>
              <w:rPr>
                <w:rFonts w:hint="eastAsia"/>
                <w:b/>
                <w:bCs/>
                <w:color w:val="auto"/>
                <w:sz w:val="24"/>
              </w:rPr>
              <w:t xml:space="preserve"> </w:t>
            </w:r>
            <w:r>
              <w:rPr>
                <w:rFonts w:hint="eastAsia"/>
                <w:b/>
                <w:bCs/>
                <w:color w:val="auto"/>
                <w:sz w:val="24"/>
                <w:lang w:val="en-US" w:eastAsia="zh-CN"/>
              </w:rPr>
              <w:t xml:space="preserve">   </w:t>
            </w:r>
            <w:r>
              <w:rPr>
                <w:rFonts w:hint="eastAsia"/>
                <w:b/>
                <w:bCs/>
                <w:color w:val="auto"/>
                <w:sz w:val="24"/>
              </w:rPr>
              <w:t>4、地下水质量现状</w:t>
            </w:r>
          </w:p>
          <w:p>
            <w:pPr>
              <w:pStyle w:val="17"/>
              <w:spacing w:after="0" w:line="360" w:lineRule="auto"/>
              <w:ind w:firstLine="480"/>
              <w:rPr>
                <w:color w:val="auto"/>
                <w:sz w:val="24"/>
              </w:rPr>
            </w:pPr>
            <w:r>
              <w:rPr>
                <w:rFonts w:hint="eastAsia"/>
                <w:color w:val="auto"/>
                <w:sz w:val="24"/>
              </w:rPr>
              <w:t>项目循环水池采取严格的</w:t>
            </w:r>
            <w:r>
              <w:rPr>
                <w:rFonts w:hint="eastAsia"/>
                <w:color w:val="auto"/>
                <w:sz w:val="24"/>
                <w:highlight w:val="none"/>
              </w:rPr>
              <w:t>防渗措施后，</w:t>
            </w:r>
            <w:r>
              <w:rPr>
                <w:rFonts w:hint="eastAsia"/>
                <w:color w:val="auto"/>
                <w:sz w:val="24"/>
              </w:rPr>
              <w:t>不存在地下水污染途径，不对地下水环境产生不良影响，此次评价不开展地下水现状评价调查。</w:t>
            </w:r>
          </w:p>
          <w:p>
            <w:pPr>
              <w:pStyle w:val="17"/>
              <w:spacing w:after="0" w:line="360" w:lineRule="auto"/>
              <w:ind w:firstLine="480"/>
              <w:rPr>
                <w:b/>
                <w:bCs/>
                <w:color w:val="auto"/>
                <w:sz w:val="24"/>
              </w:rPr>
            </w:pPr>
            <w:r>
              <w:rPr>
                <w:rFonts w:hint="eastAsia"/>
                <w:b/>
                <w:bCs/>
                <w:color w:val="auto"/>
                <w:sz w:val="24"/>
              </w:rPr>
              <w:t>5、土壤环境质量现状</w:t>
            </w:r>
          </w:p>
          <w:p>
            <w:pPr>
              <w:spacing w:line="360" w:lineRule="auto"/>
              <w:ind w:firstLine="480" w:firstLineChars="200"/>
              <w:rPr>
                <w:color w:val="auto"/>
                <w:sz w:val="24"/>
              </w:rPr>
            </w:pPr>
            <w:r>
              <w:rPr>
                <w:rFonts w:hint="eastAsia"/>
                <w:color w:val="auto"/>
                <w:sz w:val="24"/>
              </w:rPr>
              <w:t>项目运营期间苯并芘通过大气沉降污染途径沉降至地表，对土壤环境产生一定程度影响。</w:t>
            </w:r>
          </w:p>
          <w:p>
            <w:pPr>
              <w:spacing w:line="360" w:lineRule="auto"/>
              <w:ind w:firstLine="480" w:firstLineChars="200"/>
              <w:rPr>
                <w:rFonts w:hint="eastAsia"/>
                <w:color w:val="auto"/>
                <w:sz w:val="24"/>
                <w:lang w:val="en-US" w:eastAsia="zh-CN"/>
              </w:rPr>
            </w:pPr>
            <w:r>
              <w:rPr>
                <w:rFonts w:hint="eastAsia"/>
                <w:color w:val="auto"/>
                <w:sz w:val="24"/>
                <w:lang w:val="en-US" w:eastAsia="zh-CN"/>
              </w:rPr>
              <w:t>大同市贵义碳素有限公司环保新材料煤质活性炭建设项目环境影响评价阶段在本项目场地范围内设了两个监测点，在项目场地北侧耕地范围内设了一个监测点，监测点位示意图如下所示。</w:t>
            </w:r>
          </w:p>
          <w:p>
            <w:pPr>
              <w:pStyle w:val="2"/>
              <w:ind w:left="0" w:leftChars="0" w:firstLine="0" w:firstLineChars="0"/>
              <w:rPr>
                <w:rFonts w:hint="default"/>
                <w:color w:val="auto"/>
                <w:lang w:val="en-US" w:eastAsia="zh-CN"/>
              </w:rPr>
            </w:pPr>
            <w:r>
              <w:rPr>
                <w:rFonts w:hint="eastAsia"/>
                <w:color w:val="auto"/>
                <w:sz w:val="24"/>
                <w:lang w:val="en-US" w:eastAsia="zh-CN"/>
              </w:rPr>
              <w:t xml:space="preserve">    此次评价引用其监测资料说明项目所在地土壤环境质量现状。</w:t>
            </w:r>
          </w:p>
          <w:p>
            <w:pPr>
              <w:spacing w:line="360" w:lineRule="auto"/>
              <w:jc w:val="center"/>
              <w:rPr>
                <w:color w:val="auto"/>
              </w:rPr>
            </w:pP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2100580</wp:posOffset>
                      </wp:positionH>
                      <wp:positionV relativeFrom="paragraph">
                        <wp:posOffset>1464945</wp:posOffset>
                      </wp:positionV>
                      <wp:extent cx="883285" cy="452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83285"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FE1DF"/>
                                      <w:lang w:val="en-US" w:eastAsia="zh-CN"/>
                                    </w:rPr>
                                  </w:pPr>
                                  <w:r>
                                    <w:rPr>
                                      <w:rFonts w:hint="eastAsia"/>
                                      <w:color w:val="0FE1DF"/>
                                      <w:highlight w:val="none"/>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4pt;margin-top:115.35pt;height:35.65pt;width:69.55pt;z-index:251669504;mso-width-relative:page;mso-height-relative:page;" filled="f" stroked="f" coordsize="21600,21600" o:gfxdata="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lgP3AAAAAsBAAAPAAAAAAAAAAEAIAAAACIAAABk&#10;cnMvZG93bnJldi54bWxQSwECFAAUAAAACACHTuJA/hl4UTsCAABlBAAADgAAAAAAAAABACAAAAAr&#10;AQAAZHJzL2Uyb0RvYy54bWxQSwUGAAAAAAYABgBZAQAA2AUAAAAA&#10;">
                      <v:fill on="f" focussize="0,0"/>
                      <v:stroke on="f" weight="0.5pt"/>
                      <v:imagedata o:title=""/>
                      <o:lock v:ext="edit" aspectratio="f"/>
                      <v:textbox>
                        <w:txbxContent>
                          <w:p>
                            <w:pPr>
                              <w:rPr>
                                <w:rFonts w:hint="default" w:eastAsia="宋体"/>
                                <w:color w:val="0FE1DF"/>
                                <w:lang w:val="en-US" w:eastAsia="zh-CN"/>
                              </w:rPr>
                            </w:pPr>
                            <w:r>
                              <w:rPr>
                                <w:rFonts w:hint="eastAsia"/>
                                <w:color w:val="0FE1DF"/>
                                <w:highlight w:val="none"/>
                                <w:lang w:val="en-US" w:eastAsia="zh-CN"/>
                              </w:rPr>
                              <w:t>2#</w:t>
                            </w:r>
                          </w:p>
                        </w:txbxContent>
                      </v:textbox>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2309495</wp:posOffset>
                      </wp:positionH>
                      <wp:positionV relativeFrom="paragraph">
                        <wp:posOffset>1998980</wp:posOffset>
                      </wp:positionV>
                      <wp:extent cx="883285" cy="4527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883285"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FE1DF"/>
                                      <w:lang w:val="en-US" w:eastAsia="zh-CN"/>
                                    </w:rPr>
                                  </w:pPr>
                                  <w:r>
                                    <w:rPr>
                                      <w:rFonts w:hint="eastAsia"/>
                                      <w:color w:val="0FE1DF"/>
                                      <w:highlight w:val="none"/>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5pt;margin-top:157.4pt;height:35.65pt;width:69.55pt;z-index:251670528;mso-width-relative:page;mso-height-relative:page;" filled="f" stroked="f" coordsize="21600,21600" o:gfxdata="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800j2wAAAAsBAAAPAAAAAAAAAAEAIAAAACIAAABk&#10;cnMvZG93bnJldi54bWxQSwECFAAUAAAACACHTuJASXRV2TwCAABlBAAADgAAAAAAAAABACAAAAAq&#10;AQAAZHJzL2Uyb0RvYy54bWxQSwUGAAAAAAYABgBZAQAA2AUAAAAA&#10;">
                      <v:fill on="f" focussize="0,0"/>
                      <v:stroke on="f" weight="0.5pt"/>
                      <v:imagedata o:title=""/>
                      <o:lock v:ext="edit" aspectratio="f"/>
                      <v:textbox>
                        <w:txbxContent>
                          <w:p>
                            <w:pPr>
                              <w:rPr>
                                <w:rFonts w:hint="default" w:eastAsia="宋体"/>
                                <w:color w:val="0FE1DF"/>
                                <w:lang w:val="en-US" w:eastAsia="zh-CN"/>
                              </w:rPr>
                            </w:pPr>
                            <w:r>
                              <w:rPr>
                                <w:rFonts w:hint="eastAsia"/>
                                <w:color w:val="0FE1DF"/>
                                <w:highlight w:val="none"/>
                                <w:lang w:val="en-US" w:eastAsia="zh-CN"/>
                              </w:rPr>
                              <w:t>3#</w:t>
                            </w:r>
                          </w:p>
                        </w:txbxContent>
                      </v:textbox>
                    </v:shape>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2031365</wp:posOffset>
                      </wp:positionH>
                      <wp:positionV relativeFrom="paragraph">
                        <wp:posOffset>697865</wp:posOffset>
                      </wp:positionV>
                      <wp:extent cx="883285" cy="452755"/>
                      <wp:effectExtent l="0" t="0" r="0" b="0"/>
                      <wp:wrapNone/>
                      <wp:docPr id="5" name="文本框 5"/>
                      <wp:cNvGraphicFramePr/>
                      <a:graphic xmlns:a="http://schemas.openxmlformats.org/drawingml/2006/main">
                        <a:graphicData uri="http://schemas.microsoft.com/office/word/2010/wordprocessingShape">
                          <wps:wsp>
                            <wps:cNvSpPr txBox="1"/>
                            <wps:spPr>
                              <a:xfrm>
                                <a:off x="2909570" y="5332730"/>
                                <a:ext cx="883285"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FE1DF"/>
                                      <w:lang w:val="en-US" w:eastAsia="zh-CN"/>
                                    </w:rPr>
                                  </w:pPr>
                                  <w:r>
                                    <w:rPr>
                                      <w:rFonts w:hint="eastAsia"/>
                                      <w:color w:val="0FE1DF"/>
                                      <w:highlight w:val="none"/>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95pt;margin-top:54.95pt;height:35.65pt;width:69.55pt;z-index:251667456;mso-width-relative:page;mso-height-relative:page;" filled="f" stroked="f" coordsize="21600,21600" o:gfxdata="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Vw+s2wAAAAsBAAAPAAAAAAAA&#10;AAEAIAAAACIAAABkcnMvZG93bnJldi54bWxQSwECFAAUAAAACACHTuJApNyXgkgCAABxBAAADgAA&#10;AAAAAAABACAAAAAqAQAAZHJzL2Uyb0RvYy54bWxQSwUGAAAAAAYABgBZAQAA5AUAAAAA&#10;">
                      <v:fill on="f" focussize="0,0"/>
                      <v:stroke on="f" weight="0.5pt"/>
                      <v:imagedata o:title=""/>
                      <o:lock v:ext="edit" aspectratio="f"/>
                      <v:textbox>
                        <w:txbxContent>
                          <w:p>
                            <w:pPr>
                              <w:rPr>
                                <w:rFonts w:hint="default" w:eastAsia="宋体"/>
                                <w:color w:val="0FE1DF"/>
                                <w:lang w:val="en-US" w:eastAsia="zh-CN"/>
                              </w:rPr>
                            </w:pPr>
                            <w:r>
                              <w:rPr>
                                <w:rFonts w:hint="eastAsia"/>
                                <w:color w:val="0FE1DF"/>
                                <w:highlight w:val="none"/>
                                <w:lang w:val="en-US" w:eastAsia="zh-CN"/>
                              </w:rPr>
                              <w:t>1#</w:t>
                            </w:r>
                          </w:p>
                        </w:txbxContent>
                      </v:textbox>
                    </v:shape>
                  </w:pict>
                </mc:Fallback>
              </mc:AlternateContent>
            </w:r>
            <w:r>
              <w:rPr>
                <w:color w:val="auto"/>
              </w:rPr>
              <w:drawing>
                <wp:inline distT="0" distB="0" distL="114300" distR="114300">
                  <wp:extent cx="3716655" cy="3211195"/>
                  <wp:effectExtent l="0" t="0" r="17145" b="825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1"/>
                          <a:stretch>
                            <a:fillRect/>
                          </a:stretch>
                        </pic:blipFill>
                        <pic:spPr>
                          <a:xfrm>
                            <a:off x="0" y="0"/>
                            <a:ext cx="3716655" cy="3211195"/>
                          </a:xfrm>
                          <a:prstGeom prst="rect">
                            <a:avLst/>
                          </a:prstGeom>
                          <a:noFill/>
                          <a:ln>
                            <a:noFill/>
                          </a:ln>
                        </pic:spPr>
                      </pic:pic>
                    </a:graphicData>
                  </a:graphic>
                </wp:inline>
              </w:drawing>
            </w:r>
          </w:p>
          <w:p>
            <w:pPr>
              <w:spacing w:line="360" w:lineRule="auto"/>
              <w:jc w:val="center"/>
              <w:rPr>
                <w:rFonts w:hint="default"/>
                <w:b/>
                <w:bCs/>
                <w:color w:val="auto"/>
                <w:sz w:val="24"/>
                <w:lang w:val="en-US" w:eastAsia="zh-CN"/>
              </w:rPr>
            </w:pPr>
            <w:r>
              <w:rPr>
                <w:rFonts w:hint="eastAsia"/>
                <w:b/>
                <w:bCs/>
                <w:color w:val="auto"/>
                <w:sz w:val="24"/>
                <w:lang w:val="en-US" w:eastAsia="zh-CN"/>
              </w:rPr>
              <w:t>图6 引用监测资料土壤环境监测点位示意图</w:t>
            </w:r>
          </w:p>
          <w:p>
            <w:pPr>
              <w:spacing w:line="480" w:lineRule="atLeast"/>
              <w:ind w:firstLine="560"/>
              <w:rPr>
                <w:rFonts w:ascii="Times New Roman" w:hAnsi="Times New Roman" w:cs="Times New Roman"/>
                <w:color w:val="auto"/>
                <w:sz w:val="24"/>
                <w:szCs w:val="24"/>
              </w:rPr>
            </w:pPr>
            <w:r>
              <w:rPr>
                <w:rFonts w:hint="eastAsia" w:cs="Times New Roman"/>
                <w:color w:val="auto"/>
                <w:sz w:val="24"/>
                <w:szCs w:val="24"/>
                <w:lang w:val="en-US" w:eastAsia="zh-CN"/>
              </w:rPr>
              <w:t>评价</w:t>
            </w:r>
            <w:r>
              <w:rPr>
                <w:rFonts w:hint="eastAsia" w:ascii="Times New Roman" w:hAnsi="Times New Roman" w:cs="Times New Roman"/>
                <w:color w:val="auto"/>
                <w:sz w:val="24"/>
                <w:szCs w:val="24"/>
              </w:rPr>
              <w:t>因子选取</w:t>
            </w:r>
            <w:r>
              <w:rPr>
                <w:rFonts w:ascii="Times New Roman" w:hAnsi="Times New Roman" w:cs="Times New Roman"/>
                <w:color w:val="auto"/>
                <w:sz w:val="24"/>
                <w:szCs w:val="24"/>
              </w:rPr>
              <w:t>《土壤环境质量标准建设用地土壤污染风险管控标准》（试行）（GB15618-2018）第二类用地全部基本项目，苯并〔a〕芘，《土壤环境质量标准农用地土壤污染风险管控标准》（试行）（GB15618-2018）全部基本项目，苯并[a]芘。</w:t>
            </w:r>
            <w:r>
              <w:rPr>
                <w:rFonts w:hint="eastAsia" w:ascii="Times New Roman" w:hAnsi="Times New Roman" w:cs="Times New Roman"/>
                <w:color w:val="auto"/>
                <w:sz w:val="24"/>
                <w:szCs w:val="24"/>
              </w:rPr>
              <w:t>具体</w:t>
            </w:r>
            <w:r>
              <w:rPr>
                <w:rFonts w:ascii="Times New Roman" w:hAnsi="Times New Roman" w:cs="Times New Roman"/>
                <w:color w:val="auto"/>
                <w:sz w:val="24"/>
                <w:szCs w:val="24"/>
              </w:rPr>
              <w:t>见表</w:t>
            </w:r>
            <w:r>
              <w:rPr>
                <w:rFonts w:hint="eastAsia" w:cs="Times New Roman"/>
                <w:color w:val="auto"/>
                <w:sz w:val="24"/>
                <w:szCs w:val="24"/>
                <w:lang w:val="en-US" w:eastAsia="zh-CN"/>
              </w:rPr>
              <w:t>19</w:t>
            </w:r>
            <w:r>
              <w:rPr>
                <w:rFonts w:ascii="Times New Roman" w:hAnsi="Times New Roman" w:cs="Times New Roman"/>
                <w:color w:val="auto"/>
                <w:sz w:val="24"/>
                <w:szCs w:val="24"/>
              </w:rPr>
              <w:t>。</w:t>
            </w:r>
          </w:p>
          <w:p>
            <w:pPr>
              <w:pStyle w:val="2"/>
              <w:rPr>
                <w:rFonts w:ascii="Times New Roman" w:hAnsi="Times New Roman" w:cs="Times New Roman"/>
                <w:color w:val="auto"/>
                <w:sz w:val="24"/>
                <w:szCs w:val="24"/>
              </w:rPr>
            </w:pPr>
          </w:p>
          <w:p>
            <w:pPr>
              <w:rPr>
                <w:rFonts w:ascii="Times New Roman" w:hAnsi="Times New Roman" w:cs="Times New Roman"/>
                <w:color w:val="auto"/>
                <w:sz w:val="24"/>
                <w:szCs w:val="24"/>
              </w:rPr>
            </w:pPr>
          </w:p>
          <w:p>
            <w:pPr>
              <w:pStyle w:val="2"/>
              <w:rPr>
                <w:rFonts w:ascii="Times New Roman" w:hAnsi="Times New Roman" w:cs="Times New Roman"/>
                <w:color w:val="auto"/>
                <w:sz w:val="24"/>
                <w:szCs w:val="24"/>
              </w:rPr>
            </w:pPr>
          </w:p>
          <w:p>
            <w:pPr>
              <w:rPr>
                <w:color w:val="auto"/>
              </w:rPr>
            </w:pPr>
          </w:p>
          <w:p>
            <w:pPr>
              <w:pStyle w:val="2"/>
              <w:rPr>
                <w:color w:val="auto"/>
              </w:rPr>
            </w:pPr>
          </w:p>
          <w:p>
            <w:pPr>
              <w:rPr>
                <w:color w:val="auto"/>
              </w:rPr>
            </w:pPr>
          </w:p>
          <w:p>
            <w:pPr>
              <w:spacing w:line="240" w:lineRule="auto"/>
              <w:ind w:firstLine="56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9</w:t>
            </w:r>
            <w:r>
              <w:rPr>
                <w:rFonts w:ascii="Times New Roman" w:hAnsi="Times New Roman" w:cs="Times New Roman"/>
                <w:b/>
                <w:bCs/>
                <w:color w:val="auto"/>
                <w:sz w:val="24"/>
                <w:szCs w:val="24"/>
              </w:rPr>
              <w:t xml:space="preserve">  监测</w:t>
            </w:r>
            <w:r>
              <w:rPr>
                <w:rFonts w:hint="eastAsia" w:ascii="Times New Roman" w:hAnsi="Times New Roman" w:cs="Times New Roman"/>
                <w:b/>
                <w:bCs/>
                <w:color w:val="auto"/>
                <w:sz w:val="24"/>
                <w:szCs w:val="24"/>
              </w:rPr>
              <w:t>因子一览</w:t>
            </w:r>
            <w:r>
              <w:rPr>
                <w:rFonts w:ascii="Times New Roman" w:hAnsi="Times New Roman" w:cs="Times New Roman"/>
                <w:b/>
                <w:bCs/>
                <w:color w:val="auto"/>
                <w:sz w:val="24"/>
                <w:szCs w:val="24"/>
              </w:rPr>
              <w:t>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492"/>
              <w:gridCol w:w="1331"/>
              <w:gridCol w:w="1149"/>
              <w:gridCol w:w="2523"/>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tcBorders>
                    <w:tl2br w:val="nil"/>
                    <w:tr2bl w:val="nil"/>
                  </w:tcBorders>
                  <w:vAlign w:val="center"/>
                </w:tcPr>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监测点位</w:t>
                  </w:r>
                </w:p>
              </w:tc>
              <w:tc>
                <w:tcPr>
                  <w:tcW w:w="1792" w:type="pct"/>
                  <w:gridSpan w:val="2"/>
                  <w:tcBorders>
                    <w:tl2br w:val="nil"/>
                    <w:tr2bl w:val="nil"/>
                  </w:tcBorders>
                  <w:vAlign w:val="center"/>
                </w:tcPr>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位置</w:t>
                  </w:r>
                </w:p>
              </w:tc>
              <w:tc>
                <w:tcPr>
                  <w:tcW w:w="729" w:type="pct"/>
                  <w:vMerge w:val="restart"/>
                  <w:tcBorders>
                    <w:tl2br w:val="nil"/>
                    <w:tr2bl w:val="nil"/>
                  </w:tcBorders>
                  <w:vAlign w:val="center"/>
                </w:tcPr>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取样深度</w:t>
                  </w:r>
                </w:p>
              </w:tc>
              <w:tc>
                <w:tcPr>
                  <w:tcW w:w="1601" w:type="pct"/>
                  <w:vMerge w:val="restart"/>
                  <w:tcBorders>
                    <w:tl2br w:val="nil"/>
                    <w:tr2bl w:val="nil"/>
                  </w:tcBorders>
                  <w:vAlign w:val="center"/>
                </w:tcPr>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监测项目</w:t>
                  </w:r>
                </w:p>
              </w:tc>
              <w:tc>
                <w:tcPr>
                  <w:tcW w:w="504" w:type="pct"/>
                  <w:vMerge w:val="restart"/>
                  <w:tcBorders>
                    <w:tl2br w:val="nil"/>
                    <w:tr2bl w:val="nil"/>
                  </w:tcBorders>
                </w:tcPr>
                <w:p>
                  <w:pPr>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土地</w:t>
                  </w:r>
                </w:p>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vAlign w:val="center"/>
                </w:tcPr>
                <w:p>
                  <w:pPr>
                    <w:widowControl/>
                    <w:spacing w:line="300" w:lineRule="atLeast"/>
                    <w:jc w:val="left"/>
                    <w:rPr>
                      <w:rFonts w:ascii="Times New Roman" w:hAnsi="Times New Roman" w:cs="Times New Roman"/>
                      <w:b/>
                      <w:color w:val="auto"/>
                      <w:kern w:val="21"/>
                      <w:szCs w:val="21"/>
                      <w:lang w:val="de-DE"/>
                    </w:rPr>
                  </w:pPr>
                </w:p>
              </w:tc>
              <w:tc>
                <w:tcPr>
                  <w:tcW w:w="947" w:type="pct"/>
                  <w:tcBorders>
                    <w:tl2br w:val="nil"/>
                    <w:tr2bl w:val="nil"/>
                  </w:tcBorders>
                  <w:vAlign w:val="center"/>
                </w:tcPr>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经度</w:t>
                  </w:r>
                </w:p>
              </w:tc>
              <w:tc>
                <w:tcPr>
                  <w:tcW w:w="845" w:type="pct"/>
                  <w:tcBorders>
                    <w:tl2br w:val="nil"/>
                    <w:tr2bl w:val="nil"/>
                  </w:tcBorders>
                  <w:vAlign w:val="center"/>
                </w:tcPr>
                <w:p>
                  <w:pPr>
                    <w:tabs>
                      <w:tab w:val="left" w:pos="7380"/>
                    </w:tabs>
                    <w:snapToGrid w:val="0"/>
                    <w:spacing w:line="300" w:lineRule="atLeast"/>
                    <w:jc w:val="center"/>
                    <w:rPr>
                      <w:rFonts w:ascii="Times New Roman" w:hAnsi="Times New Roman" w:cs="Times New Roman"/>
                      <w:b/>
                      <w:color w:val="auto"/>
                      <w:kern w:val="21"/>
                      <w:szCs w:val="21"/>
                      <w:lang w:val="de-DE"/>
                    </w:rPr>
                  </w:pPr>
                  <w:r>
                    <w:rPr>
                      <w:rFonts w:ascii="Times New Roman" w:cs="Times New Roman" w:hAnsiTheme="minorEastAsia"/>
                      <w:b/>
                      <w:color w:val="auto"/>
                      <w:szCs w:val="21"/>
                    </w:rPr>
                    <w:t>纬度</w:t>
                  </w:r>
                </w:p>
              </w:tc>
              <w:tc>
                <w:tcPr>
                  <w:tcW w:w="729" w:type="pct"/>
                  <w:vMerge w:val="continue"/>
                  <w:tcBorders>
                    <w:tl2br w:val="nil"/>
                    <w:tr2bl w:val="nil"/>
                  </w:tcBorders>
                  <w:vAlign w:val="center"/>
                </w:tcPr>
                <w:p>
                  <w:pPr>
                    <w:widowControl/>
                    <w:spacing w:line="300" w:lineRule="atLeast"/>
                    <w:jc w:val="left"/>
                    <w:rPr>
                      <w:rFonts w:ascii="Times New Roman" w:hAnsi="Times New Roman" w:cs="Times New Roman"/>
                      <w:b/>
                      <w:color w:val="auto"/>
                      <w:kern w:val="21"/>
                      <w:szCs w:val="21"/>
                      <w:lang w:val="de-DE"/>
                    </w:rPr>
                  </w:pPr>
                </w:p>
              </w:tc>
              <w:tc>
                <w:tcPr>
                  <w:tcW w:w="1601" w:type="pct"/>
                  <w:vMerge w:val="continue"/>
                  <w:tcBorders>
                    <w:tl2br w:val="nil"/>
                    <w:tr2bl w:val="nil"/>
                  </w:tcBorders>
                  <w:vAlign w:val="center"/>
                </w:tcPr>
                <w:p>
                  <w:pPr>
                    <w:widowControl/>
                    <w:spacing w:line="300" w:lineRule="atLeast"/>
                    <w:jc w:val="left"/>
                    <w:rPr>
                      <w:rFonts w:ascii="Times New Roman" w:hAnsi="Times New Roman" w:cs="Times New Roman"/>
                      <w:b/>
                      <w:color w:val="auto"/>
                      <w:kern w:val="21"/>
                      <w:szCs w:val="21"/>
                      <w:lang w:val="de-DE"/>
                    </w:rPr>
                  </w:pPr>
                </w:p>
              </w:tc>
              <w:tc>
                <w:tcPr>
                  <w:tcW w:w="504" w:type="pct"/>
                  <w:vMerge w:val="continue"/>
                  <w:tcBorders>
                    <w:tl2br w:val="nil"/>
                    <w:tr2bl w:val="nil"/>
                  </w:tcBorders>
                  <w:vAlign w:val="center"/>
                </w:tcPr>
                <w:p>
                  <w:pPr>
                    <w:widowControl/>
                    <w:spacing w:line="300" w:lineRule="atLeast"/>
                    <w:jc w:val="left"/>
                    <w:rPr>
                      <w:rFonts w:ascii="Times New Roman" w:hAnsi="Times New Roman" w:cs="Times New Roman"/>
                      <w:b/>
                      <w:color w:val="auto"/>
                      <w:kern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tabs>
                      <w:tab w:val="left" w:pos="7380"/>
                    </w:tabs>
                    <w:snapToGrid w:val="0"/>
                    <w:spacing w:line="300" w:lineRule="atLeast"/>
                    <w:jc w:val="center"/>
                    <w:rPr>
                      <w:rFonts w:hint="default" w:ascii="Times New Roman" w:hAnsi="Times New Roman" w:eastAsia="宋体" w:cs="Times New Roman"/>
                      <w:color w:val="auto"/>
                      <w:kern w:val="21"/>
                      <w:szCs w:val="21"/>
                      <w:lang w:val="en-US" w:eastAsia="zh-CN"/>
                    </w:rPr>
                  </w:pPr>
                  <w:r>
                    <w:rPr>
                      <w:rFonts w:hint="eastAsia" w:cs="Times New Roman"/>
                      <w:color w:val="auto"/>
                      <w:szCs w:val="21"/>
                      <w:lang w:val="en-US" w:eastAsia="zh-CN"/>
                    </w:rPr>
                    <w:t>1#</w:t>
                  </w:r>
                </w:p>
              </w:tc>
              <w:tc>
                <w:tcPr>
                  <w:tcW w:w="947" w:type="pct"/>
                  <w:tcBorders>
                    <w:tl2br w:val="nil"/>
                    <w:tr2bl w:val="nil"/>
                  </w:tcBorders>
                  <w:vAlign w:val="center"/>
                </w:tcPr>
                <w:p>
                  <w:pPr>
                    <w:spacing w:line="300" w:lineRule="atLeast"/>
                    <w:jc w:val="center"/>
                    <w:rPr>
                      <w:rFonts w:ascii="Times New Roman" w:hAnsi="Times New Roman" w:cs="Times New Roman"/>
                      <w:color w:val="auto"/>
                      <w:szCs w:val="21"/>
                    </w:rPr>
                  </w:pPr>
                  <w:r>
                    <w:rPr>
                      <w:rFonts w:ascii="Times New Roman" w:hAnsi="Times New Roman" w:cs="Times New Roman"/>
                      <w:snapToGrid w:val="0"/>
                      <w:color w:val="auto"/>
                      <w:szCs w:val="21"/>
                    </w:rPr>
                    <w:t xml:space="preserve">E:113°27′34″   </w:t>
                  </w:r>
                </w:p>
              </w:tc>
              <w:tc>
                <w:tcPr>
                  <w:tcW w:w="845"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ascii="Times New Roman" w:hAnsi="Times New Roman" w:cs="Times New Roman"/>
                      <w:snapToGrid w:val="0"/>
                      <w:color w:val="auto"/>
                      <w:szCs w:val="21"/>
                    </w:rPr>
                    <w:t>N:39°53′7″</w:t>
                  </w:r>
                </w:p>
              </w:tc>
              <w:tc>
                <w:tcPr>
                  <w:tcW w:w="729"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ascii="Times New Roman" w:hAnsi="Times New Roman" w:cs="Times New Roman"/>
                      <w:color w:val="auto"/>
                      <w:szCs w:val="21"/>
                    </w:rPr>
                    <w:t>0</w:t>
                  </w:r>
                  <w:r>
                    <w:rPr>
                      <w:rFonts w:ascii="Times New Roman" w:cs="Times New Roman" w:hAnsiTheme="minorEastAsia"/>
                      <w:color w:val="auto"/>
                      <w:szCs w:val="21"/>
                    </w:rPr>
                    <w:t>～</w:t>
                  </w:r>
                  <w:r>
                    <w:rPr>
                      <w:rFonts w:ascii="Times New Roman" w:hAnsi="Times New Roman" w:cs="Times New Roman"/>
                      <w:color w:val="auto"/>
                      <w:szCs w:val="21"/>
                    </w:rPr>
                    <w:t>0.2m</w:t>
                  </w:r>
                </w:p>
              </w:tc>
              <w:tc>
                <w:tcPr>
                  <w:tcW w:w="1601" w:type="pct"/>
                  <w:tcBorders>
                    <w:tl2br w:val="nil"/>
                    <w:tr2bl w:val="nil"/>
                  </w:tcBorders>
                  <w:vAlign w:val="center"/>
                </w:tcPr>
                <w:p>
                  <w:pPr>
                    <w:tabs>
                      <w:tab w:val="left" w:pos="7380"/>
                    </w:tabs>
                    <w:snapToGrid w:val="0"/>
                    <w:spacing w:line="300" w:lineRule="atLeast"/>
                    <w:rPr>
                      <w:rFonts w:ascii="Times New Roman" w:hAnsi="Times New Roman" w:cs="Times New Roman"/>
                      <w:color w:val="auto"/>
                      <w:kern w:val="21"/>
                      <w:szCs w:val="21"/>
                      <w:lang w:val="de-DE"/>
                    </w:rPr>
                  </w:pPr>
                  <w:r>
                    <w:rPr>
                      <w:rFonts w:ascii="Times New Roman" w:hAnsi="Times New Roman" w:cs="Times New Roman"/>
                      <w:color w:val="auto"/>
                      <w:szCs w:val="21"/>
                    </w:rPr>
                    <w:t>pH</w:t>
                  </w:r>
                  <w:r>
                    <w:rPr>
                      <w:rFonts w:ascii="Times New Roman" w:cs="Times New Roman" w:hAnsiTheme="minorEastAsia"/>
                      <w:color w:val="auto"/>
                      <w:szCs w:val="21"/>
                    </w:rPr>
                    <w:t>、镉、汞、砷、铅、铬、铜、镍、锌、苯并</w:t>
                  </w:r>
                  <w:r>
                    <w:rPr>
                      <w:rFonts w:ascii="Times New Roman" w:cs="Times New Roman" w:hAnsiTheme="minorEastAsia"/>
                      <w:color w:val="auto"/>
                      <w:szCs w:val="21"/>
                      <w:vertAlign w:val="subscript"/>
                    </w:rPr>
                    <w:t>〔</w:t>
                  </w:r>
                  <w:r>
                    <w:rPr>
                      <w:rFonts w:ascii="Times New Roman" w:hAnsi="Times New Roman" w:cs="Times New Roman"/>
                      <w:color w:val="auto"/>
                      <w:szCs w:val="21"/>
                      <w:vertAlign w:val="subscript"/>
                    </w:rPr>
                    <w:t>a</w:t>
                  </w:r>
                  <w:r>
                    <w:rPr>
                      <w:rFonts w:ascii="Times New Roman" w:cs="Times New Roman" w:hAnsiTheme="minorEastAsia"/>
                      <w:color w:val="auto"/>
                      <w:szCs w:val="21"/>
                      <w:vertAlign w:val="subscript"/>
                    </w:rPr>
                    <w:t>〕</w:t>
                  </w:r>
                  <w:r>
                    <w:rPr>
                      <w:rFonts w:ascii="Times New Roman" w:cs="Times New Roman" w:hAnsiTheme="minorEastAsia"/>
                      <w:color w:val="auto"/>
                      <w:szCs w:val="21"/>
                    </w:rPr>
                    <w:t>芘</w:t>
                  </w:r>
                </w:p>
              </w:tc>
              <w:tc>
                <w:tcPr>
                  <w:tcW w:w="504"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ascii="Times New Roman" w:cs="Times New Roman" w:hAnsiTheme="minorEastAsia"/>
                      <w:color w:val="auto"/>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tabs>
                      <w:tab w:val="left" w:pos="7380"/>
                    </w:tabs>
                    <w:snapToGrid w:val="0"/>
                    <w:spacing w:line="300" w:lineRule="atLeast"/>
                    <w:jc w:val="center"/>
                    <w:rPr>
                      <w:rFonts w:hint="default" w:ascii="Times New Roman" w:hAnsi="Times New Roman" w:eastAsia="宋体" w:cs="Times New Roman"/>
                      <w:color w:val="auto"/>
                      <w:kern w:val="21"/>
                      <w:szCs w:val="21"/>
                      <w:lang w:val="en-US" w:eastAsia="zh-CN"/>
                    </w:rPr>
                  </w:pPr>
                  <w:r>
                    <w:rPr>
                      <w:rFonts w:hint="eastAsia" w:cs="Times New Roman"/>
                      <w:color w:val="auto"/>
                      <w:szCs w:val="21"/>
                      <w:lang w:val="en-US" w:eastAsia="zh-CN"/>
                    </w:rPr>
                    <w:t>2#</w:t>
                  </w:r>
                </w:p>
              </w:tc>
              <w:tc>
                <w:tcPr>
                  <w:tcW w:w="947" w:type="pct"/>
                  <w:tcBorders>
                    <w:tl2br w:val="nil"/>
                    <w:tr2bl w:val="nil"/>
                  </w:tcBorders>
                  <w:vAlign w:val="center"/>
                </w:tcPr>
                <w:p>
                  <w:pPr>
                    <w:spacing w:line="300" w:lineRule="atLeast"/>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 xml:space="preserve">E:113°27′40″   </w:t>
                  </w:r>
                </w:p>
              </w:tc>
              <w:tc>
                <w:tcPr>
                  <w:tcW w:w="845"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ascii="Times New Roman" w:hAnsi="Times New Roman" w:cs="Times New Roman"/>
                      <w:snapToGrid w:val="0"/>
                      <w:color w:val="auto"/>
                      <w:szCs w:val="21"/>
                    </w:rPr>
                    <w:t>N:39°53′6″</w:t>
                  </w:r>
                </w:p>
              </w:tc>
              <w:tc>
                <w:tcPr>
                  <w:tcW w:w="729" w:type="pct"/>
                  <w:tcBorders>
                    <w:tl2br w:val="nil"/>
                    <w:tr2bl w:val="nil"/>
                  </w:tcBorders>
                  <w:vAlign w:val="center"/>
                </w:tcPr>
                <w:p>
                  <w:pPr>
                    <w:spacing w:line="300" w:lineRule="atLeast"/>
                    <w:jc w:val="center"/>
                    <w:rPr>
                      <w:rFonts w:ascii="Times New Roman" w:hAnsi="Times New Roman" w:cs="Times New Roman"/>
                      <w:color w:val="auto"/>
                      <w:kern w:val="21"/>
                      <w:szCs w:val="21"/>
                      <w:lang w:val="de-DE"/>
                    </w:rPr>
                  </w:pPr>
                  <w:r>
                    <w:rPr>
                      <w:rFonts w:ascii="Times New Roman" w:hAnsi="Times New Roman" w:cs="Times New Roman"/>
                      <w:color w:val="auto"/>
                      <w:szCs w:val="21"/>
                    </w:rPr>
                    <w:t>0</w:t>
                  </w:r>
                  <w:r>
                    <w:rPr>
                      <w:rFonts w:ascii="Times New Roman" w:cs="Times New Roman" w:hAnsiTheme="minorEastAsia"/>
                      <w:color w:val="auto"/>
                      <w:szCs w:val="21"/>
                    </w:rPr>
                    <w:t>～</w:t>
                  </w:r>
                  <w:r>
                    <w:rPr>
                      <w:rFonts w:ascii="Times New Roman" w:hAnsi="Times New Roman" w:cs="Times New Roman"/>
                      <w:color w:val="auto"/>
                      <w:szCs w:val="21"/>
                    </w:rPr>
                    <w:t>0.5m</w:t>
                  </w:r>
                </w:p>
              </w:tc>
              <w:tc>
                <w:tcPr>
                  <w:tcW w:w="1601"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hint="eastAsia" w:ascii="Times New Roman" w:hAnsi="Times New Roman" w:cs="Times New Roman"/>
                      <w:color w:val="auto"/>
                      <w:szCs w:val="21"/>
                    </w:rPr>
                    <w:t>pH+</w:t>
                  </w:r>
                  <w:r>
                    <w:rPr>
                      <w:rFonts w:ascii="Times New Roman" w:hAnsi="Times New Roman" w:cs="Times New Roman"/>
                      <w:color w:val="auto"/>
                      <w:szCs w:val="21"/>
                    </w:rPr>
                    <w:t xml:space="preserve"> B</w:t>
                  </w:r>
                  <w:r>
                    <w:rPr>
                      <w:rFonts w:hint="eastAsia" w:ascii="Times New Roman" w:hAnsi="Times New Roman" w:cs="Times New Roman"/>
                      <w:color w:val="auto"/>
                      <w:szCs w:val="21"/>
                    </w:rPr>
                    <w:t>36600</w:t>
                  </w:r>
                  <w:r>
                    <w:rPr>
                      <w:rFonts w:ascii="Times New Roman" w:hAnsi="Times New Roman" w:cs="Times New Roman"/>
                      <w:color w:val="auto"/>
                      <w:szCs w:val="21"/>
                    </w:rPr>
                    <w:t>-2018中的</w:t>
                  </w:r>
                  <w:r>
                    <w:rPr>
                      <w:rFonts w:hint="eastAsia" w:ascii="Times New Roman" w:hAnsi="Times New Roman" w:cs="Times New Roman"/>
                      <w:color w:val="auto"/>
                      <w:szCs w:val="21"/>
                    </w:rPr>
                    <w:t>45项基本项目</w:t>
                  </w:r>
                </w:p>
              </w:tc>
              <w:tc>
                <w:tcPr>
                  <w:tcW w:w="504" w:type="pct"/>
                  <w:vMerge w:val="restart"/>
                  <w:tcBorders>
                    <w:tl2br w:val="nil"/>
                    <w:tr2bl w:val="nil"/>
                  </w:tcBorders>
                  <w:vAlign w:val="center"/>
                </w:tcPr>
                <w:p>
                  <w:pPr>
                    <w:widowControl/>
                    <w:spacing w:line="300" w:lineRule="atLeast"/>
                    <w:jc w:val="center"/>
                    <w:rPr>
                      <w:rFonts w:hint="default" w:ascii="Times New Roman" w:hAnsi="Times New Roman" w:eastAsia="宋体" w:cs="Times New Roman"/>
                      <w:color w:val="auto"/>
                      <w:kern w:val="21"/>
                      <w:szCs w:val="21"/>
                      <w:lang w:val="en-US" w:eastAsia="zh-CN"/>
                    </w:rPr>
                  </w:pPr>
                  <w:r>
                    <w:rPr>
                      <w:rFonts w:hint="eastAsia" w:cs="Times New Roman"/>
                      <w:color w:val="auto"/>
                      <w:kern w:val="21"/>
                      <w:szCs w:val="21"/>
                      <w:lang w:val="en-US" w:eastAsia="zh-CN"/>
                    </w:rP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72" w:type="pct"/>
                  <w:tcBorders>
                    <w:tl2br w:val="nil"/>
                    <w:tr2bl w:val="nil"/>
                  </w:tcBorders>
                  <w:vAlign w:val="center"/>
                </w:tcPr>
                <w:p>
                  <w:pPr>
                    <w:tabs>
                      <w:tab w:val="left" w:pos="7380"/>
                    </w:tabs>
                    <w:snapToGrid w:val="0"/>
                    <w:spacing w:line="300" w:lineRule="atLeast"/>
                    <w:jc w:val="center"/>
                    <w:rPr>
                      <w:rFonts w:hint="default" w:ascii="Times New Roman" w:hAnsi="Times New Roman" w:eastAsia="宋体" w:cs="Times New Roman"/>
                      <w:color w:val="auto"/>
                      <w:kern w:val="21"/>
                      <w:szCs w:val="21"/>
                      <w:lang w:val="en-US" w:eastAsia="zh-CN"/>
                    </w:rPr>
                  </w:pPr>
                  <w:r>
                    <w:rPr>
                      <w:rFonts w:hint="eastAsia" w:cs="Times New Roman"/>
                      <w:color w:val="auto"/>
                      <w:szCs w:val="21"/>
                      <w:lang w:val="en-US" w:eastAsia="zh-CN"/>
                    </w:rPr>
                    <w:t>3#</w:t>
                  </w:r>
                </w:p>
              </w:tc>
              <w:tc>
                <w:tcPr>
                  <w:tcW w:w="947" w:type="pct"/>
                  <w:tcBorders>
                    <w:tl2br w:val="nil"/>
                    <w:tr2bl w:val="nil"/>
                  </w:tcBorders>
                  <w:vAlign w:val="center"/>
                </w:tcPr>
                <w:p>
                  <w:pPr>
                    <w:spacing w:line="300" w:lineRule="atLeast"/>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 xml:space="preserve">E:113°27′41″ </w:t>
                  </w:r>
                </w:p>
              </w:tc>
              <w:tc>
                <w:tcPr>
                  <w:tcW w:w="845"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ascii="Times New Roman" w:hAnsi="Times New Roman" w:cs="Times New Roman"/>
                      <w:snapToGrid w:val="0"/>
                      <w:color w:val="auto"/>
                      <w:szCs w:val="21"/>
                    </w:rPr>
                    <w:t>N:39°52′59″</w:t>
                  </w:r>
                </w:p>
              </w:tc>
              <w:tc>
                <w:tcPr>
                  <w:tcW w:w="729" w:type="pct"/>
                  <w:tcBorders>
                    <w:tl2br w:val="nil"/>
                    <w:tr2bl w:val="nil"/>
                  </w:tcBorders>
                  <w:vAlign w:val="center"/>
                </w:tcPr>
                <w:p>
                  <w:pPr>
                    <w:spacing w:line="300" w:lineRule="atLeast"/>
                    <w:jc w:val="center"/>
                    <w:rPr>
                      <w:rFonts w:ascii="Times New Roman" w:hAnsi="Times New Roman" w:cs="Times New Roman"/>
                      <w:color w:val="auto"/>
                      <w:kern w:val="21"/>
                      <w:szCs w:val="21"/>
                      <w:lang w:val="de-DE"/>
                    </w:rPr>
                  </w:pPr>
                  <w:r>
                    <w:rPr>
                      <w:rFonts w:ascii="Times New Roman" w:hAnsi="Times New Roman" w:cs="Times New Roman"/>
                      <w:color w:val="auto"/>
                      <w:szCs w:val="21"/>
                    </w:rPr>
                    <w:t>0</w:t>
                  </w:r>
                  <w:r>
                    <w:rPr>
                      <w:rFonts w:ascii="Times New Roman" w:cs="Times New Roman" w:hAnsiTheme="minorEastAsia"/>
                      <w:color w:val="auto"/>
                      <w:szCs w:val="21"/>
                    </w:rPr>
                    <w:t>～</w:t>
                  </w:r>
                  <w:r>
                    <w:rPr>
                      <w:rFonts w:ascii="Times New Roman" w:hAnsi="Times New Roman" w:cs="Times New Roman"/>
                      <w:color w:val="auto"/>
                      <w:szCs w:val="21"/>
                    </w:rPr>
                    <w:t>0.5m</w:t>
                  </w:r>
                </w:p>
              </w:tc>
              <w:tc>
                <w:tcPr>
                  <w:tcW w:w="1601" w:type="pct"/>
                  <w:tcBorders>
                    <w:tl2br w:val="nil"/>
                    <w:tr2bl w:val="nil"/>
                  </w:tcBorders>
                  <w:vAlign w:val="center"/>
                </w:tcPr>
                <w:p>
                  <w:pPr>
                    <w:tabs>
                      <w:tab w:val="left" w:pos="7380"/>
                    </w:tabs>
                    <w:snapToGrid w:val="0"/>
                    <w:spacing w:line="300" w:lineRule="atLeast"/>
                    <w:jc w:val="center"/>
                    <w:rPr>
                      <w:rFonts w:ascii="Times New Roman" w:hAnsi="Times New Roman" w:cs="Times New Roman"/>
                      <w:color w:val="auto"/>
                      <w:kern w:val="21"/>
                      <w:szCs w:val="21"/>
                      <w:lang w:val="de-DE"/>
                    </w:rPr>
                  </w:pPr>
                  <w:r>
                    <w:rPr>
                      <w:rFonts w:ascii="Times New Roman" w:cs="Times New Roman" w:hAnsiTheme="minorEastAsia"/>
                      <w:color w:val="auto"/>
                      <w:szCs w:val="21"/>
                    </w:rPr>
                    <w:t>苯并</w:t>
                  </w:r>
                  <w:r>
                    <w:rPr>
                      <w:rFonts w:ascii="Times New Roman" w:cs="Times New Roman" w:hAnsiTheme="minorEastAsia"/>
                      <w:color w:val="auto"/>
                      <w:szCs w:val="21"/>
                      <w:vertAlign w:val="subscript"/>
                    </w:rPr>
                    <w:t>〔</w:t>
                  </w:r>
                  <w:r>
                    <w:rPr>
                      <w:rFonts w:ascii="Times New Roman" w:hAnsi="Times New Roman" w:cs="Times New Roman"/>
                      <w:color w:val="auto"/>
                      <w:szCs w:val="21"/>
                      <w:vertAlign w:val="subscript"/>
                    </w:rPr>
                    <w:t>a</w:t>
                  </w:r>
                  <w:r>
                    <w:rPr>
                      <w:rFonts w:ascii="Times New Roman" w:cs="Times New Roman" w:hAnsiTheme="minorEastAsia"/>
                      <w:color w:val="auto"/>
                      <w:szCs w:val="21"/>
                      <w:vertAlign w:val="subscript"/>
                    </w:rPr>
                    <w:t>〕</w:t>
                  </w:r>
                  <w:r>
                    <w:rPr>
                      <w:rFonts w:ascii="Times New Roman" w:cs="Times New Roman" w:hAnsiTheme="minorEastAsia"/>
                      <w:color w:val="auto"/>
                      <w:szCs w:val="21"/>
                    </w:rPr>
                    <w:t>芘</w:t>
                  </w:r>
                </w:p>
              </w:tc>
              <w:tc>
                <w:tcPr>
                  <w:tcW w:w="504" w:type="pct"/>
                  <w:vMerge w:val="continue"/>
                  <w:tcBorders>
                    <w:tl2br w:val="nil"/>
                    <w:tr2bl w:val="nil"/>
                  </w:tcBorders>
                  <w:vAlign w:val="center"/>
                </w:tcPr>
                <w:p>
                  <w:pPr>
                    <w:widowControl/>
                    <w:spacing w:line="300" w:lineRule="atLeast"/>
                    <w:jc w:val="left"/>
                    <w:rPr>
                      <w:rFonts w:ascii="Times New Roman" w:hAnsi="Times New Roman" w:cs="Times New Roman"/>
                      <w:color w:val="auto"/>
                      <w:kern w:val="21"/>
                      <w:szCs w:val="21"/>
                      <w:lang w:val="de-DE"/>
                    </w:rPr>
                  </w:pPr>
                </w:p>
              </w:tc>
            </w:tr>
          </w:tbl>
          <w:p>
            <w:pPr>
              <w:pStyle w:val="17"/>
              <w:spacing w:after="0" w:line="240" w:lineRule="auto"/>
              <w:jc w:val="center"/>
              <w:rPr>
                <w:b/>
                <w:bCs/>
                <w:color w:val="auto"/>
                <w:sz w:val="24"/>
              </w:rPr>
            </w:pPr>
            <w:r>
              <w:rPr>
                <w:rFonts w:hint="eastAsia"/>
                <w:b/>
                <w:bCs/>
                <w:color w:val="auto"/>
                <w:sz w:val="24"/>
              </w:rPr>
              <w:t>表</w:t>
            </w:r>
            <w:r>
              <w:rPr>
                <w:rFonts w:hint="eastAsia"/>
                <w:b/>
                <w:bCs/>
                <w:color w:val="auto"/>
                <w:sz w:val="24"/>
                <w:lang w:val="en-US" w:eastAsia="zh-CN"/>
              </w:rPr>
              <w:t>20a 1#监测点位</w:t>
            </w:r>
            <w:r>
              <w:rPr>
                <w:rFonts w:hint="eastAsia"/>
                <w:b/>
                <w:bCs/>
                <w:color w:val="auto"/>
                <w:sz w:val="24"/>
              </w:rPr>
              <w:t>土壤环境质量现状统计结果一览表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90"/>
              <w:gridCol w:w="575"/>
              <w:gridCol w:w="751"/>
              <w:gridCol w:w="740"/>
              <w:gridCol w:w="751"/>
              <w:gridCol w:w="740"/>
              <w:gridCol w:w="751"/>
              <w:gridCol w:w="748"/>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restar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监测</w:t>
                  </w:r>
                </w:p>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点位</w:t>
                  </w:r>
                </w:p>
              </w:tc>
              <w:tc>
                <w:tcPr>
                  <w:tcW w:w="819" w:type="pct"/>
                  <w:vMerge w:val="restar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3710" w:type="pct"/>
                  <w:gridSpan w:val="8"/>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监测因子（mg/kg）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pH</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苯并〔a〕芘</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restar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1#（0~0.2m土层）</w:t>
                  </w: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8.35</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未检出</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1.5</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0</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842"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w:t>
                  </w:r>
                </w:p>
              </w:tc>
              <w:tc>
                <w:tcPr>
                  <w:tcW w:w="947"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973" w:type="pct"/>
                  <w:gridSpan w:val="2"/>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镉</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汞</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砷</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铅</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铬</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铜</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镍</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0.05</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0.017</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5.34</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18.3</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47</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0.6</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3.4</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25</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170</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250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190</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0.083</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0.005</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0.21</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0.11</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0.188</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0.12</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0.063</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9" w:type="pct"/>
                  <w:vMerge w:val="continue"/>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p>
              </w:tc>
              <w:tc>
                <w:tcPr>
                  <w:tcW w:w="819"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36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0"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6"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75"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97" w:type="pct"/>
                  <w:tcBorders>
                    <w:tl2br w:val="nil"/>
                    <w:tr2bl w:val="nil"/>
                  </w:tcBorders>
                  <w:vAlign w:val="center"/>
                </w:tcPr>
                <w:p>
                  <w:pPr>
                    <w:tabs>
                      <w:tab w:val="left" w:pos="7380"/>
                    </w:tabs>
                    <w:snapToGrid w:val="0"/>
                    <w:spacing w:line="300" w:lineRule="atLeast"/>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bl>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360" w:lineRule="auto"/>
              <w:ind w:firstLine="480"/>
              <w:rPr>
                <w:rFonts w:hint="eastAsia"/>
                <w:color w:val="auto"/>
                <w:sz w:val="24"/>
              </w:rPr>
            </w:pPr>
          </w:p>
          <w:p>
            <w:pPr>
              <w:pStyle w:val="17"/>
              <w:spacing w:after="0" w:line="240" w:lineRule="auto"/>
              <w:jc w:val="center"/>
              <w:rPr>
                <w:rFonts w:hint="default" w:eastAsia="宋体"/>
                <w:b/>
                <w:bCs/>
                <w:color w:val="auto"/>
                <w:sz w:val="24"/>
                <w:lang w:val="en-US" w:eastAsia="zh-CN"/>
              </w:rPr>
            </w:pPr>
            <w:r>
              <w:rPr>
                <w:rFonts w:hint="eastAsia"/>
                <w:b/>
                <w:bCs/>
                <w:color w:val="auto"/>
                <w:sz w:val="24"/>
                <w:lang w:val="en-US" w:eastAsia="zh-CN"/>
              </w:rPr>
              <w:t>表20b 2#监测点位</w:t>
            </w:r>
            <w:r>
              <w:rPr>
                <w:rFonts w:hint="eastAsia"/>
                <w:b/>
                <w:bCs/>
                <w:color w:val="auto"/>
                <w:sz w:val="24"/>
              </w:rPr>
              <w:t>土壤环境质量现状统计结果一览表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99"/>
              <w:gridCol w:w="662"/>
              <w:gridCol w:w="61"/>
              <w:gridCol w:w="504"/>
              <w:gridCol w:w="96"/>
              <w:gridCol w:w="473"/>
              <w:gridCol w:w="189"/>
              <w:gridCol w:w="618"/>
              <w:gridCol w:w="55"/>
              <w:gridCol w:w="583"/>
              <w:gridCol w:w="662"/>
              <w:gridCol w:w="293"/>
              <w:gridCol w:w="380"/>
              <w:gridCol w:w="309"/>
              <w:gridCol w:w="273"/>
              <w:gridCol w:w="551"/>
              <w:gridCol w:w="118"/>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restar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点位</w:t>
                  </w:r>
                </w:p>
              </w:tc>
              <w:tc>
                <w:tcPr>
                  <w:tcW w:w="507" w:type="pct"/>
                  <w:vMerge w:val="restar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4073" w:type="pct"/>
                  <w:gridSpan w:val="17"/>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监测因子（mg/kg）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pH</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锌</w:t>
                  </w: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砷</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镉</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铬（六价）</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铜</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铅</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汞</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restar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2#（0~0.5m土层）</w:t>
                  </w: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8.2</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10.3</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0.15</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47.9</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0.009</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60</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65</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5.7</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18000</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800</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38</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0.17</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0.0023</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0.00056</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0.060</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0.00024</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45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61"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512"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05"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606"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3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523"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48"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四氯化碳</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氯仿</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氯甲烷</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1，1-二氯乙烷</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1，2-二氯乙烷</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1，1-二氯乙烯</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顺-1，2-二氯乙烯</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反-1，2-二氯乙烯</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二氯甲烷</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1，2-二氯丙烷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＜1.3</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＜1.3</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＜1.3</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＜1.4</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2.8</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0.9</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37</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9</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66</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596</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54</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616</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1，1，1，2-四氯乙烷</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1，1，2，2-四氯乙烷</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四氯乙烯</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1，1，1-三氯乙烷</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1，1，2-三氯乙烷</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三氯乙烯</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1，2，3-三氯丙烷</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氯乙烯</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＜1.4</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＜1.3</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＜1.9</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10</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6.8</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53</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840</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2.8</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2.8</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0.5</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0.43</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4</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1，2-二氯苯</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1，4-二氯苯</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乙苯</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苯乙烯</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甲苯</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间二甲苯+对二甲苯</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邻二甲苯</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硝基苯</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苯胺</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2-氯苯酚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＜1.1</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＜1.3</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＜0.0.9</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＜0.2</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560</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20</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28</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1290</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1200</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570</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640</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76</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260</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项目</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苯并〔a〕蒽</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苯并〔a〕芘</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苯并〔a〕荧蒽</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苯并〔k〕荧蒽</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䓛</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二苯并〔a，h〕蒽</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茚并〔1，2，3，-cd〕芘</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萘</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BaP</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监测值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＜0.2</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＜0.1</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＜0.09</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lang w:val="en-US" w:eastAsia="zh-CN"/>
                    </w:rPr>
                    <w:t>未检出</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标准限值</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151</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1293</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15</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70</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1.5</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标准指数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检出率/%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超标率/%</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9" w:type="pct"/>
                  <w:vMerge w:val="continue"/>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c>
                <w:tcPr>
                  <w:tcW w:w="507"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最大超标倍数</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19" w:type="pct"/>
                  <w:gridSpan w:val="3"/>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7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0"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7"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369"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r>
                    <w:rPr>
                      <w:rFonts w:hint="default" w:ascii="Times New Roman" w:hAnsi="Times New Roman" w:cs="Times New Roman"/>
                      <w:snapToGrid w:val="0"/>
                      <w:color w:val="auto"/>
                      <w:sz w:val="18"/>
                      <w:szCs w:val="18"/>
                    </w:rPr>
                    <w:t>/</w:t>
                  </w:r>
                </w:p>
              </w:tc>
              <w:tc>
                <w:tcPr>
                  <w:tcW w:w="424" w:type="pct"/>
                  <w:gridSpan w:val="2"/>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lang w:val="en-US" w:eastAsia="zh-CN"/>
                    </w:rPr>
                  </w:pPr>
                  <w:r>
                    <w:rPr>
                      <w:rFonts w:hint="default" w:ascii="Times New Roman" w:hAnsi="Times New Roman" w:cs="Times New Roman"/>
                      <w:snapToGrid w:val="0"/>
                      <w:color w:val="auto"/>
                      <w:sz w:val="18"/>
                      <w:szCs w:val="18"/>
                    </w:rPr>
                    <w:t>/</w:t>
                  </w:r>
                </w:p>
              </w:tc>
              <w:tc>
                <w:tcPr>
                  <w:tcW w:w="373" w:type="pct"/>
                  <w:tcBorders>
                    <w:tl2br w:val="nil"/>
                    <w:tr2bl w:val="nil"/>
                  </w:tcBorders>
                  <w:vAlign w:val="center"/>
                </w:tcPr>
                <w:p>
                  <w:pPr>
                    <w:tabs>
                      <w:tab w:val="left" w:pos="7380"/>
                    </w:tabs>
                    <w:snapToGrid w:val="0"/>
                    <w:spacing w:line="240" w:lineRule="auto"/>
                    <w:jc w:val="center"/>
                    <w:rPr>
                      <w:rFonts w:hint="default" w:ascii="Times New Roman" w:hAnsi="Times New Roman" w:cs="Times New Roman"/>
                      <w:snapToGrid w:val="0"/>
                      <w:color w:val="auto"/>
                      <w:sz w:val="18"/>
                      <w:szCs w:val="18"/>
                    </w:rPr>
                  </w:pPr>
                </w:p>
              </w:tc>
            </w:tr>
          </w:tbl>
          <w:p>
            <w:pPr>
              <w:pStyle w:val="17"/>
              <w:spacing w:after="0" w:line="360" w:lineRule="auto"/>
              <w:ind w:firstLine="480"/>
              <w:rPr>
                <w:rFonts w:hint="eastAsia"/>
                <w:color w:val="auto"/>
                <w:sz w:val="24"/>
                <w:lang w:val="en-US" w:eastAsia="zh-CN"/>
              </w:rPr>
            </w:pPr>
            <w:r>
              <w:rPr>
                <w:rFonts w:hint="eastAsia"/>
                <w:color w:val="auto"/>
                <w:sz w:val="24"/>
                <w:lang w:val="en-US" w:eastAsia="zh-CN"/>
              </w:rPr>
              <w:t>根据统计分析，项目1#监测点位各监测项目的标准指数均小于1，可见各种有害元素均在标准限值之内，均低于《土壤环境质量农用地土壤污染风险管控标准（试行）》（GB15618-2018）中的筛选值（第二类）。2#监测点位各监测项目的标准指数均小于1，可见各种有害元素均在标准限值之内，《土壤环境质量建设用地土壤污染风险管控标准（试行）》（GB36600-2018）中的筛选值（第二类）的要求。3#监测点位特征影响因子苯并芘未检出。</w:t>
            </w:r>
          </w:p>
          <w:p>
            <w:pPr>
              <w:pStyle w:val="17"/>
              <w:spacing w:after="0" w:line="360" w:lineRule="auto"/>
              <w:ind w:firstLine="480"/>
              <w:rPr>
                <w:color w:val="auto"/>
                <w:sz w:val="24"/>
              </w:rPr>
            </w:pPr>
            <w:r>
              <w:rPr>
                <w:rFonts w:hint="eastAsia"/>
                <w:color w:val="auto"/>
                <w:sz w:val="24"/>
                <w:lang w:val="en-US" w:eastAsia="zh-CN"/>
              </w:rPr>
              <w:t>综上可知，</w:t>
            </w:r>
            <w:r>
              <w:rPr>
                <w:rFonts w:hint="eastAsia"/>
                <w:color w:val="auto"/>
                <w:sz w:val="24"/>
              </w:rPr>
              <w:t>项目所在地土壤环境质量状况较好。</w:t>
            </w:r>
          </w:p>
          <w:p>
            <w:pPr>
              <w:pStyle w:val="17"/>
              <w:spacing w:after="0" w:line="360" w:lineRule="auto"/>
              <w:ind w:firstLine="480" w:firstLineChars="200"/>
              <w:rPr>
                <w:color w:val="auto"/>
                <w:sz w:val="24"/>
              </w:rPr>
            </w:pPr>
            <w:r>
              <w:rPr>
                <w:rFonts w:hint="eastAsia"/>
                <w:color w:val="auto"/>
                <w:sz w:val="24"/>
              </w:rPr>
              <w:t xml:space="preserve"> </w:t>
            </w:r>
            <w:r>
              <w:rPr>
                <w:rFonts w:hint="eastAsia"/>
                <w:b/>
                <w:bCs/>
                <w:color w:val="auto"/>
                <w:sz w:val="24"/>
              </w:rPr>
              <w:t>5、生态环境</w:t>
            </w:r>
          </w:p>
          <w:p>
            <w:pPr>
              <w:adjustRightInd w:val="0"/>
              <w:snapToGrid w:val="0"/>
              <w:spacing w:line="360" w:lineRule="auto"/>
              <w:rPr>
                <w:rFonts w:cs="宋体"/>
                <w:color w:val="auto"/>
                <w:kern w:val="0"/>
                <w:szCs w:val="21"/>
              </w:rPr>
            </w:pPr>
            <w:r>
              <w:rPr>
                <w:rFonts w:hint="eastAsia" w:cs="宋体"/>
                <w:color w:val="auto"/>
                <w:kern w:val="0"/>
                <w:szCs w:val="21"/>
              </w:rPr>
              <w:t xml:space="preserve">  </w:t>
            </w:r>
            <w:r>
              <w:rPr>
                <w:rFonts w:hint="eastAsia"/>
                <w:color w:val="auto"/>
                <w:sz w:val="24"/>
              </w:rPr>
              <w:t xml:space="preserve">  项目</w:t>
            </w:r>
            <w:r>
              <w:rPr>
                <w:rFonts w:hint="eastAsia"/>
                <w:color w:val="auto"/>
                <w:sz w:val="24"/>
                <w:lang w:val="en-US" w:eastAsia="zh-CN"/>
              </w:rPr>
              <w:t>在园区范围内建设，</w:t>
            </w:r>
            <w:r>
              <w:rPr>
                <w:rFonts w:hint="eastAsia"/>
                <w:color w:val="auto"/>
                <w:sz w:val="24"/>
              </w:rPr>
              <w:t>占地范围内不涉及生态环境保护目标，此次不开展生态现状调查。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2" w:hRule="atLeast"/>
          <w:jc w:val="center"/>
        </w:trPr>
        <w:tc>
          <w:tcPr>
            <w:tcW w:w="244" w:type="pct"/>
            <w:vAlign w:val="center"/>
          </w:tcPr>
          <w:p>
            <w:pPr>
              <w:adjustRightInd w:val="0"/>
              <w:snapToGrid w:val="0"/>
              <w:jc w:val="center"/>
              <w:rPr>
                <w:rFonts w:cs="宋体"/>
                <w:color w:val="auto"/>
                <w:kern w:val="0"/>
                <w:szCs w:val="21"/>
              </w:rPr>
            </w:pPr>
            <w:r>
              <w:rPr>
                <w:rFonts w:hint="eastAsia" w:cs="宋体"/>
                <w:color w:val="auto"/>
                <w:kern w:val="0"/>
                <w:sz w:val="28"/>
                <w:szCs w:val="28"/>
              </w:rPr>
              <w:t>环境保护目标</w:t>
            </w:r>
          </w:p>
        </w:tc>
        <w:tc>
          <w:tcPr>
            <w:tcW w:w="4755" w:type="pct"/>
          </w:tcPr>
          <w:p>
            <w:pPr>
              <w:spacing w:line="480" w:lineRule="exact"/>
              <w:ind w:firstLine="480" w:firstLineChars="200"/>
              <w:rPr>
                <w:color w:val="auto"/>
                <w:sz w:val="24"/>
              </w:rPr>
            </w:pPr>
            <w:r>
              <w:rPr>
                <w:color w:val="auto"/>
                <w:sz w:val="24"/>
              </w:rPr>
              <w:t>根据现场踏勘</w:t>
            </w:r>
            <w:r>
              <w:rPr>
                <w:rFonts w:hint="eastAsia"/>
                <w:color w:val="auto"/>
                <w:sz w:val="24"/>
              </w:rPr>
              <w:t>，</w:t>
            </w:r>
            <w:r>
              <w:rPr>
                <w:color w:val="auto"/>
                <w:sz w:val="24"/>
              </w:rPr>
              <w:t>本项目所在地无自然保护区、风景游览区、文物保护单位。厂址周围敏感因素及保护目标见表</w:t>
            </w:r>
            <w:r>
              <w:rPr>
                <w:rFonts w:hint="eastAsia"/>
                <w:color w:val="auto"/>
                <w:sz w:val="24"/>
                <w:lang w:val="en-US" w:eastAsia="zh-CN"/>
              </w:rPr>
              <w:t>21</w:t>
            </w:r>
            <w:r>
              <w:rPr>
                <w:color w:val="auto"/>
                <w:sz w:val="24"/>
              </w:rPr>
              <w:t>。</w:t>
            </w:r>
          </w:p>
          <w:p>
            <w:pPr>
              <w:spacing w:line="480" w:lineRule="exact"/>
              <w:jc w:val="center"/>
              <w:rPr>
                <w:b/>
                <w:bCs/>
                <w:color w:val="auto"/>
                <w:sz w:val="24"/>
                <w:lang w:val="en-AU"/>
              </w:rPr>
            </w:pPr>
            <w:r>
              <w:rPr>
                <w:b/>
                <w:bCs/>
                <w:color w:val="auto"/>
                <w:sz w:val="24"/>
                <w:lang w:val="en-AU"/>
              </w:rPr>
              <w:t>表</w:t>
            </w:r>
            <w:r>
              <w:rPr>
                <w:rFonts w:hint="eastAsia"/>
                <w:b/>
                <w:bCs/>
                <w:color w:val="auto"/>
                <w:sz w:val="24"/>
                <w:lang w:val="en-US" w:eastAsia="zh-CN"/>
              </w:rPr>
              <w:t>21</w:t>
            </w:r>
            <w:r>
              <w:rPr>
                <w:b/>
                <w:bCs/>
                <w:color w:val="auto"/>
                <w:sz w:val="24"/>
                <w:lang w:val="en-AU"/>
              </w:rPr>
              <w:t>主要环境保护目标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159"/>
              <w:gridCol w:w="978"/>
              <w:gridCol w:w="962"/>
              <w:gridCol w:w="155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25" w:type="pct"/>
                  <w:vAlign w:val="center"/>
                </w:tcPr>
                <w:p>
                  <w:pPr>
                    <w:pStyle w:val="38"/>
                    <w:rPr>
                      <w:b/>
                      <w:bCs/>
                      <w:color w:val="auto"/>
                    </w:rPr>
                  </w:pPr>
                  <w:r>
                    <w:rPr>
                      <w:b/>
                      <w:bCs/>
                      <w:color w:val="auto"/>
                    </w:rPr>
                    <w:t>环境</w:t>
                  </w:r>
                </w:p>
                <w:p>
                  <w:pPr>
                    <w:pStyle w:val="38"/>
                    <w:rPr>
                      <w:b/>
                      <w:bCs/>
                      <w:color w:val="auto"/>
                    </w:rPr>
                  </w:pPr>
                  <w:r>
                    <w:rPr>
                      <w:b/>
                      <w:bCs/>
                      <w:color w:val="auto"/>
                    </w:rPr>
                    <w:t>要素</w:t>
                  </w:r>
                </w:p>
              </w:tc>
              <w:tc>
                <w:tcPr>
                  <w:tcW w:w="736" w:type="pct"/>
                  <w:vAlign w:val="center"/>
                </w:tcPr>
                <w:p>
                  <w:pPr>
                    <w:pStyle w:val="38"/>
                    <w:rPr>
                      <w:b/>
                      <w:bCs/>
                      <w:color w:val="auto"/>
                    </w:rPr>
                  </w:pPr>
                  <w:r>
                    <w:rPr>
                      <w:b/>
                      <w:bCs/>
                      <w:color w:val="auto"/>
                    </w:rPr>
                    <w:t>保护目标</w:t>
                  </w:r>
                </w:p>
              </w:tc>
              <w:tc>
                <w:tcPr>
                  <w:tcW w:w="621" w:type="pct"/>
                  <w:vAlign w:val="center"/>
                </w:tcPr>
                <w:p>
                  <w:pPr>
                    <w:pStyle w:val="38"/>
                    <w:rPr>
                      <w:b/>
                      <w:bCs/>
                      <w:color w:val="auto"/>
                    </w:rPr>
                  </w:pPr>
                  <w:r>
                    <w:rPr>
                      <w:b/>
                      <w:bCs/>
                      <w:color w:val="auto"/>
                    </w:rPr>
                    <w:t>方位</w:t>
                  </w:r>
                </w:p>
              </w:tc>
              <w:tc>
                <w:tcPr>
                  <w:tcW w:w="611" w:type="pct"/>
                  <w:vAlign w:val="center"/>
                </w:tcPr>
                <w:p>
                  <w:pPr>
                    <w:pStyle w:val="38"/>
                    <w:rPr>
                      <w:b/>
                      <w:bCs/>
                      <w:color w:val="auto"/>
                    </w:rPr>
                  </w:pPr>
                  <w:r>
                    <w:rPr>
                      <w:b/>
                      <w:bCs/>
                      <w:color w:val="auto"/>
                    </w:rPr>
                    <w:t>距离</w:t>
                  </w:r>
                </w:p>
              </w:tc>
              <w:tc>
                <w:tcPr>
                  <w:tcW w:w="983" w:type="pct"/>
                  <w:vAlign w:val="center"/>
                </w:tcPr>
                <w:p>
                  <w:pPr>
                    <w:pStyle w:val="38"/>
                    <w:rPr>
                      <w:b/>
                      <w:bCs/>
                      <w:color w:val="auto"/>
                    </w:rPr>
                  </w:pPr>
                  <w:r>
                    <w:rPr>
                      <w:b/>
                      <w:bCs/>
                      <w:color w:val="auto"/>
                    </w:rPr>
                    <w:t>坐标</w:t>
                  </w:r>
                </w:p>
              </w:tc>
              <w:tc>
                <w:tcPr>
                  <w:tcW w:w="1420" w:type="pct"/>
                  <w:vAlign w:val="center"/>
                </w:tcPr>
                <w:p>
                  <w:pPr>
                    <w:pStyle w:val="38"/>
                    <w:rPr>
                      <w:b/>
                      <w:bCs/>
                      <w:color w:val="auto"/>
                    </w:rPr>
                  </w:pPr>
                  <w:r>
                    <w:rPr>
                      <w:b/>
                      <w:bCs/>
                      <w:color w:val="auto"/>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pPr>
                    <w:pStyle w:val="38"/>
                    <w:rPr>
                      <w:color w:val="auto"/>
                    </w:rPr>
                  </w:pPr>
                  <w:r>
                    <w:rPr>
                      <w:color w:val="auto"/>
                    </w:rPr>
                    <w:t>环境</w:t>
                  </w:r>
                </w:p>
                <w:p>
                  <w:pPr>
                    <w:pStyle w:val="38"/>
                    <w:rPr>
                      <w:color w:val="auto"/>
                    </w:rPr>
                  </w:pPr>
                  <w:r>
                    <w:rPr>
                      <w:color w:val="auto"/>
                    </w:rPr>
                    <w:t>空气</w:t>
                  </w:r>
                </w:p>
              </w:tc>
              <w:tc>
                <w:tcPr>
                  <w:tcW w:w="736" w:type="pct"/>
                  <w:vAlign w:val="center"/>
                </w:tcPr>
                <w:p>
                  <w:pPr>
                    <w:pStyle w:val="38"/>
                    <w:rPr>
                      <w:color w:val="auto"/>
                    </w:rPr>
                  </w:pPr>
                  <w:r>
                    <w:rPr>
                      <w:rFonts w:hint="eastAsia"/>
                      <w:color w:val="auto"/>
                    </w:rPr>
                    <w:t>无</w:t>
                  </w:r>
                </w:p>
              </w:tc>
              <w:tc>
                <w:tcPr>
                  <w:tcW w:w="2217" w:type="pct"/>
                  <w:gridSpan w:val="3"/>
                  <w:vAlign w:val="center"/>
                </w:tcPr>
                <w:p>
                  <w:pPr>
                    <w:pStyle w:val="38"/>
                    <w:rPr>
                      <w:color w:val="auto"/>
                    </w:rPr>
                  </w:pPr>
                  <w:r>
                    <w:rPr>
                      <w:rFonts w:hint="eastAsia"/>
                      <w:color w:val="auto"/>
                    </w:rPr>
                    <w:t>厂界外500m范围内无村庄</w:t>
                  </w:r>
                  <w:r>
                    <w:rPr>
                      <w:rFonts w:hint="eastAsia"/>
                      <w:color w:val="auto"/>
                      <w:lang w:eastAsia="zh-CN"/>
                    </w:rPr>
                    <w:t>、</w:t>
                  </w:r>
                  <w:r>
                    <w:rPr>
                      <w:rFonts w:hint="eastAsia"/>
                      <w:color w:val="auto"/>
                      <w:lang w:val="en-US" w:eastAsia="zh-CN"/>
                    </w:rPr>
                    <w:t>自然保护区、风景名胜区</w:t>
                  </w:r>
                  <w:r>
                    <w:rPr>
                      <w:rFonts w:hint="eastAsia"/>
                      <w:color w:val="auto"/>
                    </w:rPr>
                    <w:t>等环境保护目标</w:t>
                  </w:r>
                </w:p>
              </w:tc>
              <w:tc>
                <w:tcPr>
                  <w:tcW w:w="1420" w:type="pct"/>
                  <w:vAlign w:val="center"/>
                </w:tcPr>
                <w:p>
                  <w:pPr>
                    <w:pStyle w:val="38"/>
                    <w:rPr>
                      <w:color w:val="auto"/>
                    </w:rPr>
                  </w:pPr>
                  <w:r>
                    <w:rPr>
                      <w:color w:val="auto"/>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pPr>
                    <w:pStyle w:val="38"/>
                    <w:rPr>
                      <w:color w:val="auto"/>
                    </w:rPr>
                  </w:pPr>
                  <w:r>
                    <w:rPr>
                      <w:color w:val="auto"/>
                    </w:rPr>
                    <w:t>声环境</w:t>
                  </w:r>
                </w:p>
              </w:tc>
              <w:tc>
                <w:tcPr>
                  <w:tcW w:w="736" w:type="pct"/>
                  <w:vAlign w:val="center"/>
                </w:tcPr>
                <w:p>
                  <w:pPr>
                    <w:pStyle w:val="38"/>
                    <w:rPr>
                      <w:color w:val="auto"/>
                    </w:rPr>
                  </w:pPr>
                  <w:r>
                    <w:rPr>
                      <w:rFonts w:hint="eastAsia"/>
                      <w:color w:val="auto"/>
                    </w:rPr>
                    <w:t>无</w:t>
                  </w:r>
                </w:p>
              </w:tc>
              <w:tc>
                <w:tcPr>
                  <w:tcW w:w="2217" w:type="pct"/>
                  <w:gridSpan w:val="3"/>
                  <w:vAlign w:val="center"/>
                </w:tcPr>
                <w:p>
                  <w:pPr>
                    <w:pStyle w:val="38"/>
                    <w:rPr>
                      <w:color w:val="auto"/>
                    </w:rPr>
                  </w:pPr>
                  <w:r>
                    <w:rPr>
                      <w:rFonts w:hint="eastAsia"/>
                      <w:color w:val="auto"/>
                    </w:rPr>
                    <w:t>厂界外50m内无学校、村庄、医院等声环境敏感目标</w:t>
                  </w:r>
                </w:p>
              </w:tc>
              <w:tc>
                <w:tcPr>
                  <w:tcW w:w="1420" w:type="pct"/>
                  <w:vAlign w:val="center"/>
                </w:tcPr>
                <w:p>
                  <w:pPr>
                    <w:pStyle w:val="38"/>
                    <w:rPr>
                      <w:color w:val="auto"/>
                    </w:rPr>
                  </w:pPr>
                  <w:r>
                    <w:rPr>
                      <w:color w:val="auto"/>
                    </w:rPr>
                    <w:t>《声环境质量标准》（GB3096-2008）1类标准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pPr>
                    <w:pStyle w:val="38"/>
                    <w:rPr>
                      <w:color w:val="auto"/>
                    </w:rPr>
                  </w:pPr>
                  <w:r>
                    <w:rPr>
                      <w:rFonts w:hint="eastAsia"/>
                      <w:color w:val="auto"/>
                    </w:rPr>
                    <w:t>地下水环境</w:t>
                  </w:r>
                </w:p>
              </w:tc>
              <w:tc>
                <w:tcPr>
                  <w:tcW w:w="736" w:type="pct"/>
                  <w:vAlign w:val="center"/>
                </w:tcPr>
                <w:p>
                  <w:pPr>
                    <w:pStyle w:val="38"/>
                    <w:rPr>
                      <w:color w:val="auto"/>
                    </w:rPr>
                  </w:pPr>
                  <w:r>
                    <w:rPr>
                      <w:rFonts w:hint="eastAsia"/>
                      <w:color w:val="auto"/>
                    </w:rPr>
                    <w:t>无</w:t>
                  </w:r>
                </w:p>
              </w:tc>
              <w:tc>
                <w:tcPr>
                  <w:tcW w:w="2217" w:type="pct"/>
                  <w:gridSpan w:val="3"/>
                  <w:vAlign w:val="center"/>
                </w:tcPr>
                <w:p>
                  <w:pPr>
                    <w:pStyle w:val="38"/>
                    <w:rPr>
                      <w:color w:val="auto"/>
                    </w:rPr>
                  </w:pPr>
                  <w:r>
                    <w:rPr>
                      <w:rFonts w:hint="eastAsia"/>
                      <w:color w:val="auto"/>
                    </w:rPr>
                    <w:t>项目厂界外500m范围内无地下集中式饮用水水源和热水，矿泉水、温泉等特殊地下水资源</w:t>
                  </w:r>
                </w:p>
              </w:tc>
              <w:tc>
                <w:tcPr>
                  <w:tcW w:w="1420" w:type="pct"/>
                  <w:vAlign w:val="center"/>
                </w:tcPr>
                <w:p>
                  <w:pPr>
                    <w:pStyle w:val="38"/>
                    <w:rPr>
                      <w:color w:val="auto"/>
                    </w:rPr>
                  </w:pPr>
                  <w:r>
                    <w:rPr>
                      <w:rFonts w:hint="eastAsia"/>
                      <w:color w:val="auto"/>
                    </w:rPr>
                    <w:t>《地下水质量标准》</w:t>
                  </w:r>
                </w:p>
                <w:p>
                  <w:pPr>
                    <w:pStyle w:val="38"/>
                    <w:rPr>
                      <w:color w:val="auto"/>
                    </w:rPr>
                  </w:pPr>
                  <w:r>
                    <w:rPr>
                      <w:rFonts w:hint="eastAsia"/>
                      <w:color w:val="auto"/>
                    </w:rPr>
                    <w:t>（GB/T 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vAlign w:val="center"/>
                </w:tcPr>
                <w:p>
                  <w:pPr>
                    <w:pStyle w:val="38"/>
                    <w:rPr>
                      <w:color w:val="auto"/>
                    </w:rPr>
                  </w:pPr>
                  <w:r>
                    <w:rPr>
                      <w:rFonts w:hint="eastAsia"/>
                      <w:color w:val="auto"/>
                    </w:rPr>
                    <w:t>生态</w:t>
                  </w:r>
                </w:p>
                <w:p>
                  <w:pPr>
                    <w:pStyle w:val="38"/>
                    <w:rPr>
                      <w:color w:val="auto"/>
                    </w:rPr>
                  </w:pPr>
                  <w:r>
                    <w:rPr>
                      <w:rFonts w:hint="eastAsia"/>
                      <w:color w:val="auto"/>
                    </w:rPr>
                    <w:t>环境</w:t>
                  </w:r>
                </w:p>
              </w:tc>
              <w:tc>
                <w:tcPr>
                  <w:tcW w:w="4374" w:type="pct"/>
                  <w:gridSpan w:val="5"/>
                  <w:vAlign w:val="center"/>
                </w:tcPr>
                <w:p>
                  <w:pPr>
                    <w:pStyle w:val="38"/>
                    <w:rPr>
                      <w:color w:val="auto"/>
                    </w:rPr>
                  </w:pPr>
                  <w:r>
                    <w:rPr>
                      <w:rFonts w:hint="eastAsia"/>
                      <w:color w:val="auto"/>
                    </w:rPr>
                    <w:t>项目占地范围内及周边500m范围内不涉及生态环境敏感目标</w:t>
                  </w:r>
                </w:p>
              </w:tc>
            </w:tr>
          </w:tbl>
          <w:p>
            <w:pPr>
              <w:adjustRightInd w:val="0"/>
              <w:snapToGrid w:val="0"/>
              <w:rPr>
                <w:rFonts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93" w:hRule="atLeast"/>
          <w:jc w:val="center"/>
        </w:trPr>
        <w:tc>
          <w:tcPr>
            <w:tcW w:w="244" w:type="pct"/>
            <w:vAlign w:val="center"/>
          </w:tcPr>
          <w:p>
            <w:pPr>
              <w:adjustRightInd w:val="0"/>
              <w:snapToGrid w:val="0"/>
              <w:jc w:val="center"/>
              <w:rPr>
                <w:rFonts w:cs="宋体"/>
                <w:color w:val="auto"/>
                <w:kern w:val="0"/>
                <w:szCs w:val="21"/>
              </w:rPr>
            </w:pPr>
            <w:r>
              <w:rPr>
                <w:rFonts w:hint="eastAsia" w:cs="宋体"/>
                <w:color w:val="auto"/>
                <w:kern w:val="0"/>
                <w:sz w:val="28"/>
                <w:szCs w:val="28"/>
              </w:rPr>
              <w:t>污染物排放控制标准</w:t>
            </w:r>
          </w:p>
        </w:tc>
        <w:tc>
          <w:tcPr>
            <w:tcW w:w="4755" w:type="pct"/>
            <w:vAlign w:val="center"/>
          </w:tcPr>
          <w:p>
            <w:pPr>
              <w:spacing w:line="360" w:lineRule="auto"/>
              <w:ind w:firstLine="482" w:firstLineChars="200"/>
              <w:rPr>
                <w:b/>
                <w:bCs/>
                <w:color w:val="auto"/>
                <w:sz w:val="24"/>
              </w:rPr>
            </w:pPr>
            <w:r>
              <w:rPr>
                <w:b/>
                <w:bCs/>
                <w:color w:val="auto"/>
                <w:sz w:val="24"/>
              </w:rPr>
              <w:t>1、废</w:t>
            </w:r>
            <w:r>
              <w:rPr>
                <w:rFonts w:hint="eastAsia"/>
                <w:b/>
                <w:bCs/>
                <w:color w:val="auto"/>
                <w:sz w:val="24"/>
              </w:rPr>
              <w:t>气</w:t>
            </w:r>
          </w:p>
          <w:p>
            <w:pPr>
              <w:spacing w:line="360" w:lineRule="auto"/>
              <w:ind w:firstLine="480" w:firstLineChars="200"/>
              <w:rPr>
                <w:rFonts w:hint="default" w:eastAsia="宋体"/>
                <w:color w:val="auto"/>
                <w:sz w:val="24"/>
                <w:lang w:val="en-US" w:eastAsia="zh-CN"/>
              </w:rPr>
            </w:pPr>
            <w:r>
              <w:rPr>
                <w:rFonts w:hint="eastAsia"/>
                <w:color w:val="auto"/>
                <w:sz w:val="24"/>
              </w:rPr>
              <w:t>（1）</w:t>
            </w:r>
            <w:r>
              <w:rPr>
                <w:rFonts w:hint="eastAsia"/>
                <w:color w:val="auto"/>
                <w:sz w:val="24"/>
                <w:lang w:val="en-US" w:eastAsia="zh-CN"/>
              </w:rPr>
              <w:t>项目生产过程中石墨化炉颗粒物、二氧化硫和氮氧化物排放执行《关于印发&lt;山西省工业炉窑大气污染综合治理实施方案&gt;的通知》（晋环大气[2019]164号）中规定，“颗粒物、二氧化硫和氮氧化物排放限值分别不高于30、200、300mg/m</w:t>
            </w:r>
            <w:r>
              <w:rPr>
                <w:rFonts w:hint="eastAsia"/>
                <w:color w:val="auto"/>
                <w:sz w:val="24"/>
                <w:vertAlign w:val="superscript"/>
                <w:lang w:val="en-US" w:eastAsia="zh-CN"/>
              </w:rPr>
              <w:t>3</w:t>
            </w:r>
            <w:r>
              <w:rPr>
                <w:rFonts w:hint="eastAsia"/>
                <w:color w:val="auto"/>
                <w:sz w:val="24"/>
                <w:lang w:val="en-US" w:eastAsia="zh-CN"/>
              </w:rPr>
              <w:t>”。其余工段颗粒物、沥青烟和苯并芘排放执行《大气污染物综合排放标准》（GB 16297-1996）二级标准。</w:t>
            </w:r>
          </w:p>
          <w:p>
            <w:pPr>
              <w:spacing w:line="360" w:lineRule="auto"/>
              <w:ind w:firstLine="480" w:firstLineChars="200"/>
              <w:rPr>
                <w:color w:val="auto"/>
                <w:sz w:val="24"/>
              </w:rPr>
            </w:pPr>
            <w:r>
              <w:rPr>
                <w:rFonts w:hint="eastAsia"/>
                <w:color w:val="auto"/>
                <w:sz w:val="24"/>
              </w:rPr>
              <w:t>导热油炉烟气执行山西省地方标准《锅炉大气污染物排放标准》（DB/1929-2019）中的排放限值要求。</w:t>
            </w:r>
          </w:p>
          <w:p>
            <w:pPr>
              <w:spacing w:line="360" w:lineRule="auto"/>
              <w:ind w:firstLine="480" w:firstLineChars="200"/>
              <w:rPr>
                <w:color w:val="auto"/>
                <w:sz w:val="24"/>
              </w:rPr>
            </w:pPr>
            <w:r>
              <w:rPr>
                <w:rFonts w:hint="eastAsia"/>
                <w:color w:val="auto"/>
                <w:sz w:val="24"/>
              </w:rPr>
              <w:t>项目大气污染物排放的具体指标如下表所示：</w:t>
            </w:r>
          </w:p>
          <w:p>
            <w:pPr>
              <w:pStyle w:val="2"/>
              <w:spacing w:after="0"/>
              <w:ind w:left="0" w:leftChars="0" w:firstLine="0" w:firstLineChars="0"/>
              <w:jc w:val="center"/>
              <w:rPr>
                <w:color w:val="auto"/>
              </w:rPr>
            </w:pPr>
            <w:r>
              <w:rPr>
                <w:rFonts w:hint="eastAsia"/>
                <w:b/>
                <w:bCs/>
                <w:color w:val="auto"/>
                <w:sz w:val="24"/>
              </w:rPr>
              <w:t>表</w:t>
            </w:r>
            <w:r>
              <w:rPr>
                <w:rFonts w:hint="eastAsia"/>
                <w:b/>
                <w:bCs/>
                <w:color w:val="auto"/>
                <w:sz w:val="24"/>
                <w:lang w:val="en-US" w:eastAsia="zh-CN"/>
              </w:rPr>
              <w:t>22</w:t>
            </w:r>
            <w:r>
              <w:rPr>
                <w:rFonts w:hint="eastAsia"/>
                <w:b/>
                <w:bCs/>
                <w:color w:val="auto"/>
                <w:sz w:val="24"/>
              </w:rPr>
              <w:t xml:space="preserve"> 大气污染物排放执行标准</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012"/>
              <w:gridCol w:w="808"/>
              <w:gridCol w:w="737"/>
              <w:gridCol w:w="1149"/>
              <w:gridCol w:w="1032"/>
              <w:gridCol w:w="1227"/>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pPr>
                    <w:jc w:val="center"/>
                    <w:rPr>
                      <w:color w:val="auto"/>
                    </w:rPr>
                  </w:pPr>
                  <w:r>
                    <w:rPr>
                      <w:rFonts w:hint="eastAsia"/>
                      <w:color w:val="auto"/>
                    </w:rPr>
                    <w:t>序号</w:t>
                  </w:r>
                </w:p>
              </w:tc>
              <w:tc>
                <w:tcPr>
                  <w:tcW w:w="642" w:type="pct"/>
                  <w:vAlign w:val="center"/>
                </w:tcPr>
                <w:p>
                  <w:pPr>
                    <w:jc w:val="center"/>
                    <w:rPr>
                      <w:color w:val="auto"/>
                    </w:rPr>
                  </w:pPr>
                  <w:r>
                    <w:rPr>
                      <w:rFonts w:hint="eastAsia"/>
                      <w:color w:val="auto"/>
                    </w:rPr>
                    <w:t>污染物</w:t>
                  </w:r>
                </w:p>
              </w:tc>
              <w:tc>
                <w:tcPr>
                  <w:tcW w:w="513" w:type="pct"/>
                  <w:vAlign w:val="center"/>
                </w:tcPr>
                <w:p>
                  <w:pPr>
                    <w:jc w:val="center"/>
                    <w:rPr>
                      <w:color w:val="auto"/>
                    </w:rPr>
                  </w:pPr>
                  <w:r>
                    <w:rPr>
                      <w:rFonts w:hint="eastAsia"/>
                      <w:color w:val="auto"/>
                    </w:rPr>
                    <w:t>污染源</w:t>
                  </w:r>
                </w:p>
              </w:tc>
              <w:tc>
                <w:tcPr>
                  <w:tcW w:w="468" w:type="pct"/>
                  <w:vAlign w:val="center"/>
                </w:tcPr>
                <w:p>
                  <w:pPr>
                    <w:jc w:val="center"/>
                    <w:rPr>
                      <w:color w:val="auto"/>
                    </w:rPr>
                  </w:pPr>
                  <w:r>
                    <w:rPr>
                      <w:rFonts w:hint="eastAsia"/>
                      <w:color w:val="auto"/>
                    </w:rPr>
                    <w:t>排放高度</w:t>
                  </w:r>
                </w:p>
              </w:tc>
              <w:tc>
                <w:tcPr>
                  <w:tcW w:w="729" w:type="pct"/>
                  <w:vAlign w:val="center"/>
                </w:tcPr>
                <w:p>
                  <w:pPr>
                    <w:jc w:val="center"/>
                    <w:rPr>
                      <w:color w:val="auto"/>
                    </w:rPr>
                  </w:pPr>
                  <w:r>
                    <w:rPr>
                      <w:rFonts w:hint="eastAsia"/>
                      <w:color w:val="auto"/>
                    </w:rPr>
                    <w:t>排放速率kg/h</w:t>
                  </w:r>
                </w:p>
              </w:tc>
              <w:tc>
                <w:tcPr>
                  <w:tcW w:w="655" w:type="pct"/>
                  <w:vAlign w:val="center"/>
                </w:tcPr>
                <w:p>
                  <w:pPr>
                    <w:jc w:val="center"/>
                    <w:rPr>
                      <w:color w:val="auto"/>
                    </w:rPr>
                  </w:pPr>
                  <w:r>
                    <w:rPr>
                      <w:rFonts w:hint="eastAsia"/>
                      <w:color w:val="auto"/>
                    </w:rPr>
                    <w:t>浓度限值mg/m</w:t>
                  </w:r>
                  <w:r>
                    <w:rPr>
                      <w:rFonts w:hint="eastAsia"/>
                      <w:color w:val="auto"/>
                      <w:vertAlign w:val="superscript"/>
                    </w:rPr>
                    <w:t>3</w:t>
                  </w:r>
                </w:p>
              </w:tc>
              <w:tc>
                <w:tcPr>
                  <w:tcW w:w="779" w:type="pct"/>
                  <w:vAlign w:val="center"/>
                </w:tcPr>
                <w:p>
                  <w:pPr>
                    <w:jc w:val="center"/>
                    <w:rPr>
                      <w:color w:val="auto"/>
                    </w:rPr>
                  </w:pPr>
                  <w:r>
                    <w:rPr>
                      <w:rFonts w:hint="eastAsia"/>
                      <w:color w:val="auto"/>
                      <w:lang w:val="en-US" w:eastAsia="zh-CN"/>
                    </w:rPr>
                    <w:t>周界外浓度最高点</w:t>
                  </w:r>
                  <w:r>
                    <w:rPr>
                      <w:rFonts w:hint="eastAsia"/>
                      <w:color w:val="auto"/>
                    </w:rPr>
                    <w:t>mg/m</w:t>
                  </w:r>
                  <w:r>
                    <w:rPr>
                      <w:rFonts w:hint="eastAsia"/>
                      <w:color w:val="auto"/>
                      <w:vertAlign w:val="superscript"/>
                    </w:rPr>
                    <w:t>3</w:t>
                  </w:r>
                </w:p>
              </w:tc>
              <w:tc>
                <w:tcPr>
                  <w:tcW w:w="929" w:type="pct"/>
                  <w:vAlign w:val="center"/>
                </w:tcPr>
                <w:p>
                  <w:pPr>
                    <w:jc w:val="center"/>
                    <w:rPr>
                      <w:color w:val="auto"/>
                    </w:rPr>
                  </w:pPr>
                  <w:r>
                    <w:rPr>
                      <w:rFonts w:hint="eastAsia"/>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restart"/>
                  <w:vAlign w:val="center"/>
                </w:tcPr>
                <w:p>
                  <w:pPr>
                    <w:jc w:val="center"/>
                    <w:rPr>
                      <w:color w:val="auto"/>
                    </w:rPr>
                  </w:pPr>
                  <w:r>
                    <w:rPr>
                      <w:rFonts w:hint="eastAsia"/>
                      <w:color w:val="auto"/>
                    </w:rPr>
                    <w:t>1</w:t>
                  </w:r>
                </w:p>
              </w:tc>
              <w:tc>
                <w:tcPr>
                  <w:tcW w:w="642" w:type="pct"/>
                  <w:vMerge w:val="restart"/>
                  <w:vAlign w:val="center"/>
                </w:tcPr>
                <w:p>
                  <w:pPr>
                    <w:jc w:val="center"/>
                    <w:rPr>
                      <w:color w:val="auto"/>
                    </w:rPr>
                  </w:pPr>
                  <w:r>
                    <w:rPr>
                      <w:rFonts w:hint="eastAsia"/>
                      <w:color w:val="auto"/>
                    </w:rPr>
                    <w:t>颗粒物</w:t>
                  </w:r>
                </w:p>
              </w:tc>
              <w:tc>
                <w:tcPr>
                  <w:tcW w:w="513" w:type="pct"/>
                  <w:vMerge w:val="restart"/>
                  <w:vAlign w:val="center"/>
                </w:tcPr>
                <w:p>
                  <w:pPr>
                    <w:jc w:val="center"/>
                    <w:rPr>
                      <w:rFonts w:hint="default" w:eastAsia="宋体"/>
                      <w:color w:val="auto"/>
                      <w:lang w:val="en-US" w:eastAsia="zh-CN"/>
                    </w:rPr>
                  </w:pPr>
                  <w:r>
                    <w:rPr>
                      <w:rFonts w:hint="eastAsia"/>
                      <w:color w:val="auto"/>
                      <w:lang w:val="en-US" w:eastAsia="zh-CN"/>
                    </w:rPr>
                    <w:t>中碎筛分等</w:t>
                  </w:r>
                </w:p>
              </w:tc>
              <w:tc>
                <w:tcPr>
                  <w:tcW w:w="468" w:type="pct"/>
                  <w:vAlign w:val="center"/>
                </w:tcPr>
                <w:p>
                  <w:pPr>
                    <w:jc w:val="center"/>
                    <w:rPr>
                      <w:color w:val="auto"/>
                    </w:rPr>
                  </w:pPr>
                  <w:r>
                    <w:rPr>
                      <w:rFonts w:hint="eastAsia"/>
                      <w:color w:val="auto"/>
                    </w:rPr>
                    <w:t>15</w:t>
                  </w:r>
                </w:p>
              </w:tc>
              <w:tc>
                <w:tcPr>
                  <w:tcW w:w="729" w:type="pct"/>
                  <w:vAlign w:val="center"/>
                </w:tcPr>
                <w:p>
                  <w:pPr>
                    <w:jc w:val="center"/>
                    <w:rPr>
                      <w:rFonts w:hint="default" w:eastAsia="宋体"/>
                      <w:color w:val="auto"/>
                      <w:lang w:val="en-US" w:eastAsia="zh-CN"/>
                    </w:rPr>
                  </w:pPr>
                  <w:r>
                    <w:rPr>
                      <w:rFonts w:hint="eastAsia"/>
                      <w:color w:val="auto"/>
                      <w:lang w:val="en-US" w:eastAsia="zh-CN"/>
                    </w:rPr>
                    <w:t>3.5</w:t>
                  </w:r>
                </w:p>
              </w:tc>
              <w:tc>
                <w:tcPr>
                  <w:tcW w:w="655" w:type="pct"/>
                  <w:vAlign w:val="center"/>
                </w:tcPr>
                <w:p>
                  <w:pPr>
                    <w:jc w:val="center"/>
                    <w:rPr>
                      <w:rFonts w:hint="default" w:eastAsia="宋体"/>
                      <w:color w:val="auto"/>
                      <w:lang w:val="en-US" w:eastAsia="zh-CN"/>
                    </w:rPr>
                  </w:pPr>
                  <w:r>
                    <w:rPr>
                      <w:rFonts w:hint="eastAsia"/>
                      <w:color w:val="auto"/>
                      <w:lang w:val="en-US" w:eastAsia="zh-CN"/>
                    </w:rPr>
                    <w:t>18</w:t>
                  </w:r>
                </w:p>
              </w:tc>
              <w:tc>
                <w:tcPr>
                  <w:tcW w:w="779" w:type="pct"/>
                  <w:vMerge w:val="restart"/>
                  <w:vAlign w:val="center"/>
                </w:tcPr>
                <w:p>
                  <w:pPr>
                    <w:jc w:val="center"/>
                    <w:rPr>
                      <w:color w:val="auto"/>
                    </w:rPr>
                  </w:pPr>
                  <w:r>
                    <w:rPr>
                      <w:rFonts w:hint="eastAsia"/>
                      <w:color w:val="auto"/>
                    </w:rPr>
                    <w:t>1.0</w:t>
                  </w:r>
                </w:p>
              </w:tc>
              <w:tc>
                <w:tcPr>
                  <w:tcW w:w="929" w:type="pct"/>
                  <w:vMerge w:val="restart"/>
                  <w:vAlign w:val="center"/>
                </w:tcPr>
                <w:p>
                  <w:pPr>
                    <w:jc w:val="center"/>
                    <w:rPr>
                      <w:color w:val="auto"/>
                    </w:rPr>
                  </w:pPr>
                  <w:r>
                    <w:rPr>
                      <w:color w:val="auto"/>
                    </w:rPr>
                    <w:t>大气污染物综合排放</w:t>
                  </w:r>
                </w:p>
                <w:p>
                  <w:pPr>
                    <w:jc w:val="center"/>
                    <w:rPr>
                      <w:color w:val="auto"/>
                    </w:rPr>
                  </w:pPr>
                  <w:r>
                    <w:rPr>
                      <w:color w:val="auto"/>
                    </w:rPr>
                    <w:t>标准》（GB 16297-1996）</w:t>
                  </w:r>
                  <w:r>
                    <w:rPr>
                      <w:rFonts w:hint="eastAsia"/>
                      <w:color w:val="auto"/>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jc w:val="center"/>
                    <w:rPr>
                      <w:color w:val="auto"/>
                    </w:rPr>
                  </w:pPr>
                </w:p>
              </w:tc>
              <w:tc>
                <w:tcPr>
                  <w:tcW w:w="642" w:type="pct"/>
                  <w:vMerge w:val="continue"/>
                  <w:vAlign w:val="center"/>
                </w:tcPr>
                <w:p>
                  <w:pPr>
                    <w:jc w:val="center"/>
                    <w:rPr>
                      <w:color w:val="auto"/>
                    </w:rPr>
                  </w:pPr>
                </w:p>
              </w:tc>
              <w:tc>
                <w:tcPr>
                  <w:tcW w:w="513" w:type="pct"/>
                  <w:vMerge w:val="continue"/>
                  <w:vAlign w:val="center"/>
                </w:tcPr>
                <w:p>
                  <w:pPr>
                    <w:jc w:val="center"/>
                    <w:rPr>
                      <w:color w:val="auto"/>
                    </w:rPr>
                  </w:pPr>
                </w:p>
              </w:tc>
              <w:tc>
                <w:tcPr>
                  <w:tcW w:w="468" w:type="pct"/>
                  <w:vAlign w:val="center"/>
                </w:tcPr>
                <w:p>
                  <w:pPr>
                    <w:jc w:val="center"/>
                    <w:rPr>
                      <w:rFonts w:hint="default" w:eastAsia="宋体"/>
                      <w:color w:val="auto"/>
                      <w:lang w:val="en-US" w:eastAsia="zh-CN"/>
                    </w:rPr>
                  </w:pPr>
                  <w:r>
                    <w:rPr>
                      <w:rFonts w:hint="eastAsia"/>
                      <w:color w:val="auto"/>
                      <w:lang w:val="en-US" w:eastAsia="zh-CN"/>
                    </w:rPr>
                    <w:t>20</w:t>
                  </w:r>
                </w:p>
              </w:tc>
              <w:tc>
                <w:tcPr>
                  <w:tcW w:w="729" w:type="pct"/>
                  <w:vAlign w:val="center"/>
                </w:tcPr>
                <w:p>
                  <w:pPr>
                    <w:jc w:val="center"/>
                    <w:rPr>
                      <w:rFonts w:hint="default" w:eastAsia="宋体"/>
                      <w:color w:val="auto"/>
                      <w:lang w:val="en-US" w:eastAsia="zh-CN"/>
                    </w:rPr>
                  </w:pPr>
                  <w:r>
                    <w:rPr>
                      <w:rFonts w:hint="eastAsia"/>
                      <w:color w:val="auto"/>
                      <w:lang w:val="en-US" w:eastAsia="zh-CN"/>
                    </w:rPr>
                    <w:t>5.9</w:t>
                  </w:r>
                </w:p>
              </w:tc>
              <w:tc>
                <w:tcPr>
                  <w:tcW w:w="655" w:type="pct"/>
                  <w:vAlign w:val="center"/>
                </w:tcPr>
                <w:p>
                  <w:pPr>
                    <w:jc w:val="center"/>
                    <w:rPr>
                      <w:rFonts w:hint="default" w:eastAsia="宋体"/>
                      <w:color w:val="auto"/>
                      <w:lang w:val="en-US" w:eastAsia="zh-CN"/>
                    </w:rPr>
                  </w:pPr>
                  <w:r>
                    <w:rPr>
                      <w:rFonts w:hint="eastAsia"/>
                      <w:color w:val="auto"/>
                      <w:lang w:val="en-US" w:eastAsia="zh-CN"/>
                    </w:rPr>
                    <w:t>18</w:t>
                  </w:r>
                </w:p>
              </w:tc>
              <w:tc>
                <w:tcPr>
                  <w:tcW w:w="779" w:type="pct"/>
                  <w:vMerge w:val="continue"/>
                  <w:vAlign w:val="center"/>
                </w:tcPr>
                <w:p>
                  <w:pPr>
                    <w:jc w:val="center"/>
                    <w:rPr>
                      <w:color w:val="auto"/>
                    </w:rPr>
                  </w:pP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jc w:val="center"/>
                    <w:rPr>
                      <w:color w:val="auto"/>
                    </w:rPr>
                  </w:pPr>
                </w:p>
              </w:tc>
              <w:tc>
                <w:tcPr>
                  <w:tcW w:w="642" w:type="pct"/>
                  <w:vMerge w:val="continue"/>
                  <w:vAlign w:val="center"/>
                </w:tcPr>
                <w:p>
                  <w:pPr>
                    <w:jc w:val="center"/>
                    <w:rPr>
                      <w:color w:val="auto"/>
                    </w:rPr>
                  </w:pPr>
                </w:p>
              </w:tc>
              <w:tc>
                <w:tcPr>
                  <w:tcW w:w="513" w:type="pct"/>
                  <w:vMerge w:val="continue"/>
                  <w:vAlign w:val="center"/>
                </w:tcPr>
                <w:p>
                  <w:pPr>
                    <w:jc w:val="center"/>
                    <w:rPr>
                      <w:color w:val="auto"/>
                    </w:rPr>
                  </w:pPr>
                </w:p>
              </w:tc>
              <w:tc>
                <w:tcPr>
                  <w:tcW w:w="468" w:type="pct"/>
                  <w:vAlign w:val="center"/>
                </w:tcPr>
                <w:p>
                  <w:pPr>
                    <w:jc w:val="center"/>
                    <w:rPr>
                      <w:rFonts w:hint="default" w:eastAsia="宋体"/>
                      <w:color w:val="auto"/>
                      <w:lang w:val="en-US" w:eastAsia="zh-CN"/>
                    </w:rPr>
                  </w:pPr>
                  <w:r>
                    <w:rPr>
                      <w:rFonts w:hint="eastAsia"/>
                      <w:color w:val="auto"/>
                      <w:lang w:val="en-US" w:eastAsia="zh-CN"/>
                    </w:rPr>
                    <w:t>30</w:t>
                  </w:r>
                </w:p>
              </w:tc>
              <w:tc>
                <w:tcPr>
                  <w:tcW w:w="729" w:type="pct"/>
                  <w:vAlign w:val="center"/>
                </w:tcPr>
                <w:p>
                  <w:pPr>
                    <w:jc w:val="center"/>
                    <w:rPr>
                      <w:rFonts w:hint="default" w:eastAsia="宋体"/>
                      <w:color w:val="auto"/>
                      <w:lang w:val="en-US" w:eastAsia="zh-CN"/>
                    </w:rPr>
                  </w:pPr>
                  <w:r>
                    <w:rPr>
                      <w:rFonts w:hint="eastAsia"/>
                      <w:color w:val="auto"/>
                      <w:lang w:val="en-US" w:eastAsia="zh-CN"/>
                    </w:rPr>
                    <w:t>23</w:t>
                  </w:r>
                </w:p>
              </w:tc>
              <w:tc>
                <w:tcPr>
                  <w:tcW w:w="655" w:type="pct"/>
                  <w:vAlign w:val="center"/>
                </w:tcPr>
                <w:p>
                  <w:pPr>
                    <w:jc w:val="center"/>
                    <w:rPr>
                      <w:rFonts w:hint="default" w:eastAsia="宋体"/>
                      <w:color w:val="auto"/>
                      <w:lang w:val="en-US" w:eastAsia="zh-CN"/>
                    </w:rPr>
                  </w:pPr>
                  <w:r>
                    <w:rPr>
                      <w:rFonts w:hint="eastAsia"/>
                      <w:color w:val="auto"/>
                      <w:lang w:val="en-US" w:eastAsia="zh-CN"/>
                    </w:rPr>
                    <w:t>8</w:t>
                  </w:r>
                </w:p>
              </w:tc>
              <w:tc>
                <w:tcPr>
                  <w:tcW w:w="779" w:type="pct"/>
                  <w:vMerge w:val="continue"/>
                  <w:vAlign w:val="center"/>
                </w:tcPr>
                <w:p>
                  <w:pPr>
                    <w:jc w:val="center"/>
                    <w:rPr>
                      <w:color w:val="auto"/>
                    </w:rPr>
                  </w:pP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restart"/>
                  <w:vAlign w:val="center"/>
                </w:tcPr>
                <w:p>
                  <w:pPr>
                    <w:jc w:val="center"/>
                    <w:rPr>
                      <w:color w:val="auto"/>
                    </w:rPr>
                  </w:pPr>
                  <w:r>
                    <w:rPr>
                      <w:rFonts w:hint="eastAsia"/>
                      <w:color w:val="auto"/>
                    </w:rPr>
                    <w:t>2</w:t>
                  </w:r>
                </w:p>
              </w:tc>
              <w:tc>
                <w:tcPr>
                  <w:tcW w:w="642" w:type="pct"/>
                  <w:vMerge w:val="restart"/>
                  <w:vAlign w:val="center"/>
                </w:tcPr>
                <w:p>
                  <w:pPr>
                    <w:jc w:val="center"/>
                    <w:rPr>
                      <w:color w:val="auto"/>
                    </w:rPr>
                  </w:pPr>
                  <w:r>
                    <w:rPr>
                      <w:rFonts w:hint="eastAsia"/>
                      <w:color w:val="auto"/>
                    </w:rPr>
                    <w:t>沥青烟</w:t>
                  </w:r>
                </w:p>
              </w:tc>
              <w:tc>
                <w:tcPr>
                  <w:tcW w:w="513" w:type="pct"/>
                  <w:vMerge w:val="restart"/>
                  <w:vAlign w:val="center"/>
                </w:tcPr>
                <w:p>
                  <w:pPr>
                    <w:jc w:val="center"/>
                    <w:rPr>
                      <w:rFonts w:hint="default" w:eastAsia="宋体"/>
                      <w:color w:val="auto"/>
                      <w:lang w:val="en-US" w:eastAsia="zh-CN"/>
                    </w:rPr>
                  </w:pPr>
                  <w:r>
                    <w:rPr>
                      <w:rFonts w:hint="eastAsia"/>
                      <w:color w:val="auto"/>
                    </w:rPr>
                    <w:t>沥青熔化</w:t>
                  </w:r>
                  <w:r>
                    <w:rPr>
                      <w:rFonts w:hint="eastAsia"/>
                      <w:color w:val="auto"/>
                      <w:lang w:eastAsia="zh-CN"/>
                    </w:rPr>
                    <w:t>、</w:t>
                  </w:r>
                  <w:r>
                    <w:rPr>
                      <w:rFonts w:hint="eastAsia"/>
                      <w:color w:val="auto"/>
                      <w:lang w:val="en-US" w:eastAsia="zh-CN"/>
                    </w:rPr>
                    <w:t>混捏成型</w:t>
                  </w:r>
                </w:p>
              </w:tc>
              <w:tc>
                <w:tcPr>
                  <w:tcW w:w="468" w:type="pct"/>
                  <w:vAlign w:val="center"/>
                </w:tcPr>
                <w:p>
                  <w:pPr>
                    <w:jc w:val="center"/>
                    <w:rPr>
                      <w:color w:val="auto"/>
                    </w:rPr>
                  </w:pPr>
                  <w:r>
                    <w:rPr>
                      <w:rFonts w:hint="eastAsia"/>
                      <w:color w:val="auto"/>
                    </w:rPr>
                    <w:t>15</w:t>
                  </w:r>
                </w:p>
              </w:tc>
              <w:tc>
                <w:tcPr>
                  <w:tcW w:w="729" w:type="pct"/>
                  <w:vAlign w:val="center"/>
                </w:tcPr>
                <w:p>
                  <w:pPr>
                    <w:jc w:val="center"/>
                    <w:rPr>
                      <w:rFonts w:hint="default" w:eastAsia="宋体"/>
                      <w:color w:val="auto"/>
                      <w:lang w:val="en-US" w:eastAsia="zh-CN"/>
                    </w:rPr>
                  </w:pPr>
                  <w:r>
                    <w:rPr>
                      <w:rFonts w:hint="eastAsia"/>
                      <w:color w:val="auto"/>
                      <w:lang w:val="en-US" w:eastAsia="zh-CN"/>
                    </w:rPr>
                    <w:t>0.18</w:t>
                  </w:r>
                </w:p>
              </w:tc>
              <w:tc>
                <w:tcPr>
                  <w:tcW w:w="655" w:type="pct"/>
                  <w:vAlign w:val="center"/>
                </w:tcPr>
                <w:p>
                  <w:pPr>
                    <w:jc w:val="center"/>
                    <w:rPr>
                      <w:rFonts w:hint="default" w:eastAsia="宋体"/>
                      <w:color w:val="auto"/>
                      <w:lang w:val="en-US" w:eastAsia="zh-CN"/>
                    </w:rPr>
                  </w:pPr>
                  <w:r>
                    <w:rPr>
                      <w:rFonts w:hint="eastAsia"/>
                      <w:color w:val="auto"/>
                      <w:lang w:val="en-US" w:eastAsia="zh-CN"/>
                    </w:rPr>
                    <w:t>40</w:t>
                  </w:r>
                </w:p>
              </w:tc>
              <w:tc>
                <w:tcPr>
                  <w:tcW w:w="779" w:type="pct"/>
                  <w:vMerge w:val="restart"/>
                  <w:vAlign w:val="center"/>
                </w:tcPr>
                <w:p>
                  <w:pPr>
                    <w:jc w:val="center"/>
                    <w:rPr>
                      <w:rFonts w:hint="default" w:eastAsia="宋体"/>
                      <w:color w:val="auto"/>
                      <w:lang w:val="en-US" w:eastAsia="zh-CN"/>
                    </w:rPr>
                  </w:pPr>
                  <w:r>
                    <w:rPr>
                      <w:rFonts w:hint="eastAsia"/>
                      <w:color w:val="auto"/>
                      <w:lang w:val="en-US" w:eastAsia="zh-CN"/>
                    </w:rPr>
                    <w:t>生产设备不得有明显无组织排放存在</w:t>
                  </w: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jc w:val="center"/>
                    <w:rPr>
                      <w:rFonts w:hint="eastAsia"/>
                      <w:color w:val="auto"/>
                    </w:rPr>
                  </w:pPr>
                </w:p>
              </w:tc>
              <w:tc>
                <w:tcPr>
                  <w:tcW w:w="642" w:type="pct"/>
                  <w:vMerge w:val="continue"/>
                  <w:vAlign w:val="center"/>
                </w:tcPr>
                <w:p>
                  <w:pPr>
                    <w:jc w:val="center"/>
                    <w:rPr>
                      <w:rFonts w:hint="eastAsia"/>
                      <w:color w:val="auto"/>
                    </w:rPr>
                  </w:pPr>
                </w:p>
              </w:tc>
              <w:tc>
                <w:tcPr>
                  <w:tcW w:w="513" w:type="pct"/>
                  <w:vMerge w:val="continue"/>
                  <w:vAlign w:val="center"/>
                </w:tcPr>
                <w:p>
                  <w:pPr>
                    <w:jc w:val="center"/>
                    <w:rPr>
                      <w:rFonts w:hint="eastAsia"/>
                      <w:color w:val="auto"/>
                    </w:rPr>
                  </w:pPr>
                </w:p>
              </w:tc>
              <w:tc>
                <w:tcPr>
                  <w:tcW w:w="468" w:type="pct"/>
                  <w:vAlign w:val="center"/>
                </w:tcPr>
                <w:p>
                  <w:pPr>
                    <w:jc w:val="center"/>
                    <w:rPr>
                      <w:rFonts w:hint="default" w:eastAsia="宋体"/>
                      <w:color w:val="auto"/>
                      <w:lang w:val="en-US" w:eastAsia="zh-CN"/>
                    </w:rPr>
                  </w:pPr>
                  <w:r>
                    <w:rPr>
                      <w:rFonts w:hint="eastAsia"/>
                      <w:color w:val="auto"/>
                      <w:lang w:val="en-US" w:eastAsia="zh-CN"/>
                    </w:rPr>
                    <w:t>20</w:t>
                  </w:r>
                </w:p>
              </w:tc>
              <w:tc>
                <w:tcPr>
                  <w:tcW w:w="729" w:type="pct"/>
                  <w:vAlign w:val="center"/>
                </w:tcPr>
                <w:p>
                  <w:pPr>
                    <w:jc w:val="center"/>
                    <w:rPr>
                      <w:rFonts w:hint="default"/>
                      <w:color w:val="auto"/>
                      <w:lang w:val="en-US" w:eastAsia="zh-CN"/>
                    </w:rPr>
                  </w:pPr>
                  <w:r>
                    <w:rPr>
                      <w:rFonts w:hint="eastAsia"/>
                      <w:color w:val="auto"/>
                      <w:lang w:val="en-US" w:eastAsia="zh-CN"/>
                    </w:rPr>
                    <w:t>0.30</w:t>
                  </w:r>
                </w:p>
              </w:tc>
              <w:tc>
                <w:tcPr>
                  <w:tcW w:w="655" w:type="pct"/>
                  <w:vAlign w:val="center"/>
                </w:tcPr>
                <w:p>
                  <w:pPr>
                    <w:jc w:val="center"/>
                    <w:rPr>
                      <w:rFonts w:hint="default"/>
                      <w:color w:val="auto"/>
                      <w:lang w:val="en-US" w:eastAsia="zh-CN"/>
                    </w:rPr>
                  </w:pPr>
                  <w:r>
                    <w:rPr>
                      <w:rFonts w:hint="eastAsia"/>
                      <w:color w:val="auto"/>
                      <w:lang w:val="en-US" w:eastAsia="zh-CN"/>
                    </w:rPr>
                    <w:t>40</w:t>
                  </w:r>
                </w:p>
              </w:tc>
              <w:tc>
                <w:tcPr>
                  <w:tcW w:w="779" w:type="pct"/>
                  <w:vMerge w:val="continue"/>
                  <w:vAlign w:val="center"/>
                </w:tcPr>
                <w:p>
                  <w:pPr>
                    <w:jc w:val="center"/>
                    <w:rPr>
                      <w:rFonts w:hint="eastAsia"/>
                      <w:color w:val="auto"/>
                    </w:rPr>
                  </w:pP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jc w:val="center"/>
                    <w:rPr>
                      <w:rFonts w:hint="eastAsia"/>
                      <w:color w:val="auto"/>
                    </w:rPr>
                  </w:pPr>
                </w:p>
              </w:tc>
              <w:tc>
                <w:tcPr>
                  <w:tcW w:w="642" w:type="pct"/>
                  <w:vMerge w:val="continue"/>
                  <w:vAlign w:val="center"/>
                </w:tcPr>
                <w:p>
                  <w:pPr>
                    <w:jc w:val="center"/>
                    <w:rPr>
                      <w:rFonts w:hint="eastAsia"/>
                      <w:color w:val="auto"/>
                    </w:rPr>
                  </w:pPr>
                </w:p>
              </w:tc>
              <w:tc>
                <w:tcPr>
                  <w:tcW w:w="513" w:type="pct"/>
                  <w:vMerge w:val="continue"/>
                  <w:vAlign w:val="center"/>
                </w:tcPr>
                <w:p>
                  <w:pPr>
                    <w:jc w:val="center"/>
                    <w:rPr>
                      <w:rFonts w:hint="eastAsia"/>
                      <w:color w:val="auto"/>
                    </w:rPr>
                  </w:pPr>
                </w:p>
              </w:tc>
              <w:tc>
                <w:tcPr>
                  <w:tcW w:w="468" w:type="pct"/>
                  <w:vAlign w:val="center"/>
                </w:tcPr>
                <w:p>
                  <w:pPr>
                    <w:jc w:val="center"/>
                    <w:rPr>
                      <w:rFonts w:hint="default" w:eastAsia="宋体"/>
                      <w:color w:val="auto"/>
                      <w:lang w:val="en-US" w:eastAsia="zh-CN"/>
                    </w:rPr>
                  </w:pPr>
                  <w:r>
                    <w:rPr>
                      <w:rFonts w:hint="eastAsia"/>
                      <w:color w:val="auto"/>
                      <w:lang w:val="en-US" w:eastAsia="zh-CN"/>
                    </w:rPr>
                    <w:t>30</w:t>
                  </w:r>
                </w:p>
              </w:tc>
              <w:tc>
                <w:tcPr>
                  <w:tcW w:w="729" w:type="pct"/>
                  <w:vAlign w:val="center"/>
                </w:tcPr>
                <w:p>
                  <w:pPr>
                    <w:jc w:val="center"/>
                    <w:rPr>
                      <w:rFonts w:hint="default"/>
                      <w:color w:val="auto"/>
                      <w:lang w:val="en-US" w:eastAsia="zh-CN"/>
                    </w:rPr>
                  </w:pPr>
                  <w:r>
                    <w:rPr>
                      <w:rFonts w:hint="eastAsia"/>
                      <w:color w:val="auto"/>
                      <w:lang w:val="en-US" w:eastAsia="zh-CN"/>
                    </w:rPr>
                    <w:t>1.8</w:t>
                  </w:r>
                </w:p>
              </w:tc>
              <w:tc>
                <w:tcPr>
                  <w:tcW w:w="655" w:type="pct"/>
                  <w:vAlign w:val="center"/>
                </w:tcPr>
                <w:p>
                  <w:pPr>
                    <w:jc w:val="center"/>
                    <w:rPr>
                      <w:rFonts w:hint="default"/>
                      <w:color w:val="auto"/>
                      <w:lang w:val="en-US" w:eastAsia="zh-CN"/>
                    </w:rPr>
                  </w:pPr>
                  <w:r>
                    <w:rPr>
                      <w:rFonts w:hint="eastAsia"/>
                      <w:color w:val="auto"/>
                      <w:lang w:val="en-US" w:eastAsia="zh-CN"/>
                    </w:rPr>
                    <w:t>40</w:t>
                  </w:r>
                </w:p>
              </w:tc>
              <w:tc>
                <w:tcPr>
                  <w:tcW w:w="779" w:type="pct"/>
                  <w:vMerge w:val="continue"/>
                  <w:vAlign w:val="center"/>
                </w:tcPr>
                <w:p>
                  <w:pPr>
                    <w:jc w:val="center"/>
                    <w:rPr>
                      <w:rFonts w:hint="eastAsia"/>
                      <w:color w:val="auto"/>
                    </w:rPr>
                  </w:pP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restart"/>
                  <w:vAlign w:val="center"/>
                </w:tcPr>
                <w:p>
                  <w:pPr>
                    <w:jc w:val="center"/>
                    <w:rPr>
                      <w:rFonts w:hint="eastAsia" w:eastAsia="宋体"/>
                      <w:color w:val="auto"/>
                      <w:lang w:val="en-US" w:eastAsia="zh-CN"/>
                    </w:rPr>
                  </w:pPr>
                  <w:r>
                    <w:rPr>
                      <w:rFonts w:hint="eastAsia"/>
                      <w:color w:val="auto"/>
                      <w:lang w:val="en-US" w:eastAsia="zh-CN"/>
                    </w:rPr>
                    <w:t>3</w:t>
                  </w:r>
                </w:p>
              </w:tc>
              <w:tc>
                <w:tcPr>
                  <w:tcW w:w="642" w:type="pct"/>
                  <w:vMerge w:val="restar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苯并芘</w:t>
                  </w:r>
                </w:p>
              </w:tc>
              <w:tc>
                <w:tcPr>
                  <w:tcW w:w="513" w:type="pct"/>
                  <w:vMerge w:val="restar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沥青熔化/混捏成型</w:t>
                  </w:r>
                </w:p>
              </w:tc>
              <w:tc>
                <w:tcPr>
                  <w:tcW w:w="468" w:type="pc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15</w:t>
                  </w:r>
                </w:p>
              </w:tc>
              <w:tc>
                <w:tcPr>
                  <w:tcW w:w="729" w:type="pc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0.0</w:t>
                  </w:r>
                  <w:r>
                    <w:rPr>
                      <w:rFonts w:hint="eastAsia"/>
                      <w:color w:val="auto"/>
                      <w:lang w:val="en-US" w:eastAsia="zh-CN"/>
                    </w:rPr>
                    <w:t>5</w:t>
                  </w:r>
                  <w:r>
                    <w:rPr>
                      <w:rFonts w:hint="eastAsia"/>
                      <w:color w:val="auto"/>
                    </w:rPr>
                    <w:t>×10</w:t>
                  </w:r>
                  <w:r>
                    <w:rPr>
                      <w:rFonts w:hint="eastAsia"/>
                      <w:color w:val="auto"/>
                      <w:vertAlign w:val="superscript"/>
                    </w:rPr>
                    <w:t>-3</w:t>
                  </w:r>
                </w:p>
              </w:tc>
              <w:tc>
                <w:tcPr>
                  <w:tcW w:w="655" w:type="pct"/>
                  <w:vMerge w:val="restar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0.3×10</w:t>
                  </w:r>
                  <w:r>
                    <w:rPr>
                      <w:rFonts w:hint="eastAsia"/>
                      <w:color w:val="auto"/>
                      <w:vertAlign w:val="superscript"/>
                    </w:rPr>
                    <w:t>-3</w:t>
                  </w:r>
                </w:p>
              </w:tc>
              <w:tc>
                <w:tcPr>
                  <w:tcW w:w="779" w:type="pct"/>
                  <w:vMerge w:val="restar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0.008ug/m</w:t>
                  </w:r>
                  <w:r>
                    <w:rPr>
                      <w:rFonts w:hint="eastAsia"/>
                      <w:color w:val="auto"/>
                      <w:vertAlign w:val="superscript"/>
                    </w:rPr>
                    <w:t>3</w:t>
                  </w: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jc w:val="center"/>
                    <w:rPr>
                      <w:rFonts w:hint="eastAsia"/>
                      <w:color w:val="auto"/>
                      <w:lang w:val="en-US" w:eastAsia="zh-CN"/>
                    </w:rPr>
                  </w:pPr>
                </w:p>
              </w:tc>
              <w:tc>
                <w:tcPr>
                  <w:tcW w:w="642" w:type="pct"/>
                  <w:vMerge w:val="continue"/>
                  <w:vAlign w:val="center"/>
                </w:tcPr>
                <w:p>
                  <w:pPr>
                    <w:jc w:val="center"/>
                    <w:rPr>
                      <w:rFonts w:hint="eastAsia"/>
                      <w:color w:val="auto"/>
                    </w:rPr>
                  </w:pPr>
                </w:p>
              </w:tc>
              <w:tc>
                <w:tcPr>
                  <w:tcW w:w="513" w:type="pct"/>
                  <w:vMerge w:val="continue"/>
                  <w:vAlign w:val="center"/>
                </w:tcPr>
                <w:p>
                  <w:pPr>
                    <w:jc w:val="center"/>
                    <w:rPr>
                      <w:rFonts w:hint="eastAsia"/>
                      <w:color w:val="auto"/>
                    </w:rPr>
                  </w:pPr>
                </w:p>
              </w:tc>
              <w:tc>
                <w:tcPr>
                  <w:tcW w:w="468" w:type="pct"/>
                  <w:vAlign w:val="center"/>
                </w:tcPr>
                <w:p>
                  <w:pPr>
                    <w:jc w:val="center"/>
                    <w:rPr>
                      <w:rFonts w:hint="default" w:eastAsia="宋体"/>
                      <w:color w:val="auto"/>
                      <w:lang w:val="en-US" w:eastAsia="zh-CN"/>
                    </w:rPr>
                  </w:pPr>
                  <w:r>
                    <w:rPr>
                      <w:rFonts w:hint="eastAsia"/>
                      <w:color w:val="auto"/>
                      <w:lang w:val="en-US" w:eastAsia="zh-CN"/>
                    </w:rPr>
                    <w:t>20</w:t>
                  </w:r>
                </w:p>
              </w:tc>
              <w:tc>
                <w:tcPr>
                  <w:tcW w:w="729" w:type="pc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0.0</w:t>
                  </w:r>
                  <w:r>
                    <w:rPr>
                      <w:rFonts w:hint="eastAsia"/>
                      <w:color w:val="auto"/>
                      <w:lang w:val="en-US" w:eastAsia="zh-CN"/>
                    </w:rPr>
                    <w:t>85</w:t>
                  </w:r>
                  <w:r>
                    <w:rPr>
                      <w:rFonts w:hint="eastAsia"/>
                      <w:color w:val="auto"/>
                    </w:rPr>
                    <w:t>×10</w:t>
                  </w:r>
                  <w:r>
                    <w:rPr>
                      <w:rFonts w:hint="eastAsia"/>
                      <w:color w:val="auto"/>
                      <w:vertAlign w:val="superscript"/>
                    </w:rPr>
                    <w:t>-3</w:t>
                  </w:r>
                </w:p>
              </w:tc>
              <w:tc>
                <w:tcPr>
                  <w:tcW w:w="655" w:type="pct"/>
                  <w:vMerge w:val="continue"/>
                  <w:vAlign w:val="center"/>
                </w:tcPr>
                <w:p>
                  <w:pPr>
                    <w:jc w:val="center"/>
                    <w:rPr>
                      <w:rFonts w:hint="eastAsia"/>
                      <w:color w:val="auto"/>
                    </w:rPr>
                  </w:pPr>
                </w:p>
              </w:tc>
              <w:tc>
                <w:tcPr>
                  <w:tcW w:w="779" w:type="pct"/>
                  <w:vMerge w:val="continue"/>
                  <w:vAlign w:val="center"/>
                </w:tcPr>
                <w:p>
                  <w:pPr>
                    <w:jc w:val="center"/>
                    <w:rPr>
                      <w:rFonts w:hint="eastAsia"/>
                      <w:color w:val="auto"/>
                    </w:rPr>
                  </w:pP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pPr>
                    <w:jc w:val="center"/>
                    <w:rPr>
                      <w:rFonts w:hint="eastAsia"/>
                      <w:color w:val="auto"/>
                      <w:lang w:val="en-US" w:eastAsia="zh-CN"/>
                    </w:rPr>
                  </w:pPr>
                </w:p>
              </w:tc>
              <w:tc>
                <w:tcPr>
                  <w:tcW w:w="642" w:type="pct"/>
                  <w:vMerge w:val="continue"/>
                  <w:vAlign w:val="center"/>
                </w:tcPr>
                <w:p>
                  <w:pPr>
                    <w:jc w:val="center"/>
                    <w:rPr>
                      <w:rFonts w:hint="eastAsia"/>
                      <w:color w:val="auto"/>
                    </w:rPr>
                  </w:pPr>
                </w:p>
              </w:tc>
              <w:tc>
                <w:tcPr>
                  <w:tcW w:w="513" w:type="pct"/>
                  <w:vMerge w:val="continue"/>
                  <w:vAlign w:val="center"/>
                </w:tcPr>
                <w:p>
                  <w:pPr>
                    <w:jc w:val="center"/>
                    <w:rPr>
                      <w:rFonts w:hint="eastAsia"/>
                      <w:color w:val="auto"/>
                    </w:rPr>
                  </w:pPr>
                </w:p>
              </w:tc>
              <w:tc>
                <w:tcPr>
                  <w:tcW w:w="468" w:type="pct"/>
                  <w:vAlign w:val="center"/>
                </w:tcPr>
                <w:p>
                  <w:pPr>
                    <w:jc w:val="center"/>
                    <w:rPr>
                      <w:rFonts w:hint="default" w:eastAsia="宋体"/>
                      <w:color w:val="auto"/>
                      <w:lang w:val="en-US" w:eastAsia="zh-CN"/>
                    </w:rPr>
                  </w:pPr>
                  <w:r>
                    <w:rPr>
                      <w:rFonts w:hint="eastAsia"/>
                      <w:color w:val="auto"/>
                      <w:lang w:val="en-US" w:eastAsia="zh-CN"/>
                    </w:rPr>
                    <w:t>30</w:t>
                  </w:r>
                </w:p>
              </w:tc>
              <w:tc>
                <w:tcPr>
                  <w:tcW w:w="729" w:type="pc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0.</w:t>
                  </w:r>
                  <w:r>
                    <w:rPr>
                      <w:rFonts w:hint="eastAsia"/>
                      <w:color w:val="auto"/>
                      <w:lang w:val="en-US" w:eastAsia="zh-CN"/>
                    </w:rPr>
                    <w:t>29</w:t>
                  </w:r>
                  <w:r>
                    <w:rPr>
                      <w:rFonts w:hint="eastAsia"/>
                      <w:color w:val="auto"/>
                    </w:rPr>
                    <w:t>×10</w:t>
                  </w:r>
                  <w:r>
                    <w:rPr>
                      <w:rFonts w:hint="eastAsia"/>
                      <w:color w:val="auto"/>
                      <w:vertAlign w:val="superscript"/>
                    </w:rPr>
                    <w:t>-3</w:t>
                  </w:r>
                </w:p>
              </w:tc>
              <w:tc>
                <w:tcPr>
                  <w:tcW w:w="655" w:type="pct"/>
                  <w:vMerge w:val="continue"/>
                  <w:vAlign w:val="center"/>
                </w:tcPr>
                <w:p>
                  <w:pPr>
                    <w:jc w:val="center"/>
                    <w:rPr>
                      <w:rFonts w:hint="eastAsia"/>
                      <w:color w:val="auto"/>
                    </w:rPr>
                  </w:pPr>
                </w:p>
              </w:tc>
              <w:tc>
                <w:tcPr>
                  <w:tcW w:w="779" w:type="pct"/>
                  <w:vMerge w:val="continue"/>
                  <w:vAlign w:val="center"/>
                </w:tcPr>
                <w:p>
                  <w:pPr>
                    <w:jc w:val="center"/>
                    <w:rPr>
                      <w:rFonts w:hint="eastAsia"/>
                      <w:color w:val="auto"/>
                    </w:rPr>
                  </w:pP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81" w:type="pct"/>
                  <w:vMerge w:val="restart"/>
                  <w:vAlign w:val="center"/>
                </w:tcPr>
                <w:p>
                  <w:pPr>
                    <w:jc w:val="center"/>
                    <w:rPr>
                      <w:rFonts w:hint="eastAsia" w:eastAsia="宋体"/>
                      <w:color w:val="auto"/>
                      <w:lang w:eastAsia="zh-CN"/>
                    </w:rPr>
                  </w:pPr>
                  <w:r>
                    <w:rPr>
                      <w:rFonts w:hint="eastAsia"/>
                      <w:color w:val="auto"/>
                      <w:lang w:val="en-US" w:eastAsia="zh-CN"/>
                    </w:rPr>
                    <w:t>4</w:t>
                  </w:r>
                </w:p>
              </w:tc>
              <w:tc>
                <w:tcPr>
                  <w:tcW w:w="642" w:type="pct"/>
                  <w:vAlign w:val="center"/>
                </w:tcPr>
                <w:p>
                  <w:pPr>
                    <w:jc w:val="center"/>
                    <w:rPr>
                      <w:rFonts w:hint="eastAsia" w:eastAsia="宋体"/>
                      <w:color w:val="auto"/>
                      <w:lang w:val="en-US" w:eastAsia="zh-CN"/>
                    </w:rPr>
                  </w:pPr>
                  <w:r>
                    <w:rPr>
                      <w:rFonts w:hint="eastAsia"/>
                      <w:color w:val="auto"/>
                      <w:lang w:val="en-US" w:eastAsia="zh-CN"/>
                    </w:rPr>
                    <w:t>颗粒物</w:t>
                  </w:r>
                </w:p>
              </w:tc>
              <w:tc>
                <w:tcPr>
                  <w:tcW w:w="513" w:type="pct"/>
                  <w:vMerge w:val="restart"/>
                  <w:vAlign w:val="center"/>
                </w:tcPr>
                <w:p>
                  <w:pPr>
                    <w:jc w:val="center"/>
                    <w:rPr>
                      <w:color w:val="auto"/>
                    </w:rPr>
                  </w:pPr>
                  <w:r>
                    <w:rPr>
                      <w:rFonts w:hint="eastAsia"/>
                      <w:color w:val="auto"/>
                    </w:rPr>
                    <w:t>石墨化炉</w:t>
                  </w:r>
                </w:p>
              </w:tc>
              <w:tc>
                <w:tcPr>
                  <w:tcW w:w="468" w:type="pct"/>
                  <w:vMerge w:val="restart"/>
                  <w:vAlign w:val="center"/>
                </w:tcPr>
                <w:p>
                  <w:pPr>
                    <w:jc w:val="center"/>
                    <w:rPr>
                      <w:color w:val="auto"/>
                    </w:rPr>
                  </w:pPr>
                  <w:r>
                    <w:rPr>
                      <w:rFonts w:hint="eastAsia"/>
                      <w:color w:val="auto"/>
                    </w:rPr>
                    <w:t>40</w:t>
                  </w:r>
                </w:p>
              </w:tc>
              <w:tc>
                <w:tcPr>
                  <w:tcW w:w="729" w:type="pct"/>
                  <w:vAlign w:val="center"/>
                </w:tcPr>
                <w:p>
                  <w:pPr>
                    <w:jc w:val="center"/>
                    <w:rPr>
                      <w:rFonts w:hint="default" w:eastAsia="宋体"/>
                      <w:color w:val="auto"/>
                      <w:lang w:val="en-US" w:eastAsia="zh-CN"/>
                    </w:rPr>
                  </w:pPr>
                  <w:r>
                    <w:rPr>
                      <w:rFonts w:hint="eastAsia"/>
                      <w:color w:val="auto"/>
                      <w:lang w:val="en-US" w:eastAsia="zh-CN"/>
                    </w:rPr>
                    <w:t>/</w:t>
                  </w:r>
                </w:p>
              </w:tc>
              <w:tc>
                <w:tcPr>
                  <w:tcW w:w="655" w:type="pct"/>
                  <w:vAlign w:val="center"/>
                </w:tcPr>
                <w:p>
                  <w:pPr>
                    <w:jc w:val="center"/>
                    <w:rPr>
                      <w:rFonts w:hint="default" w:eastAsia="宋体"/>
                      <w:color w:val="auto"/>
                      <w:lang w:val="en-US" w:eastAsia="zh-CN"/>
                    </w:rPr>
                  </w:pPr>
                  <w:r>
                    <w:rPr>
                      <w:rFonts w:hint="eastAsia"/>
                      <w:color w:val="auto"/>
                      <w:lang w:val="en-US" w:eastAsia="zh-CN"/>
                    </w:rPr>
                    <w:t>30</w:t>
                  </w:r>
                </w:p>
              </w:tc>
              <w:tc>
                <w:tcPr>
                  <w:tcW w:w="779" w:type="pct"/>
                  <w:vAlign w:val="center"/>
                </w:tcPr>
                <w:p>
                  <w:pPr>
                    <w:jc w:val="center"/>
                    <w:rPr>
                      <w:rFonts w:hint="default" w:eastAsia="宋体"/>
                      <w:color w:val="auto"/>
                      <w:lang w:val="en-US" w:eastAsia="zh-CN"/>
                    </w:rPr>
                  </w:pPr>
                  <w:r>
                    <w:rPr>
                      <w:rFonts w:hint="eastAsia"/>
                      <w:color w:val="auto"/>
                      <w:lang w:val="en-US" w:eastAsia="zh-CN"/>
                    </w:rPr>
                    <w:t>1.0</w:t>
                  </w:r>
                </w:p>
              </w:tc>
              <w:tc>
                <w:tcPr>
                  <w:tcW w:w="929" w:type="pct"/>
                  <w:vMerge w:val="restart"/>
                  <w:vAlign w:val="center"/>
                </w:tcPr>
                <w:p>
                  <w:pPr>
                    <w:jc w:val="center"/>
                    <w:rPr>
                      <w:color w:val="auto"/>
                    </w:rPr>
                  </w:pPr>
                  <w:r>
                    <w:rPr>
                      <w:rFonts w:hint="eastAsia"/>
                      <w:color w:val="auto"/>
                      <w:lang w:val="en-US" w:eastAsia="zh-CN"/>
                    </w:rPr>
                    <w:t>有组织排放执行晋环大气[2019]164号规定，无组织排放执行</w:t>
                  </w:r>
                  <w:r>
                    <w:rPr>
                      <w:color w:val="auto"/>
                    </w:rPr>
                    <w:t>大气污染物综合排放</w:t>
                  </w:r>
                </w:p>
                <w:p>
                  <w:pPr>
                    <w:jc w:val="center"/>
                    <w:rPr>
                      <w:rFonts w:hint="default" w:eastAsia="宋体"/>
                      <w:color w:val="auto"/>
                      <w:lang w:val="en-US" w:eastAsia="zh-CN"/>
                    </w:rPr>
                  </w:pPr>
                  <w:r>
                    <w:rPr>
                      <w:color w:val="auto"/>
                    </w:rPr>
                    <w:t>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81" w:type="pct"/>
                  <w:vMerge w:val="continue"/>
                  <w:vAlign w:val="center"/>
                </w:tcPr>
                <w:p>
                  <w:pPr>
                    <w:jc w:val="center"/>
                    <w:rPr>
                      <w:color w:val="auto"/>
                    </w:rPr>
                  </w:pPr>
                </w:p>
              </w:tc>
              <w:tc>
                <w:tcPr>
                  <w:tcW w:w="642" w:type="pct"/>
                  <w:vAlign w:val="center"/>
                </w:tcPr>
                <w:p>
                  <w:pPr>
                    <w:jc w:val="center"/>
                    <w:rPr>
                      <w:color w:val="auto"/>
                    </w:rPr>
                  </w:pPr>
                  <w:r>
                    <w:rPr>
                      <w:rFonts w:hint="eastAsia"/>
                      <w:color w:val="auto"/>
                    </w:rPr>
                    <w:t>SO</w:t>
                  </w:r>
                  <w:r>
                    <w:rPr>
                      <w:rFonts w:hint="eastAsia"/>
                      <w:color w:val="auto"/>
                      <w:vertAlign w:val="subscript"/>
                    </w:rPr>
                    <w:t>2</w:t>
                  </w:r>
                </w:p>
              </w:tc>
              <w:tc>
                <w:tcPr>
                  <w:tcW w:w="513" w:type="pct"/>
                  <w:vMerge w:val="continue"/>
                  <w:vAlign w:val="center"/>
                </w:tcPr>
                <w:p>
                  <w:pPr>
                    <w:jc w:val="center"/>
                    <w:rPr>
                      <w:color w:val="auto"/>
                    </w:rPr>
                  </w:pPr>
                </w:p>
              </w:tc>
              <w:tc>
                <w:tcPr>
                  <w:tcW w:w="468" w:type="pct"/>
                  <w:vMerge w:val="continue"/>
                  <w:vAlign w:val="center"/>
                </w:tcPr>
                <w:p>
                  <w:pPr>
                    <w:jc w:val="center"/>
                    <w:rPr>
                      <w:color w:val="auto"/>
                    </w:rPr>
                  </w:pPr>
                </w:p>
              </w:tc>
              <w:tc>
                <w:tcPr>
                  <w:tcW w:w="729" w:type="pct"/>
                  <w:vAlign w:val="center"/>
                </w:tcPr>
                <w:p>
                  <w:pPr>
                    <w:jc w:val="center"/>
                    <w:rPr>
                      <w:color w:val="auto"/>
                    </w:rPr>
                  </w:pPr>
                  <w:r>
                    <w:rPr>
                      <w:rFonts w:hint="eastAsia"/>
                      <w:color w:val="auto"/>
                    </w:rPr>
                    <w:t>/</w:t>
                  </w:r>
                </w:p>
              </w:tc>
              <w:tc>
                <w:tcPr>
                  <w:tcW w:w="655" w:type="pct"/>
                  <w:vAlign w:val="center"/>
                </w:tcPr>
                <w:p>
                  <w:pPr>
                    <w:jc w:val="center"/>
                    <w:rPr>
                      <w:rFonts w:hint="default" w:eastAsia="宋体"/>
                      <w:color w:val="auto"/>
                      <w:lang w:val="en-US" w:eastAsia="zh-CN"/>
                    </w:rPr>
                  </w:pPr>
                  <w:r>
                    <w:rPr>
                      <w:rFonts w:hint="eastAsia"/>
                      <w:color w:val="auto"/>
                      <w:lang w:val="en-US" w:eastAsia="zh-CN"/>
                    </w:rPr>
                    <w:t>200</w:t>
                  </w:r>
                </w:p>
              </w:tc>
              <w:tc>
                <w:tcPr>
                  <w:tcW w:w="779" w:type="pct"/>
                  <w:vAlign w:val="center"/>
                </w:tcPr>
                <w:p>
                  <w:pPr>
                    <w:jc w:val="center"/>
                    <w:rPr>
                      <w:rFonts w:hint="default" w:eastAsia="宋体"/>
                      <w:color w:val="auto"/>
                      <w:lang w:val="en-US" w:eastAsia="zh-CN"/>
                    </w:rPr>
                  </w:pPr>
                  <w:r>
                    <w:rPr>
                      <w:rFonts w:hint="eastAsia"/>
                      <w:color w:val="auto"/>
                      <w:lang w:val="en-US" w:eastAsia="zh-CN"/>
                    </w:rPr>
                    <w:t>0.4</w:t>
                  </w: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81" w:type="pct"/>
                  <w:vMerge w:val="continue"/>
                  <w:vAlign w:val="center"/>
                </w:tcPr>
                <w:p>
                  <w:pPr>
                    <w:jc w:val="center"/>
                    <w:rPr>
                      <w:color w:val="auto"/>
                    </w:rPr>
                  </w:pPr>
                </w:p>
              </w:tc>
              <w:tc>
                <w:tcPr>
                  <w:tcW w:w="642" w:type="pct"/>
                  <w:vAlign w:val="center"/>
                </w:tcPr>
                <w:p>
                  <w:pPr>
                    <w:jc w:val="center"/>
                    <w:rPr>
                      <w:color w:val="auto"/>
                    </w:rPr>
                  </w:pPr>
                  <w:r>
                    <w:rPr>
                      <w:rFonts w:hint="eastAsia"/>
                      <w:color w:val="auto"/>
                    </w:rPr>
                    <w:t>NOx</w:t>
                  </w:r>
                </w:p>
              </w:tc>
              <w:tc>
                <w:tcPr>
                  <w:tcW w:w="513" w:type="pct"/>
                  <w:vMerge w:val="continue"/>
                  <w:vAlign w:val="center"/>
                </w:tcPr>
                <w:p>
                  <w:pPr>
                    <w:jc w:val="center"/>
                    <w:rPr>
                      <w:color w:val="auto"/>
                    </w:rPr>
                  </w:pPr>
                </w:p>
              </w:tc>
              <w:tc>
                <w:tcPr>
                  <w:tcW w:w="468" w:type="pct"/>
                  <w:vMerge w:val="continue"/>
                  <w:vAlign w:val="center"/>
                </w:tcPr>
                <w:p>
                  <w:pPr>
                    <w:jc w:val="center"/>
                    <w:rPr>
                      <w:color w:val="auto"/>
                    </w:rPr>
                  </w:pPr>
                </w:p>
              </w:tc>
              <w:tc>
                <w:tcPr>
                  <w:tcW w:w="729" w:type="pct"/>
                  <w:vAlign w:val="center"/>
                </w:tcPr>
                <w:p>
                  <w:pPr>
                    <w:jc w:val="center"/>
                    <w:rPr>
                      <w:color w:val="auto"/>
                    </w:rPr>
                  </w:pPr>
                  <w:r>
                    <w:rPr>
                      <w:rFonts w:hint="eastAsia"/>
                      <w:color w:val="auto"/>
                    </w:rPr>
                    <w:t>/</w:t>
                  </w:r>
                </w:p>
              </w:tc>
              <w:tc>
                <w:tcPr>
                  <w:tcW w:w="655" w:type="pct"/>
                  <w:vAlign w:val="center"/>
                </w:tcPr>
                <w:p>
                  <w:pPr>
                    <w:jc w:val="center"/>
                    <w:rPr>
                      <w:rFonts w:hint="default" w:eastAsia="宋体"/>
                      <w:color w:val="auto"/>
                      <w:lang w:val="en-US" w:eastAsia="zh-CN"/>
                    </w:rPr>
                  </w:pPr>
                  <w:r>
                    <w:rPr>
                      <w:rFonts w:hint="eastAsia"/>
                      <w:color w:val="auto"/>
                      <w:lang w:val="en-US" w:eastAsia="zh-CN"/>
                    </w:rPr>
                    <w:t>300</w:t>
                  </w:r>
                </w:p>
              </w:tc>
              <w:tc>
                <w:tcPr>
                  <w:tcW w:w="779" w:type="pct"/>
                  <w:vAlign w:val="center"/>
                </w:tcPr>
                <w:p>
                  <w:pPr>
                    <w:jc w:val="center"/>
                    <w:rPr>
                      <w:rFonts w:hint="default" w:eastAsia="宋体"/>
                      <w:color w:val="auto"/>
                      <w:lang w:val="en-US" w:eastAsia="zh-CN"/>
                    </w:rPr>
                  </w:pPr>
                  <w:r>
                    <w:rPr>
                      <w:rFonts w:hint="eastAsia"/>
                      <w:color w:val="auto"/>
                      <w:lang w:val="en-US" w:eastAsia="zh-CN"/>
                    </w:rPr>
                    <w:t>0.12</w:t>
                  </w: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81" w:type="pct"/>
                  <w:vAlign w:val="center"/>
                </w:tcPr>
                <w:p>
                  <w:pPr>
                    <w:jc w:val="center"/>
                    <w:rPr>
                      <w:rFonts w:hint="eastAsia" w:eastAsia="宋体"/>
                      <w:color w:val="auto"/>
                      <w:lang w:eastAsia="zh-CN"/>
                    </w:rPr>
                  </w:pPr>
                  <w:r>
                    <w:rPr>
                      <w:rFonts w:hint="eastAsia"/>
                      <w:color w:val="auto"/>
                      <w:lang w:val="en-US" w:eastAsia="zh-CN"/>
                    </w:rPr>
                    <w:t>5</w:t>
                  </w:r>
                </w:p>
              </w:tc>
              <w:tc>
                <w:tcPr>
                  <w:tcW w:w="642" w:type="pct"/>
                  <w:vAlign w:val="center"/>
                </w:tcPr>
                <w:p>
                  <w:pPr>
                    <w:jc w:val="center"/>
                    <w:rPr>
                      <w:color w:val="auto"/>
                    </w:rPr>
                  </w:pPr>
                  <w:r>
                    <w:rPr>
                      <w:rFonts w:hint="eastAsia"/>
                      <w:color w:val="auto"/>
                    </w:rPr>
                    <w:t>颗粒物</w:t>
                  </w:r>
                </w:p>
              </w:tc>
              <w:tc>
                <w:tcPr>
                  <w:tcW w:w="513" w:type="pct"/>
                  <w:vMerge w:val="restart"/>
                  <w:vAlign w:val="center"/>
                </w:tcPr>
                <w:p>
                  <w:pPr>
                    <w:jc w:val="center"/>
                    <w:rPr>
                      <w:color w:val="auto"/>
                    </w:rPr>
                  </w:pPr>
                  <w:r>
                    <w:rPr>
                      <w:rFonts w:hint="eastAsia"/>
                      <w:color w:val="auto"/>
                    </w:rPr>
                    <w:t>导热油炉</w:t>
                  </w:r>
                </w:p>
              </w:tc>
              <w:tc>
                <w:tcPr>
                  <w:tcW w:w="468" w:type="pct"/>
                  <w:vMerge w:val="restart"/>
                  <w:vAlign w:val="center"/>
                </w:tcPr>
                <w:p>
                  <w:pPr>
                    <w:jc w:val="center"/>
                    <w:rPr>
                      <w:color w:val="auto"/>
                    </w:rPr>
                  </w:pPr>
                  <w:r>
                    <w:rPr>
                      <w:rFonts w:hint="eastAsia"/>
                      <w:color w:val="auto"/>
                    </w:rPr>
                    <w:t>15</w:t>
                  </w:r>
                </w:p>
              </w:tc>
              <w:tc>
                <w:tcPr>
                  <w:tcW w:w="729" w:type="pct"/>
                  <w:vAlign w:val="center"/>
                </w:tcPr>
                <w:p>
                  <w:pPr>
                    <w:jc w:val="center"/>
                    <w:rPr>
                      <w:color w:val="auto"/>
                    </w:rPr>
                  </w:pPr>
                  <w:r>
                    <w:rPr>
                      <w:rFonts w:hint="eastAsia"/>
                      <w:color w:val="auto"/>
                    </w:rPr>
                    <w:t>/</w:t>
                  </w:r>
                </w:p>
              </w:tc>
              <w:tc>
                <w:tcPr>
                  <w:tcW w:w="655" w:type="pct"/>
                  <w:vAlign w:val="center"/>
                </w:tcPr>
                <w:p>
                  <w:pPr>
                    <w:jc w:val="center"/>
                    <w:rPr>
                      <w:color w:val="auto"/>
                    </w:rPr>
                  </w:pPr>
                  <w:r>
                    <w:rPr>
                      <w:rFonts w:hint="eastAsia"/>
                      <w:color w:val="auto"/>
                    </w:rPr>
                    <w:t>5</w:t>
                  </w:r>
                </w:p>
              </w:tc>
              <w:tc>
                <w:tcPr>
                  <w:tcW w:w="779" w:type="pct"/>
                  <w:vAlign w:val="center"/>
                </w:tcPr>
                <w:p>
                  <w:pPr>
                    <w:jc w:val="center"/>
                    <w:rPr>
                      <w:color w:val="auto"/>
                    </w:rPr>
                  </w:pPr>
                  <w:r>
                    <w:rPr>
                      <w:rFonts w:hint="eastAsia"/>
                      <w:color w:val="auto"/>
                    </w:rPr>
                    <w:t>/</w:t>
                  </w:r>
                </w:p>
              </w:tc>
              <w:tc>
                <w:tcPr>
                  <w:tcW w:w="929" w:type="pct"/>
                  <w:vMerge w:val="restart"/>
                  <w:vAlign w:val="center"/>
                </w:tcPr>
                <w:p>
                  <w:pPr>
                    <w:jc w:val="center"/>
                    <w:rPr>
                      <w:color w:val="auto"/>
                    </w:rPr>
                  </w:pPr>
                  <w:r>
                    <w:rPr>
                      <w:rFonts w:hint="eastAsia"/>
                      <w:color w:val="auto"/>
                    </w:rPr>
                    <w:t>山西省地方标准《锅炉大气污染物排放标准》（DB14/19）-2019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81" w:type="pct"/>
                  <w:vAlign w:val="center"/>
                </w:tcPr>
                <w:p>
                  <w:pPr>
                    <w:jc w:val="center"/>
                    <w:rPr>
                      <w:rFonts w:hint="eastAsia" w:eastAsia="宋体"/>
                      <w:color w:val="auto"/>
                      <w:lang w:eastAsia="zh-CN"/>
                    </w:rPr>
                  </w:pPr>
                  <w:r>
                    <w:rPr>
                      <w:rFonts w:hint="eastAsia"/>
                      <w:color w:val="auto"/>
                      <w:lang w:val="en-US" w:eastAsia="zh-CN"/>
                    </w:rPr>
                    <w:t>6</w:t>
                  </w:r>
                </w:p>
              </w:tc>
              <w:tc>
                <w:tcPr>
                  <w:tcW w:w="642" w:type="pct"/>
                  <w:vAlign w:val="center"/>
                </w:tcPr>
                <w:p>
                  <w:pPr>
                    <w:jc w:val="center"/>
                    <w:rPr>
                      <w:color w:val="auto"/>
                    </w:rPr>
                  </w:pPr>
                  <w:r>
                    <w:rPr>
                      <w:rFonts w:hint="eastAsia"/>
                      <w:color w:val="auto"/>
                    </w:rPr>
                    <w:t>二氧化硫</w:t>
                  </w:r>
                </w:p>
              </w:tc>
              <w:tc>
                <w:tcPr>
                  <w:tcW w:w="513" w:type="pct"/>
                  <w:vMerge w:val="continue"/>
                  <w:vAlign w:val="center"/>
                </w:tcPr>
                <w:p>
                  <w:pPr>
                    <w:jc w:val="center"/>
                    <w:rPr>
                      <w:color w:val="auto"/>
                    </w:rPr>
                  </w:pPr>
                </w:p>
              </w:tc>
              <w:tc>
                <w:tcPr>
                  <w:tcW w:w="468" w:type="pct"/>
                  <w:vMerge w:val="continue"/>
                  <w:vAlign w:val="center"/>
                </w:tcPr>
                <w:p>
                  <w:pPr>
                    <w:jc w:val="center"/>
                    <w:rPr>
                      <w:color w:val="auto"/>
                    </w:rPr>
                  </w:pPr>
                </w:p>
              </w:tc>
              <w:tc>
                <w:tcPr>
                  <w:tcW w:w="729" w:type="pct"/>
                  <w:vAlign w:val="center"/>
                </w:tcPr>
                <w:p>
                  <w:pPr>
                    <w:jc w:val="center"/>
                    <w:rPr>
                      <w:color w:val="auto"/>
                    </w:rPr>
                  </w:pPr>
                  <w:r>
                    <w:rPr>
                      <w:rFonts w:hint="eastAsia"/>
                      <w:color w:val="auto"/>
                    </w:rPr>
                    <w:t>/</w:t>
                  </w:r>
                </w:p>
              </w:tc>
              <w:tc>
                <w:tcPr>
                  <w:tcW w:w="655" w:type="pct"/>
                  <w:vAlign w:val="center"/>
                </w:tcPr>
                <w:p>
                  <w:pPr>
                    <w:jc w:val="center"/>
                    <w:rPr>
                      <w:color w:val="auto"/>
                    </w:rPr>
                  </w:pPr>
                  <w:r>
                    <w:rPr>
                      <w:rFonts w:hint="eastAsia"/>
                      <w:color w:val="auto"/>
                    </w:rPr>
                    <w:t>35</w:t>
                  </w:r>
                </w:p>
              </w:tc>
              <w:tc>
                <w:tcPr>
                  <w:tcW w:w="779" w:type="pct"/>
                  <w:vAlign w:val="center"/>
                </w:tcPr>
                <w:p>
                  <w:pPr>
                    <w:jc w:val="center"/>
                    <w:rPr>
                      <w:color w:val="auto"/>
                    </w:rPr>
                  </w:pPr>
                  <w:r>
                    <w:rPr>
                      <w:rFonts w:hint="eastAsia"/>
                      <w:color w:val="auto"/>
                    </w:rPr>
                    <w:t>/</w:t>
                  </w: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81" w:type="pct"/>
                  <w:vAlign w:val="center"/>
                </w:tcPr>
                <w:p>
                  <w:pPr>
                    <w:jc w:val="center"/>
                    <w:rPr>
                      <w:rFonts w:hint="eastAsia" w:eastAsia="宋体"/>
                      <w:color w:val="auto"/>
                      <w:lang w:eastAsia="zh-CN"/>
                    </w:rPr>
                  </w:pPr>
                  <w:r>
                    <w:rPr>
                      <w:rFonts w:hint="eastAsia"/>
                      <w:color w:val="auto"/>
                      <w:lang w:val="en-US" w:eastAsia="zh-CN"/>
                    </w:rPr>
                    <w:t>7</w:t>
                  </w:r>
                </w:p>
              </w:tc>
              <w:tc>
                <w:tcPr>
                  <w:tcW w:w="642" w:type="pct"/>
                  <w:vAlign w:val="center"/>
                </w:tcPr>
                <w:p>
                  <w:pPr>
                    <w:jc w:val="center"/>
                    <w:rPr>
                      <w:color w:val="auto"/>
                    </w:rPr>
                  </w:pPr>
                  <w:r>
                    <w:rPr>
                      <w:rFonts w:hint="eastAsia"/>
                      <w:color w:val="auto"/>
                    </w:rPr>
                    <w:t>氮氧化物</w:t>
                  </w:r>
                </w:p>
              </w:tc>
              <w:tc>
                <w:tcPr>
                  <w:tcW w:w="513" w:type="pct"/>
                  <w:vMerge w:val="continue"/>
                  <w:vAlign w:val="center"/>
                </w:tcPr>
                <w:p>
                  <w:pPr>
                    <w:jc w:val="center"/>
                    <w:rPr>
                      <w:color w:val="auto"/>
                    </w:rPr>
                  </w:pPr>
                </w:p>
              </w:tc>
              <w:tc>
                <w:tcPr>
                  <w:tcW w:w="468" w:type="pct"/>
                  <w:vMerge w:val="continue"/>
                  <w:vAlign w:val="center"/>
                </w:tcPr>
                <w:p>
                  <w:pPr>
                    <w:jc w:val="center"/>
                    <w:rPr>
                      <w:color w:val="auto"/>
                    </w:rPr>
                  </w:pPr>
                </w:p>
              </w:tc>
              <w:tc>
                <w:tcPr>
                  <w:tcW w:w="729" w:type="pct"/>
                  <w:vAlign w:val="center"/>
                </w:tcPr>
                <w:p>
                  <w:pPr>
                    <w:jc w:val="center"/>
                    <w:rPr>
                      <w:color w:val="auto"/>
                    </w:rPr>
                  </w:pPr>
                  <w:r>
                    <w:rPr>
                      <w:rFonts w:hint="eastAsia"/>
                      <w:color w:val="auto"/>
                    </w:rPr>
                    <w:t>/</w:t>
                  </w:r>
                </w:p>
              </w:tc>
              <w:tc>
                <w:tcPr>
                  <w:tcW w:w="655" w:type="pct"/>
                  <w:vAlign w:val="center"/>
                </w:tcPr>
                <w:p>
                  <w:pPr>
                    <w:jc w:val="center"/>
                    <w:rPr>
                      <w:color w:val="auto"/>
                    </w:rPr>
                  </w:pPr>
                  <w:r>
                    <w:rPr>
                      <w:rFonts w:hint="eastAsia"/>
                      <w:color w:val="auto"/>
                    </w:rPr>
                    <w:t>50</w:t>
                  </w:r>
                </w:p>
              </w:tc>
              <w:tc>
                <w:tcPr>
                  <w:tcW w:w="779" w:type="pct"/>
                  <w:vAlign w:val="center"/>
                </w:tcPr>
                <w:p>
                  <w:pPr>
                    <w:jc w:val="center"/>
                    <w:rPr>
                      <w:color w:val="auto"/>
                    </w:rPr>
                  </w:pPr>
                  <w:r>
                    <w:rPr>
                      <w:rFonts w:hint="eastAsia"/>
                      <w:color w:val="auto"/>
                    </w:rPr>
                    <w:t>/</w:t>
                  </w:r>
                </w:p>
              </w:tc>
              <w:tc>
                <w:tcPr>
                  <w:tcW w:w="929" w:type="pct"/>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81" w:type="pct"/>
                  <w:vAlign w:val="center"/>
                </w:tcPr>
                <w:p>
                  <w:pPr>
                    <w:jc w:val="center"/>
                    <w:rPr>
                      <w:rFonts w:hint="eastAsia" w:eastAsia="宋体"/>
                      <w:color w:val="auto"/>
                      <w:lang w:val="en-US" w:eastAsia="zh-CN"/>
                    </w:rPr>
                  </w:pPr>
                  <w:r>
                    <w:rPr>
                      <w:rFonts w:hint="eastAsia"/>
                      <w:color w:val="auto"/>
                      <w:lang w:val="en-US" w:eastAsia="zh-CN"/>
                    </w:rPr>
                    <w:t>8</w:t>
                  </w:r>
                </w:p>
              </w:tc>
              <w:tc>
                <w:tcPr>
                  <w:tcW w:w="642" w:type="pct"/>
                  <w:vAlign w:val="center"/>
                </w:tcPr>
                <w:p>
                  <w:pPr>
                    <w:jc w:val="center"/>
                    <w:rPr>
                      <w:rFonts w:hint="default" w:eastAsia="宋体"/>
                      <w:color w:val="auto"/>
                      <w:lang w:val="en-US" w:eastAsia="zh-CN"/>
                    </w:rPr>
                  </w:pPr>
                  <w:r>
                    <w:rPr>
                      <w:rFonts w:hint="eastAsia"/>
                      <w:color w:val="auto"/>
                      <w:lang w:val="en-US" w:eastAsia="zh-CN"/>
                    </w:rPr>
                    <w:t>烟气黑度（林格曼，级）</w:t>
                  </w:r>
                </w:p>
              </w:tc>
              <w:tc>
                <w:tcPr>
                  <w:tcW w:w="513" w:type="pct"/>
                  <w:vMerge w:val="continue"/>
                  <w:vAlign w:val="center"/>
                </w:tcPr>
                <w:p>
                  <w:pPr>
                    <w:jc w:val="center"/>
                    <w:rPr>
                      <w:color w:val="auto"/>
                    </w:rPr>
                  </w:pPr>
                </w:p>
              </w:tc>
              <w:tc>
                <w:tcPr>
                  <w:tcW w:w="468" w:type="pct"/>
                  <w:vMerge w:val="continue"/>
                  <w:vAlign w:val="center"/>
                </w:tcPr>
                <w:p>
                  <w:pPr>
                    <w:jc w:val="center"/>
                    <w:rPr>
                      <w:color w:val="auto"/>
                    </w:rPr>
                  </w:pPr>
                </w:p>
              </w:tc>
              <w:tc>
                <w:tcPr>
                  <w:tcW w:w="729" w:type="pct"/>
                  <w:vAlign w:val="center"/>
                </w:tcPr>
                <w:p>
                  <w:pPr>
                    <w:jc w:val="center"/>
                    <w:rPr>
                      <w:rFonts w:hint="eastAsia" w:eastAsia="宋体"/>
                      <w:color w:val="auto"/>
                      <w:lang w:val="en-US" w:eastAsia="zh-CN"/>
                    </w:rPr>
                  </w:pPr>
                  <w:r>
                    <w:rPr>
                      <w:rFonts w:hint="eastAsia"/>
                      <w:color w:val="auto"/>
                      <w:lang w:val="en-US" w:eastAsia="zh-CN"/>
                    </w:rPr>
                    <w:t>/</w:t>
                  </w:r>
                </w:p>
              </w:tc>
              <w:tc>
                <w:tcPr>
                  <w:tcW w:w="655" w:type="pct"/>
                  <w:vAlign w:val="center"/>
                </w:tcPr>
                <w:p>
                  <w:pPr>
                    <w:jc w:val="center"/>
                    <w:rPr>
                      <w:rFonts w:hint="default" w:eastAsia="宋体"/>
                      <w:color w:val="auto"/>
                      <w:lang w:val="en-US" w:eastAsia="zh-CN"/>
                    </w:rPr>
                  </w:pPr>
                  <w:r>
                    <w:rPr>
                      <w:rFonts w:hint="eastAsia"/>
                      <w:color w:val="auto"/>
                      <w:lang w:val="en-US" w:eastAsia="zh-CN"/>
                    </w:rPr>
                    <w:t>≤1级</w:t>
                  </w:r>
                </w:p>
              </w:tc>
              <w:tc>
                <w:tcPr>
                  <w:tcW w:w="779" w:type="pct"/>
                  <w:vAlign w:val="center"/>
                </w:tcPr>
                <w:p>
                  <w:pPr>
                    <w:jc w:val="center"/>
                    <w:rPr>
                      <w:rFonts w:hint="eastAsia" w:eastAsia="宋体"/>
                      <w:color w:val="auto"/>
                      <w:lang w:val="en-US" w:eastAsia="zh-CN"/>
                    </w:rPr>
                  </w:pPr>
                  <w:r>
                    <w:rPr>
                      <w:rFonts w:hint="eastAsia"/>
                      <w:color w:val="auto"/>
                      <w:lang w:val="en-US" w:eastAsia="zh-CN"/>
                    </w:rPr>
                    <w:t>/</w:t>
                  </w:r>
                </w:p>
              </w:tc>
              <w:tc>
                <w:tcPr>
                  <w:tcW w:w="929" w:type="pct"/>
                  <w:vMerge w:val="continue"/>
                  <w:vAlign w:val="center"/>
                </w:tcPr>
                <w:p>
                  <w:pPr>
                    <w:jc w:val="center"/>
                    <w:rPr>
                      <w:color w:val="auto"/>
                    </w:rPr>
                  </w:pPr>
                </w:p>
              </w:tc>
            </w:tr>
          </w:tbl>
          <w:p>
            <w:pPr>
              <w:spacing w:line="480" w:lineRule="exact"/>
              <w:ind w:firstLine="482" w:firstLineChars="200"/>
              <w:rPr>
                <w:b/>
                <w:bCs/>
                <w:color w:val="auto"/>
                <w:sz w:val="24"/>
              </w:rPr>
            </w:pPr>
            <w:r>
              <w:rPr>
                <w:rFonts w:hint="eastAsia"/>
                <w:b/>
                <w:bCs/>
                <w:color w:val="auto"/>
                <w:sz w:val="24"/>
              </w:rPr>
              <w:t>2、废水</w:t>
            </w:r>
          </w:p>
          <w:p>
            <w:pPr>
              <w:spacing w:line="480" w:lineRule="exact"/>
              <w:ind w:firstLine="480" w:firstLineChars="200"/>
              <w:rPr>
                <w:color w:val="auto"/>
                <w:sz w:val="24"/>
              </w:rPr>
            </w:pPr>
            <w:r>
              <w:rPr>
                <w:rFonts w:hint="eastAsia"/>
                <w:color w:val="auto"/>
                <w:sz w:val="24"/>
              </w:rPr>
              <w:t>项目职工人员生活污水经污水管网进入大同市御东污水处理厂处理，执行《污水排入城镇下水道水质标准》（GB/T 31962-2015）A 等级标准。</w:t>
            </w:r>
          </w:p>
          <w:p>
            <w:pPr>
              <w:spacing w:line="480" w:lineRule="exact"/>
              <w:jc w:val="center"/>
              <w:rPr>
                <w:b/>
                <w:bCs/>
                <w:color w:val="auto"/>
                <w:sz w:val="24"/>
              </w:rPr>
            </w:pPr>
            <w:r>
              <w:rPr>
                <w:b/>
                <w:bCs/>
                <w:color w:val="auto"/>
                <w:sz w:val="24"/>
              </w:rPr>
              <w:t>表</w:t>
            </w:r>
            <w:r>
              <w:rPr>
                <w:rFonts w:hint="eastAsia"/>
                <w:b/>
                <w:bCs/>
                <w:color w:val="auto"/>
                <w:sz w:val="24"/>
                <w:lang w:val="en-US" w:eastAsia="zh-CN"/>
              </w:rPr>
              <w:t>23</w:t>
            </w:r>
            <w:r>
              <w:rPr>
                <w:rFonts w:hint="eastAsia"/>
                <w:b/>
                <w:bCs/>
                <w:color w:val="auto"/>
                <w:sz w:val="24"/>
              </w:rPr>
              <w:t xml:space="preserve"> 生活污</w:t>
            </w:r>
            <w:r>
              <w:rPr>
                <w:b/>
                <w:bCs/>
                <w:color w:val="auto"/>
                <w:sz w:val="24"/>
              </w:rPr>
              <w:t>水污染物排放标准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2689"/>
              <w:gridCol w:w="195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序号</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控制项目名称</w:t>
                  </w:r>
                </w:p>
              </w:tc>
              <w:tc>
                <w:tcPr>
                  <w:tcW w:w="1950" w:type="dxa"/>
                  <w:vAlign w:val="center"/>
                </w:tcPr>
                <w:p>
                  <w:pPr>
                    <w:pStyle w:val="2"/>
                    <w:spacing w:after="0"/>
                    <w:ind w:left="0" w:leftChars="0" w:firstLine="0" w:firstLineChars="0"/>
                    <w:jc w:val="center"/>
                    <w:rPr>
                      <w:color w:val="auto"/>
                      <w:szCs w:val="21"/>
                    </w:rPr>
                  </w:pPr>
                  <w:r>
                    <w:rPr>
                      <w:rFonts w:hint="eastAsia"/>
                      <w:color w:val="auto"/>
                      <w:szCs w:val="21"/>
                    </w:rPr>
                    <w:t>单位</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1</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悬浮物</w:t>
                  </w:r>
                </w:p>
              </w:tc>
              <w:tc>
                <w:tcPr>
                  <w:tcW w:w="1950" w:type="dxa"/>
                  <w:vAlign w:val="center"/>
                </w:tcPr>
                <w:p>
                  <w:pPr>
                    <w:pStyle w:val="2"/>
                    <w:spacing w:after="0"/>
                    <w:ind w:left="0" w:leftChars="0" w:firstLine="0" w:firstLineChars="0"/>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2</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石油类</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3</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pH</w:t>
                  </w:r>
                </w:p>
              </w:tc>
              <w:tc>
                <w:tcPr>
                  <w:tcW w:w="1950" w:type="dxa"/>
                  <w:vAlign w:val="center"/>
                </w:tcPr>
                <w:p>
                  <w:pPr>
                    <w:jc w:val="center"/>
                    <w:rPr>
                      <w:color w:val="auto"/>
                      <w:szCs w:val="21"/>
                    </w:rPr>
                  </w:pPr>
                  <w:r>
                    <w:rPr>
                      <w:rFonts w:hint="eastAsia"/>
                      <w:color w:val="auto"/>
                      <w:szCs w:val="21"/>
                    </w:rPr>
                    <w:t>—</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4</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五日生化需氧量</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5</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化学需氧量</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6</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氨氮（以N计）</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7</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总氮（以N计）</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8</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总磷（以P计）</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9</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阴离子表面活性剂</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center"/>
                </w:tcPr>
                <w:p>
                  <w:pPr>
                    <w:pStyle w:val="2"/>
                    <w:spacing w:after="0"/>
                    <w:ind w:left="0" w:leftChars="0" w:firstLine="0" w:firstLineChars="0"/>
                    <w:jc w:val="center"/>
                    <w:rPr>
                      <w:color w:val="auto"/>
                      <w:szCs w:val="21"/>
                    </w:rPr>
                  </w:pPr>
                  <w:r>
                    <w:rPr>
                      <w:rFonts w:hint="eastAsia"/>
                      <w:color w:val="auto"/>
                      <w:szCs w:val="21"/>
                    </w:rPr>
                    <w:t>10</w:t>
                  </w:r>
                </w:p>
              </w:tc>
              <w:tc>
                <w:tcPr>
                  <w:tcW w:w="2689" w:type="dxa"/>
                  <w:vAlign w:val="center"/>
                </w:tcPr>
                <w:p>
                  <w:pPr>
                    <w:pStyle w:val="2"/>
                    <w:spacing w:after="0"/>
                    <w:ind w:left="0" w:leftChars="0" w:firstLine="0" w:firstLineChars="0"/>
                    <w:jc w:val="center"/>
                    <w:rPr>
                      <w:color w:val="auto"/>
                      <w:szCs w:val="21"/>
                    </w:rPr>
                  </w:pPr>
                  <w:r>
                    <w:rPr>
                      <w:rFonts w:hint="eastAsia"/>
                      <w:color w:val="auto"/>
                      <w:szCs w:val="21"/>
                    </w:rPr>
                    <w:t>动植物油</w:t>
                  </w:r>
                </w:p>
              </w:tc>
              <w:tc>
                <w:tcPr>
                  <w:tcW w:w="1950" w:type="dxa"/>
                  <w:vAlign w:val="center"/>
                </w:tcPr>
                <w:p>
                  <w:pPr>
                    <w:jc w:val="center"/>
                    <w:rPr>
                      <w:color w:val="auto"/>
                      <w:szCs w:val="21"/>
                    </w:rPr>
                  </w:pPr>
                  <w:r>
                    <w:rPr>
                      <w:rFonts w:hint="eastAsia"/>
                      <w:color w:val="auto"/>
                      <w:szCs w:val="21"/>
                    </w:rPr>
                    <w:t>mg/L</w:t>
                  </w:r>
                </w:p>
              </w:tc>
              <w:tc>
                <w:tcPr>
                  <w:tcW w:w="1949" w:type="dxa"/>
                  <w:vAlign w:val="center"/>
                </w:tcPr>
                <w:p>
                  <w:pPr>
                    <w:pStyle w:val="2"/>
                    <w:spacing w:after="0"/>
                    <w:ind w:left="0" w:leftChars="0" w:firstLine="0" w:firstLineChars="0"/>
                    <w:jc w:val="center"/>
                    <w:rPr>
                      <w:color w:val="auto"/>
                      <w:szCs w:val="21"/>
                    </w:rPr>
                  </w:pPr>
                  <w:r>
                    <w:rPr>
                      <w:rFonts w:hint="eastAsia"/>
                      <w:color w:val="auto"/>
                      <w:szCs w:val="21"/>
                    </w:rPr>
                    <w:t>100</w:t>
                  </w:r>
                </w:p>
              </w:tc>
            </w:tr>
          </w:tbl>
          <w:p>
            <w:pPr>
              <w:spacing w:before="240" w:beforeLines="100" w:line="360" w:lineRule="auto"/>
              <w:ind w:firstLine="472" w:firstLineChars="196"/>
              <w:rPr>
                <w:b/>
                <w:bCs/>
                <w:color w:val="auto"/>
                <w:sz w:val="24"/>
              </w:rPr>
            </w:pPr>
            <w:r>
              <w:rPr>
                <w:rFonts w:hint="eastAsia"/>
                <w:b/>
                <w:bCs/>
                <w:color w:val="auto"/>
                <w:sz w:val="24"/>
              </w:rPr>
              <w:t>3</w:t>
            </w:r>
            <w:r>
              <w:rPr>
                <w:b/>
                <w:bCs/>
                <w:color w:val="auto"/>
                <w:sz w:val="24"/>
              </w:rPr>
              <w:t>、噪声</w:t>
            </w:r>
          </w:p>
          <w:p>
            <w:pPr>
              <w:spacing w:line="360" w:lineRule="auto"/>
              <w:ind w:firstLine="480" w:firstLineChars="200"/>
              <w:rPr>
                <w:color w:val="auto"/>
                <w:sz w:val="24"/>
              </w:rPr>
            </w:pPr>
            <w:r>
              <w:rPr>
                <w:rFonts w:hint="eastAsia"/>
                <w:color w:val="auto"/>
                <w:sz w:val="24"/>
              </w:rPr>
              <w:t>厂界</w:t>
            </w:r>
            <w:r>
              <w:rPr>
                <w:color w:val="auto"/>
                <w:sz w:val="24"/>
              </w:rPr>
              <w:t>执行《工业企业厂界环境噪声排放标准》（GB1</w:t>
            </w:r>
            <w:r>
              <w:rPr>
                <w:rFonts w:hint="eastAsia"/>
                <w:color w:val="auto"/>
                <w:sz w:val="24"/>
              </w:rPr>
              <w:t>23</w:t>
            </w:r>
            <w:r>
              <w:rPr>
                <w:color w:val="auto"/>
                <w:sz w:val="24"/>
              </w:rPr>
              <w:t>48-2008）的</w:t>
            </w:r>
            <w:r>
              <w:rPr>
                <w:rFonts w:hint="eastAsia"/>
                <w:color w:val="auto"/>
                <w:sz w:val="24"/>
                <w:lang w:val="en-US" w:eastAsia="zh-CN"/>
              </w:rPr>
              <w:t>3</w:t>
            </w:r>
            <w:r>
              <w:rPr>
                <w:color w:val="auto"/>
                <w:sz w:val="24"/>
              </w:rPr>
              <w:t>类</w:t>
            </w:r>
            <w:r>
              <w:rPr>
                <w:rFonts w:hint="eastAsia"/>
                <w:color w:val="auto"/>
                <w:sz w:val="24"/>
              </w:rPr>
              <w:t>标准，</w:t>
            </w:r>
            <w:r>
              <w:rPr>
                <w:color w:val="auto"/>
                <w:sz w:val="24"/>
              </w:rPr>
              <w:t>详见表</w:t>
            </w:r>
            <w:r>
              <w:rPr>
                <w:rFonts w:hint="eastAsia"/>
                <w:color w:val="auto"/>
                <w:sz w:val="24"/>
                <w:lang w:val="en-US" w:eastAsia="zh-CN"/>
              </w:rPr>
              <w:t>24</w:t>
            </w:r>
            <w:r>
              <w:rPr>
                <w:color w:val="auto"/>
                <w:sz w:val="24"/>
              </w:rPr>
              <w:t>。</w:t>
            </w:r>
          </w:p>
          <w:p>
            <w:pPr>
              <w:spacing w:line="480" w:lineRule="exact"/>
              <w:jc w:val="center"/>
              <w:rPr>
                <w:b/>
                <w:bCs/>
                <w:color w:val="auto"/>
                <w:sz w:val="24"/>
              </w:rPr>
            </w:pPr>
            <w:r>
              <w:rPr>
                <w:b/>
                <w:bCs/>
                <w:color w:val="auto"/>
                <w:sz w:val="24"/>
              </w:rPr>
              <w:t>表</w:t>
            </w:r>
            <w:r>
              <w:rPr>
                <w:rFonts w:hint="eastAsia"/>
                <w:b/>
                <w:bCs/>
                <w:color w:val="auto"/>
                <w:sz w:val="24"/>
                <w:lang w:val="en-US" w:eastAsia="zh-CN"/>
              </w:rPr>
              <w:t>24</w:t>
            </w:r>
            <w:r>
              <w:rPr>
                <w:b/>
                <w:bCs/>
                <w:color w:val="auto"/>
                <w:sz w:val="24"/>
              </w:rPr>
              <w:t xml:space="preserve"> 工业企业厂界环境噪声排放标准  单位 dB（A）</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2425"/>
              <w:gridCol w:w="1535"/>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48" w:type="pct"/>
                  <w:gridSpan w:val="2"/>
                  <w:vAlign w:val="center"/>
                </w:tcPr>
                <w:p>
                  <w:pPr>
                    <w:spacing w:line="240" w:lineRule="exact"/>
                    <w:jc w:val="center"/>
                    <w:rPr>
                      <w:b/>
                      <w:bCs/>
                      <w:color w:val="auto"/>
                      <w:szCs w:val="21"/>
                    </w:rPr>
                  </w:pPr>
                  <w:r>
                    <w:rPr>
                      <w:b/>
                      <w:bCs/>
                      <w:color w:val="auto"/>
                      <w:szCs w:val="21"/>
                    </w:rPr>
                    <w:t>标准</w:t>
                  </w:r>
                </w:p>
              </w:tc>
              <w:tc>
                <w:tcPr>
                  <w:tcW w:w="974" w:type="pct"/>
                  <w:vAlign w:val="center"/>
                </w:tcPr>
                <w:p>
                  <w:pPr>
                    <w:spacing w:line="240" w:lineRule="exact"/>
                    <w:jc w:val="center"/>
                    <w:rPr>
                      <w:b/>
                      <w:bCs/>
                      <w:color w:val="auto"/>
                      <w:szCs w:val="21"/>
                    </w:rPr>
                  </w:pPr>
                  <w:r>
                    <w:rPr>
                      <w:b/>
                      <w:bCs/>
                      <w:color w:val="auto"/>
                      <w:szCs w:val="21"/>
                    </w:rPr>
                    <w:t>昼间</w:t>
                  </w:r>
                </w:p>
              </w:tc>
              <w:tc>
                <w:tcPr>
                  <w:tcW w:w="976" w:type="pct"/>
                  <w:vAlign w:val="center"/>
                </w:tcPr>
                <w:p>
                  <w:pPr>
                    <w:spacing w:line="240" w:lineRule="exact"/>
                    <w:jc w:val="center"/>
                    <w:rPr>
                      <w:b/>
                      <w:bCs/>
                      <w:color w:val="auto"/>
                      <w:szCs w:val="21"/>
                    </w:rPr>
                  </w:pPr>
                  <w:r>
                    <w:rPr>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09" w:type="pct"/>
                  <w:vAlign w:val="center"/>
                </w:tcPr>
                <w:p>
                  <w:pPr>
                    <w:spacing w:line="240" w:lineRule="exact"/>
                    <w:jc w:val="center"/>
                    <w:rPr>
                      <w:color w:val="auto"/>
                      <w:szCs w:val="21"/>
                    </w:rPr>
                  </w:pPr>
                  <w:r>
                    <w:rPr>
                      <w:color w:val="auto"/>
                      <w:szCs w:val="21"/>
                    </w:rPr>
                    <w:t>《工业企业厂界环境噪声排放标准》（GB1</w:t>
                  </w:r>
                  <w:r>
                    <w:rPr>
                      <w:rFonts w:hint="eastAsia"/>
                      <w:color w:val="auto"/>
                      <w:szCs w:val="21"/>
                    </w:rPr>
                    <w:t>23</w:t>
                  </w:r>
                  <w:r>
                    <w:rPr>
                      <w:color w:val="auto"/>
                      <w:szCs w:val="21"/>
                    </w:rPr>
                    <w:t>48-2008）</w:t>
                  </w:r>
                </w:p>
              </w:tc>
              <w:tc>
                <w:tcPr>
                  <w:tcW w:w="1539" w:type="pct"/>
                  <w:vAlign w:val="center"/>
                </w:tcPr>
                <w:p>
                  <w:pPr>
                    <w:spacing w:line="240" w:lineRule="exact"/>
                    <w:jc w:val="center"/>
                    <w:rPr>
                      <w:color w:val="auto"/>
                      <w:szCs w:val="21"/>
                    </w:rPr>
                  </w:pPr>
                  <w:r>
                    <w:rPr>
                      <w:rFonts w:hint="eastAsia"/>
                      <w:color w:val="auto"/>
                      <w:szCs w:val="21"/>
                      <w:lang w:val="en-US" w:eastAsia="zh-CN"/>
                    </w:rPr>
                    <w:t>3</w:t>
                  </w:r>
                  <w:r>
                    <w:rPr>
                      <w:color w:val="auto"/>
                      <w:szCs w:val="21"/>
                    </w:rPr>
                    <w:t>类</w:t>
                  </w:r>
                </w:p>
              </w:tc>
              <w:tc>
                <w:tcPr>
                  <w:tcW w:w="974" w:type="pct"/>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65</w:t>
                  </w:r>
                </w:p>
              </w:tc>
              <w:tc>
                <w:tcPr>
                  <w:tcW w:w="976" w:type="pct"/>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55</w:t>
                  </w:r>
                </w:p>
              </w:tc>
            </w:tr>
          </w:tbl>
          <w:p>
            <w:pPr>
              <w:spacing w:before="240" w:beforeLines="100" w:line="360" w:lineRule="auto"/>
              <w:ind w:firstLine="472" w:firstLineChars="196"/>
              <w:rPr>
                <w:b/>
                <w:bCs/>
                <w:color w:val="auto"/>
                <w:sz w:val="24"/>
              </w:rPr>
            </w:pPr>
            <w:r>
              <w:rPr>
                <w:rFonts w:hint="eastAsia"/>
                <w:b/>
                <w:bCs/>
                <w:color w:val="auto"/>
                <w:sz w:val="24"/>
              </w:rPr>
              <w:t>4</w:t>
            </w:r>
            <w:r>
              <w:rPr>
                <w:b/>
                <w:bCs/>
                <w:color w:val="auto"/>
                <w:sz w:val="24"/>
              </w:rPr>
              <w:t>、固体废物</w:t>
            </w:r>
          </w:p>
          <w:p>
            <w:pPr>
              <w:adjustRightInd w:val="0"/>
              <w:snapToGrid w:val="0"/>
              <w:spacing w:line="360" w:lineRule="auto"/>
              <w:ind w:firstLine="480" w:firstLineChars="200"/>
              <w:rPr>
                <w:rFonts w:cs="宋体"/>
                <w:color w:val="auto"/>
                <w:kern w:val="0"/>
                <w:szCs w:val="21"/>
              </w:rPr>
            </w:pPr>
            <w:r>
              <w:rPr>
                <w:color w:val="auto"/>
                <w:sz w:val="24"/>
              </w:rPr>
              <w:t>一般固废执行《</w:t>
            </w:r>
            <w:r>
              <w:rPr>
                <w:rFonts w:hint="eastAsia"/>
                <w:color w:val="auto"/>
                <w:sz w:val="24"/>
              </w:rPr>
              <w:t>一般工业固体废物贮存和填埋污染控制标准</w:t>
            </w:r>
            <w:r>
              <w:rPr>
                <w:color w:val="auto"/>
                <w:sz w:val="24"/>
              </w:rPr>
              <w:t>》</w:t>
            </w:r>
            <w:r>
              <w:rPr>
                <w:rFonts w:hint="eastAsia"/>
                <w:color w:val="auto"/>
                <w:sz w:val="24"/>
              </w:rPr>
              <w:t>（</w:t>
            </w:r>
            <w:r>
              <w:rPr>
                <w:color w:val="auto"/>
                <w:sz w:val="24"/>
              </w:rPr>
              <w:t>GB18599-2020</w:t>
            </w:r>
            <w:r>
              <w:rPr>
                <w:rFonts w:hint="eastAsia"/>
                <w:color w:val="auto"/>
                <w:sz w:val="24"/>
              </w:rPr>
              <w:t>）。</w:t>
            </w:r>
            <w:r>
              <w:rPr>
                <w:color w:val="auto"/>
                <w:sz w:val="24"/>
              </w:rPr>
              <w:t>危险废物执行《危险废物贮存污染控制标准》（GB18597—2001）及2013年修改单的相关标准。生活垃圾收集后运送到环卫部门指定地点进行处理。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244" w:type="pct"/>
            <w:vAlign w:val="center"/>
          </w:tcPr>
          <w:p>
            <w:pPr>
              <w:adjustRightInd w:val="0"/>
              <w:snapToGrid w:val="0"/>
              <w:jc w:val="center"/>
              <w:rPr>
                <w:rFonts w:cs="宋体"/>
                <w:color w:val="auto"/>
                <w:kern w:val="0"/>
                <w:sz w:val="28"/>
                <w:szCs w:val="28"/>
              </w:rPr>
            </w:pPr>
            <w:r>
              <w:rPr>
                <w:rFonts w:hint="eastAsia" w:cs="宋体"/>
                <w:color w:val="auto"/>
                <w:kern w:val="0"/>
                <w:sz w:val="28"/>
                <w:szCs w:val="28"/>
              </w:rPr>
              <w:t>总量</w:t>
            </w:r>
          </w:p>
          <w:p>
            <w:pPr>
              <w:adjustRightInd w:val="0"/>
              <w:snapToGrid w:val="0"/>
              <w:jc w:val="center"/>
              <w:rPr>
                <w:rFonts w:cs="宋体"/>
                <w:color w:val="auto"/>
                <w:kern w:val="0"/>
                <w:sz w:val="28"/>
                <w:szCs w:val="28"/>
              </w:rPr>
            </w:pPr>
            <w:r>
              <w:rPr>
                <w:rFonts w:hint="eastAsia" w:cs="宋体"/>
                <w:color w:val="auto"/>
                <w:kern w:val="0"/>
                <w:sz w:val="28"/>
                <w:szCs w:val="28"/>
              </w:rPr>
              <w:t>控制</w:t>
            </w:r>
          </w:p>
          <w:p>
            <w:pPr>
              <w:adjustRightInd w:val="0"/>
              <w:snapToGrid w:val="0"/>
              <w:jc w:val="center"/>
              <w:rPr>
                <w:rFonts w:cs="宋体"/>
                <w:color w:val="auto"/>
                <w:kern w:val="0"/>
                <w:szCs w:val="21"/>
              </w:rPr>
            </w:pPr>
            <w:r>
              <w:rPr>
                <w:rFonts w:hint="eastAsia" w:cs="宋体"/>
                <w:color w:val="auto"/>
                <w:kern w:val="0"/>
                <w:sz w:val="28"/>
                <w:szCs w:val="28"/>
              </w:rPr>
              <w:t>指标</w:t>
            </w:r>
          </w:p>
        </w:tc>
        <w:tc>
          <w:tcPr>
            <w:tcW w:w="4755"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根据山西省环境保护厅晋环发[2015]25号文件第三条，本项目属于环境统计重点工业源调查行业范围内（《国民经济行业分类》（GB/T4754）中采矿业、制造业，电力、燃气及水的生产和供应业，3个门类39个行业）</w:t>
            </w:r>
            <w:r>
              <w:rPr>
                <w:rFonts w:hint="eastAsia"/>
                <w:color w:val="auto"/>
                <w:sz w:val="24"/>
              </w:rPr>
              <w:t>制造业范畴，需要对</w:t>
            </w:r>
            <w:r>
              <w:rPr>
                <w:color w:val="auto"/>
                <w:sz w:val="24"/>
              </w:rPr>
              <w:t>新增主要污染物</w:t>
            </w:r>
            <w:r>
              <w:rPr>
                <w:rFonts w:hint="eastAsia"/>
                <w:color w:val="auto"/>
                <w:sz w:val="24"/>
              </w:rPr>
              <w:t>申请总量控制指标</w:t>
            </w:r>
            <w:r>
              <w:rPr>
                <w:color w:val="auto"/>
                <w:sz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eastAsia="宋体"/>
                <w:color w:val="auto"/>
                <w:sz w:val="24"/>
                <w:lang w:val="en-US" w:eastAsia="zh-CN"/>
              </w:rPr>
            </w:pPr>
            <w:r>
              <w:rPr>
                <w:rFonts w:hint="eastAsia"/>
                <w:color w:val="auto"/>
                <w:sz w:val="24"/>
                <w:lang w:val="en-US" w:eastAsia="zh-CN"/>
              </w:rPr>
              <w:t xml:space="preserve">    2021年11月18日，大同市生态环境局开发区分局以同开环[2021]9号“关于《优沃特科技（山西）有限公司年产3万吨直径600mm及以上超高功率电极项目》污染物排放总量控制指标的初审意见”，核定项目主要污染物排放总量指标为：二氧化硫，22.774t/a；氮氧化物3.953t/a；</w:t>
            </w:r>
            <w:r>
              <w:rPr>
                <w:rFonts w:hint="eastAsia"/>
                <w:color w:val="auto"/>
                <w:sz w:val="24"/>
              </w:rPr>
              <w:t>粉尘</w:t>
            </w:r>
            <w:r>
              <w:rPr>
                <w:rFonts w:hint="eastAsia"/>
                <w:color w:val="auto"/>
                <w:sz w:val="24"/>
                <w:lang w:val="en-US" w:eastAsia="zh-CN"/>
              </w:rPr>
              <w:t>23.381</w:t>
            </w:r>
            <w:r>
              <w:rPr>
                <w:rFonts w:hint="eastAsia"/>
                <w:color w:val="auto"/>
                <w:sz w:val="24"/>
              </w:rPr>
              <w:t>t/a；烟尘</w:t>
            </w:r>
            <w:r>
              <w:rPr>
                <w:rFonts w:hint="eastAsia"/>
                <w:color w:val="auto"/>
                <w:sz w:val="24"/>
                <w:lang w:val="en-US" w:eastAsia="zh-CN"/>
              </w:rPr>
              <w:t>10.508</w:t>
            </w:r>
            <w:r>
              <w:rPr>
                <w:rFonts w:hint="eastAsia"/>
                <w:color w:val="auto"/>
                <w:sz w:val="24"/>
              </w:rPr>
              <w:t>t/a；</w:t>
            </w:r>
            <w:r>
              <w:rPr>
                <w:rFonts w:hint="eastAsia"/>
                <w:color w:val="auto"/>
                <w:sz w:val="24"/>
                <w:lang w:val="en-US" w:eastAsia="zh-CN"/>
              </w:rPr>
              <w:t>化学需氧量0.208t/a；氨氮0.011t/a。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lang w:val="en-US" w:eastAsia="zh-CN"/>
              </w:rPr>
              <w:t>根据项目工程分析，项目投运后主要污染物排放量为：</w:t>
            </w:r>
            <w:r>
              <w:rPr>
                <w:rFonts w:hint="eastAsia"/>
                <w:color w:val="auto"/>
                <w:sz w:val="24"/>
              </w:rPr>
              <w:t>粉尘</w:t>
            </w:r>
            <w:r>
              <w:rPr>
                <w:rFonts w:hint="eastAsia"/>
                <w:color w:val="auto"/>
                <w:sz w:val="24"/>
                <w:lang w:val="en-US" w:eastAsia="zh-CN"/>
              </w:rPr>
              <w:t>23.381</w:t>
            </w:r>
            <w:r>
              <w:rPr>
                <w:rFonts w:hint="eastAsia"/>
                <w:color w:val="auto"/>
                <w:sz w:val="24"/>
              </w:rPr>
              <w:t>t/a；烟尘</w:t>
            </w:r>
            <w:r>
              <w:rPr>
                <w:rFonts w:hint="eastAsia"/>
                <w:color w:val="auto"/>
                <w:sz w:val="24"/>
                <w:lang w:val="en-US" w:eastAsia="zh-CN"/>
              </w:rPr>
              <w:t>10.508</w:t>
            </w:r>
            <w:r>
              <w:rPr>
                <w:rFonts w:hint="eastAsia"/>
                <w:color w:val="auto"/>
                <w:sz w:val="24"/>
              </w:rPr>
              <w:t>t/a；二氧化硫，22.774t/a；氮氧化物3.953t/a；CODcr，</w:t>
            </w:r>
            <w:r>
              <w:rPr>
                <w:rFonts w:hint="eastAsia"/>
                <w:color w:val="auto"/>
                <w:sz w:val="24"/>
                <w:lang w:val="en-US" w:eastAsia="zh-CN"/>
              </w:rPr>
              <w:t>0.208</w:t>
            </w:r>
            <w:r>
              <w:rPr>
                <w:rFonts w:hint="eastAsia"/>
                <w:color w:val="auto"/>
                <w:sz w:val="24"/>
              </w:rPr>
              <w:t>t/a；氨氮0.0</w:t>
            </w:r>
            <w:r>
              <w:rPr>
                <w:rFonts w:hint="eastAsia"/>
                <w:color w:val="auto"/>
                <w:sz w:val="24"/>
                <w:lang w:val="en-US" w:eastAsia="zh-CN"/>
              </w:rPr>
              <w:t>11</w:t>
            </w:r>
            <w:r>
              <w:rPr>
                <w:rFonts w:hint="eastAsia"/>
                <w:color w:val="auto"/>
                <w:sz w:val="24"/>
              </w:rPr>
              <w:t>t/a。</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4"/>
                <w:lang w:val="en-US" w:eastAsia="zh-CN"/>
              </w:rPr>
            </w:pPr>
            <w:r>
              <w:rPr>
                <w:rFonts w:hint="eastAsia"/>
                <w:color w:val="auto"/>
                <w:sz w:val="24"/>
                <w:lang w:val="en-US" w:eastAsia="zh-CN"/>
              </w:rPr>
              <w:t xml:space="preserve">    对比分析项目污染物排放量及总量控制指标可知，项目主要污染物排放量能够满足同开环[2021]9号对项目主要污染物核定的总量控制指标。项目投运后主要污染物排放量能够满足总量控制指标的要求。</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color w:val="auto"/>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pStyle w:val="7"/>
              <w:ind w:left="0" w:leftChars="0" w:firstLine="0" w:firstLineChars="0"/>
              <w:rPr>
                <w:color w:val="auto"/>
                <w:sz w:val="24"/>
              </w:rPr>
            </w:pPr>
          </w:p>
          <w:p>
            <w:pPr>
              <w:adjustRightInd w:val="0"/>
              <w:snapToGrid w:val="0"/>
              <w:rPr>
                <w:rFonts w:cs="宋体"/>
                <w:color w:val="auto"/>
                <w:kern w:val="0"/>
                <w:szCs w:val="21"/>
              </w:rPr>
            </w:pPr>
          </w:p>
        </w:tc>
      </w:tr>
    </w:tbl>
    <w:p>
      <w:pPr>
        <w:pStyle w:val="18"/>
        <w:jc w:val="center"/>
        <w:outlineLvl w:val="0"/>
        <w:rPr>
          <w:rFonts w:ascii="Times New Roman" w:hAnsi="Times New Roman"/>
          <w:snapToGrid w:val="0"/>
          <w:color w:val="auto"/>
          <w:sz w:val="30"/>
          <w:szCs w:val="30"/>
        </w:rPr>
      </w:pPr>
      <w:r>
        <w:rPr>
          <w:rFonts w:ascii="Times New Roman" w:hAnsi="Times New Roman"/>
          <w:snapToGrid w:val="0"/>
          <w:color w:val="auto"/>
          <w:kern w:val="2"/>
          <w:sz w:val="36"/>
          <w:szCs w:val="36"/>
        </w:rPr>
        <w:br w:type="page"/>
      </w:r>
      <w:r>
        <w:rPr>
          <w:rFonts w:hint="eastAsia" w:ascii="Times New Roman" w:hAnsi="Times New Roman"/>
          <w:b/>
          <w:bCs/>
          <w:snapToGrid w:val="0"/>
          <w:color w:val="auto"/>
          <w:sz w:val="30"/>
          <w:szCs w:val="30"/>
        </w:rPr>
        <w:t>四、主要环境影响和保护措施</w:t>
      </w:r>
    </w:p>
    <w:tbl>
      <w:tblPr>
        <w:tblStyle w:val="21"/>
        <w:tblW w:w="51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9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4" w:hRule="atLeast"/>
          <w:jc w:val="center"/>
        </w:trPr>
        <w:tc>
          <w:tcPr>
            <w:tcW w:w="434" w:type="pct"/>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cs="宋体"/>
                <w:bCs/>
                <w:color w:val="auto"/>
                <w:kern w:val="2"/>
                <w:sz w:val="21"/>
                <w:szCs w:val="21"/>
              </w:rPr>
            </w:pPr>
            <w:r>
              <w:rPr>
                <w:rFonts w:hint="eastAsia" w:ascii="Times New Roman" w:hAnsi="Times New Roman" w:cs="宋体"/>
                <w:color w:val="auto"/>
                <w:kern w:val="2"/>
              </w:rPr>
              <w:t>施工期环境保护措施</w:t>
            </w:r>
          </w:p>
        </w:tc>
        <w:tc>
          <w:tcPr>
            <w:tcW w:w="4565" w:type="pct"/>
          </w:tcPr>
          <w:p>
            <w:pPr>
              <w:pStyle w:val="52"/>
              <w:ind w:firstLine="480"/>
              <w:rPr>
                <w:color w:val="auto"/>
              </w:rPr>
            </w:pPr>
            <w:r>
              <w:rPr>
                <w:color w:val="auto"/>
              </w:rPr>
              <w:t>本施工期的环境污染主要来自施工扬尘，机械设备的噪声、建筑垃圾、地表开挖造成的水土流失以及建筑施工人员少量生活污水和生活垃圾。各污染要素的环境影响简要分析如下：</w:t>
            </w:r>
          </w:p>
          <w:p>
            <w:pPr>
              <w:pStyle w:val="52"/>
              <w:ind w:firstLine="0" w:firstLineChars="0"/>
              <w:rPr>
                <w:b/>
                <w:bCs/>
                <w:color w:val="auto"/>
              </w:rPr>
            </w:pPr>
            <w:r>
              <w:rPr>
                <w:b/>
                <w:bCs/>
                <w:color w:val="auto"/>
              </w:rPr>
              <w:t>一、施工期大气环境影响分析及防治措施</w:t>
            </w:r>
          </w:p>
          <w:p>
            <w:pPr>
              <w:pStyle w:val="52"/>
              <w:ind w:firstLine="480"/>
              <w:rPr>
                <w:color w:val="auto"/>
              </w:rPr>
            </w:pPr>
            <w:r>
              <w:rPr>
                <w:color w:val="auto"/>
              </w:rPr>
              <w:t>1、施工期大气环境影响分析</w:t>
            </w:r>
          </w:p>
          <w:p>
            <w:pPr>
              <w:pStyle w:val="52"/>
              <w:ind w:firstLine="480"/>
              <w:rPr>
                <w:color w:val="auto"/>
              </w:rPr>
            </w:pPr>
            <w:r>
              <w:rPr>
                <w:color w:val="auto"/>
              </w:rPr>
              <w:t>施工期间对环境空气影响最大的是施工扬尘，来源于各种无组织排放源。其中场地清理、土方挖掘、建筑材料运输等工序产生量较大，原材料堆存、建筑结构施工、设备安装等产生量相对较小。由于污染源为间歇性源并且扬尘点低，因此只会在近距离内形成局部暂时污染影响。但施工现场的污染物未经扩散稀释就直接进入地表呼吸地带，会给现场施工人员的生活和健康带来一定影响，在大风情况下还会对施工地周围环境空气形成影响。扬尘的大小与现场施工条件、管理水平、机械化作业程度及天气、地表土等诸多因素有关。一般施工现场的大气环境中TSP浓度可达到1.5-30mg/m</w:t>
            </w:r>
            <w:r>
              <w:rPr>
                <w:color w:val="auto"/>
                <w:vertAlign w:val="superscript"/>
              </w:rPr>
              <w:t>3</w:t>
            </w:r>
            <w:r>
              <w:rPr>
                <w:color w:val="auto"/>
              </w:rPr>
              <w:t>。</w:t>
            </w:r>
          </w:p>
          <w:p>
            <w:pPr>
              <w:pStyle w:val="52"/>
              <w:spacing w:before="0" w:after="0" w:line="360" w:lineRule="auto"/>
              <w:ind w:firstLine="480"/>
              <w:rPr>
                <w:color w:val="auto"/>
              </w:rPr>
            </w:pPr>
            <w:r>
              <w:rPr>
                <w:color w:val="auto"/>
              </w:rPr>
              <w:t>2、施工期大气污染防治措施</w:t>
            </w:r>
          </w:p>
          <w:p>
            <w:pPr>
              <w:pStyle w:val="52"/>
              <w:spacing w:before="0" w:after="0" w:line="360" w:lineRule="auto"/>
              <w:ind w:firstLine="480"/>
              <w:rPr>
                <w:color w:val="auto"/>
              </w:rPr>
            </w:pPr>
            <w:r>
              <w:rPr>
                <w:color w:val="auto"/>
              </w:rPr>
              <w:t>项目施工期间土方挖掘、堆放、清运、回填和场地平整等过程中都会产生不同程度的扬尘污染；</w:t>
            </w:r>
          </w:p>
          <w:p>
            <w:pPr>
              <w:pStyle w:val="52"/>
              <w:spacing w:before="0" w:after="0" w:line="360" w:lineRule="auto"/>
              <w:ind w:firstLine="480"/>
              <w:rPr>
                <w:color w:val="auto"/>
              </w:rPr>
            </w:pPr>
            <w:r>
              <w:rPr>
                <w:color w:val="auto"/>
              </w:rPr>
              <w:t>项目在控制施工扬尘方面严格落实施工工地扬尘管控“六个百分之百”，主要采取以下措施：</w:t>
            </w:r>
          </w:p>
          <w:p>
            <w:pPr>
              <w:pStyle w:val="52"/>
              <w:spacing w:before="0" w:after="0" w:line="360" w:lineRule="auto"/>
              <w:ind w:firstLine="480"/>
              <w:rPr>
                <w:color w:val="auto"/>
              </w:rPr>
            </w:pPr>
            <w:r>
              <w:rPr>
                <w:color w:val="auto"/>
              </w:rPr>
              <w:t>1）施工单位应当合理组织工期，在风速达四级及以上的天气情况下，应当停止施工垃圾及施工材料、弃土等的装卸作业；</w:t>
            </w:r>
          </w:p>
          <w:p>
            <w:pPr>
              <w:pStyle w:val="52"/>
              <w:spacing w:before="0" w:after="0" w:line="360" w:lineRule="auto"/>
              <w:ind w:firstLine="480"/>
              <w:rPr>
                <w:color w:val="auto"/>
              </w:rPr>
            </w:pPr>
            <w:r>
              <w:rPr>
                <w:color w:val="auto"/>
              </w:rPr>
              <w:t>2）禁止在施工场地外围堆放施工材料和建筑垃圾；</w:t>
            </w:r>
          </w:p>
          <w:p>
            <w:pPr>
              <w:pStyle w:val="52"/>
              <w:spacing w:before="0" w:after="0" w:line="360" w:lineRule="auto"/>
              <w:ind w:firstLine="480"/>
              <w:rPr>
                <w:color w:val="auto"/>
              </w:rPr>
            </w:pPr>
            <w:r>
              <w:rPr>
                <w:color w:val="auto"/>
              </w:rPr>
              <w:t>3）施工场所要定期喷洒水，保持地面湿润，不起尘；</w:t>
            </w:r>
          </w:p>
          <w:p>
            <w:pPr>
              <w:pStyle w:val="52"/>
              <w:spacing w:before="0" w:after="0" w:line="360" w:lineRule="auto"/>
              <w:ind w:firstLine="480"/>
              <w:rPr>
                <w:color w:val="auto"/>
              </w:rPr>
            </w:pPr>
            <w:r>
              <w:rPr>
                <w:color w:val="auto"/>
              </w:rPr>
              <w:t>4）临时堆放场应有遮盖篷遮蔽，防止物料飘失，污染环境空气；</w:t>
            </w:r>
          </w:p>
          <w:p>
            <w:pPr>
              <w:pStyle w:val="52"/>
              <w:spacing w:before="0" w:after="0" w:line="360" w:lineRule="auto"/>
              <w:ind w:firstLine="480"/>
              <w:rPr>
                <w:color w:val="auto"/>
              </w:rPr>
            </w:pPr>
            <w:r>
              <w:rPr>
                <w:color w:val="auto"/>
              </w:rPr>
              <w:t>5）项目场区不设置施工营地，施工委托专业队伍完成，食宿自理，为此不会产生施工营地的废气污染；</w:t>
            </w:r>
          </w:p>
          <w:p>
            <w:pPr>
              <w:pStyle w:val="52"/>
              <w:spacing w:before="0" w:after="0" w:line="360" w:lineRule="auto"/>
              <w:ind w:firstLine="480"/>
              <w:rPr>
                <w:color w:val="auto"/>
              </w:rPr>
            </w:pPr>
            <w:r>
              <w:rPr>
                <w:color w:val="auto"/>
              </w:rPr>
              <w:t>6）物料运输车辆采取封闭措施，避免道路抛洒造成环境空气污染；</w:t>
            </w:r>
          </w:p>
          <w:p>
            <w:pPr>
              <w:pStyle w:val="52"/>
              <w:spacing w:before="0" w:after="0" w:line="360" w:lineRule="auto"/>
              <w:ind w:firstLine="480"/>
              <w:rPr>
                <w:color w:val="auto"/>
              </w:rPr>
            </w:pPr>
            <w:r>
              <w:rPr>
                <w:color w:val="auto"/>
              </w:rPr>
              <w:t>7）施工结束后应及时恢复场地硬化。</w:t>
            </w:r>
          </w:p>
          <w:p>
            <w:pPr>
              <w:pStyle w:val="52"/>
              <w:spacing w:before="0" w:after="0" w:line="360" w:lineRule="auto"/>
              <w:ind w:firstLine="480"/>
              <w:rPr>
                <w:color w:val="auto"/>
              </w:rPr>
            </w:pPr>
            <w:r>
              <w:rPr>
                <w:color w:val="auto"/>
              </w:rPr>
              <w:t>施工单位在施工过程中禁止使用高排放非道路移动机械，施工物料运输选用符合规定的柴油货运车辆，按照防治大气污染要求和国家有关技术规范对施工使用的机动车进行维修，使其达到规定的排放标准。</w:t>
            </w:r>
          </w:p>
          <w:p>
            <w:pPr>
              <w:pStyle w:val="52"/>
              <w:spacing w:before="0" w:after="0" w:line="360" w:lineRule="auto"/>
              <w:ind w:firstLine="480"/>
              <w:rPr>
                <w:color w:val="auto"/>
              </w:rPr>
            </w:pPr>
            <w:r>
              <w:rPr>
                <w:color w:val="auto"/>
              </w:rPr>
              <w:t>在采取上述措施后，可将施工期间大气污染物（主要是扬尘）排放对周围环境的影响程度降至最低。</w:t>
            </w:r>
          </w:p>
          <w:p>
            <w:pPr>
              <w:pStyle w:val="52"/>
              <w:spacing w:line="360" w:lineRule="auto"/>
              <w:ind w:firstLine="0" w:firstLineChars="0"/>
              <w:rPr>
                <w:b/>
                <w:bCs/>
                <w:color w:val="auto"/>
              </w:rPr>
            </w:pPr>
            <w:r>
              <w:rPr>
                <w:b/>
                <w:bCs/>
                <w:color w:val="auto"/>
              </w:rPr>
              <w:t>二、施工期水环境影响分析及防治措施</w:t>
            </w:r>
          </w:p>
          <w:p>
            <w:pPr>
              <w:pStyle w:val="52"/>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color w:val="auto"/>
              </w:rPr>
            </w:pPr>
            <w:r>
              <w:rPr>
                <w:color w:val="auto"/>
              </w:rPr>
              <w:t>施工期间的用水主要为施工物料搅拌用水、路面及土方喷淋水、施工人员生活用水等，其中设备冲洗过程中的跑、冒、滴、漏溢流水仅含有少量的泥砂，不含其它杂质，可经隔油池、沉淀池处理后回用，不外排。厂区内设有旱厕，施工人员生活污水定期清掏运至附近田地施肥，不外排。项目施工期间无废水外排，不会对外界环境产生影响。</w:t>
            </w:r>
          </w:p>
          <w:p>
            <w:pPr>
              <w:pStyle w:val="52"/>
              <w:keepNext w:val="0"/>
              <w:keepLines w:val="0"/>
              <w:pageBreakBefore w:val="0"/>
              <w:widowControl w:val="0"/>
              <w:kinsoku/>
              <w:wordWrap/>
              <w:overflowPunct/>
              <w:topLinePunct w:val="0"/>
              <w:autoSpaceDE/>
              <w:autoSpaceDN/>
              <w:bidi w:val="0"/>
              <w:adjustRightInd/>
              <w:snapToGrid w:val="0"/>
              <w:spacing w:before="0" w:after="0"/>
              <w:ind w:firstLine="0" w:firstLineChars="0"/>
              <w:textAlignment w:val="auto"/>
              <w:rPr>
                <w:b/>
                <w:bCs/>
                <w:color w:val="auto"/>
              </w:rPr>
            </w:pPr>
            <w:r>
              <w:rPr>
                <w:b/>
                <w:bCs/>
                <w:color w:val="auto"/>
              </w:rPr>
              <w:t>三、施工期固体废弃物影响分析及防治措施</w:t>
            </w:r>
          </w:p>
          <w:p>
            <w:pPr>
              <w:pStyle w:val="52"/>
              <w:ind w:firstLine="480"/>
              <w:rPr>
                <w:color w:val="auto"/>
              </w:rPr>
            </w:pPr>
            <w:r>
              <w:rPr>
                <w:color w:val="auto"/>
              </w:rPr>
              <w:t>1、施工期施工垃圾对环境影响分析</w:t>
            </w:r>
          </w:p>
          <w:p>
            <w:pPr>
              <w:pStyle w:val="52"/>
              <w:ind w:firstLine="480"/>
              <w:rPr>
                <w:color w:val="auto"/>
              </w:rPr>
            </w:pPr>
            <w:r>
              <w:rPr>
                <w:color w:val="auto"/>
              </w:rPr>
              <w:t>本次项目施工过程中固体废弃物主要有：</w:t>
            </w:r>
          </w:p>
          <w:p>
            <w:pPr>
              <w:pStyle w:val="52"/>
              <w:ind w:firstLine="480"/>
              <w:rPr>
                <w:color w:val="auto"/>
              </w:rPr>
            </w:pPr>
            <w:r>
              <w:rPr>
                <w:color w:val="auto"/>
              </w:rPr>
              <w:t>（1）生活垃圾</w:t>
            </w:r>
          </w:p>
          <w:p>
            <w:pPr>
              <w:pStyle w:val="52"/>
              <w:ind w:firstLine="480"/>
              <w:rPr>
                <w:color w:val="auto"/>
              </w:rPr>
            </w:pPr>
            <w:r>
              <w:rPr>
                <w:color w:val="auto"/>
              </w:rPr>
              <w:t>施工过程中产生的生活垃圾如不及时进行清理，会对周围环境和作业人员健康带来不利影响。故对施工人员的生活垃圾应定点存放、及时收集，回收可利用物质，将生活垃圾的减量化、资源化后，定期运至环卫部门指定的地点，不会对环境造成影响。</w:t>
            </w:r>
          </w:p>
          <w:p>
            <w:pPr>
              <w:pStyle w:val="52"/>
              <w:ind w:firstLine="480"/>
              <w:rPr>
                <w:color w:val="auto"/>
              </w:rPr>
            </w:pPr>
            <w:r>
              <w:rPr>
                <w:color w:val="auto"/>
              </w:rPr>
              <w:t>施工方应设专人打扫卫生，设置垃圾箱、垃圾桶，每天收集施工区域的生活垃圾，使生活垃圾得到合理处置。</w:t>
            </w:r>
          </w:p>
          <w:p>
            <w:pPr>
              <w:pStyle w:val="52"/>
              <w:ind w:firstLine="480"/>
              <w:rPr>
                <w:color w:val="auto"/>
              </w:rPr>
            </w:pPr>
            <w:r>
              <w:rPr>
                <w:color w:val="auto"/>
              </w:rPr>
              <w:t>（2）建筑垃圾</w:t>
            </w:r>
          </w:p>
          <w:p>
            <w:pPr>
              <w:pStyle w:val="52"/>
              <w:ind w:firstLine="480"/>
              <w:rPr>
                <w:color w:val="auto"/>
              </w:rPr>
            </w:pPr>
            <w:r>
              <w:rPr>
                <w:color w:val="auto"/>
              </w:rPr>
              <w:t>①施工弃土处置：</w:t>
            </w:r>
          </w:p>
          <w:p>
            <w:pPr>
              <w:pStyle w:val="52"/>
              <w:ind w:firstLine="480"/>
              <w:rPr>
                <w:color w:val="auto"/>
              </w:rPr>
            </w:pPr>
            <w:r>
              <w:rPr>
                <w:color w:val="auto"/>
              </w:rPr>
              <w:t>主要为地下建筑等工程的挖掘。对于本项目在挖掘的土方尽量填筑附近低凹地外，表层土及部分土方集中堆存于施工场地路边，用作项目完成后回填土方及绿化用土。环评规定对施工现场临时堆存的土方要采取防尘措施，覆盖防尘布、防尘网；定期喷洒抑尘剂；定期喷水抑尘。</w:t>
            </w:r>
          </w:p>
          <w:p>
            <w:pPr>
              <w:pStyle w:val="52"/>
              <w:ind w:firstLine="480"/>
              <w:rPr>
                <w:color w:val="auto"/>
              </w:rPr>
            </w:pPr>
            <w:r>
              <w:rPr>
                <w:color w:val="auto"/>
              </w:rPr>
              <w:t>②施工生产废料处理</w:t>
            </w:r>
          </w:p>
          <w:p>
            <w:pPr>
              <w:pStyle w:val="52"/>
              <w:ind w:firstLine="480"/>
              <w:rPr>
                <w:color w:val="auto"/>
              </w:rPr>
            </w:pPr>
            <w:r>
              <w:rPr>
                <w:color w:val="auto"/>
              </w:rPr>
              <w:t>首先应考虑废料的回收利用。对钢筋、钢板、木材等下角料可分类回收利用。</w:t>
            </w:r>
          </w:p>
          <w:p>
            <w:pPr>
              <w:pStyle w:val="52"/>
              <w:ind w:firstLine="480"/>
              <w:rPr>
                <w:color w:val="auto"/>
              </w:rPr>
            </w:pPr>
            <w:r>
              <w:rPr>
                <w:color w:val="auto"/>
              </w:rPr>
              <w:t>2、施工期施工垃圾污染防治措施</w:t>
            </w:r>
          </w:p>
          <w:p>
            <w:pPr>
              <w:pStyle w:val="52"/>
              <w:ind w:firstLine="480"/>
              <w:rPr>
                <w:color w:val="auto"/>
              </w:rPr>
            </w:pPr>
            <w:r>
              <w:rPr>
                <w:color w:val="auto"/>
              </w:rPr>
              <w:t>（1）建筑垃圾的处理</w:t>
            </w:r>
          </w:p>
          <w:p>
            <w:pPr>
              <w:pStyle w:val="52"/>
              <w:ind w:firstLine="480"/>
              <w:rPr>
                <w:color w:val="auto"/>
              </w:rPr>
            </w:pPr>
            <w:r>
              <w:rPr>
                <w:color w:val="auto"/>
              </w:rPr>
              <w:t>对产生的原有建筑废弃物分类处理，施工生产废料首先应考虑废料的回收利用，对钢筋、钢板、木材等下角料可分类回收利用。不能回收利用的运至环卫部门和城建部门指定的建筑垃圾填埋场处理。</w:t>
            </w:r>
          </w:p>
          <w:p>
            <w:pPr>
              <w:pStyle w:val="52"/>
              <w:ind w:firstLine="480"/>
              <w:rPr>
                <w:color w:val="auto"/>
              </w:rPr>
            </w:pPr>
            <w:r>
              <w:rPr>
                <w:color w:val="auto"/>
              </w:rPr>
              <w:t>（2）生活垃圾：</w:t>
            </w:r>
          </w:p>
          <w:p>
            <w:pPr>
              <w:pStyle w:val="52"/>
              <w:ind w:firstLine="480"/>
              <w:rPr>
                <w:color w:val="auto"/>
              </w:rPr>
            </w:pPr>
            <w:r>
              <w:rPr>
                <w:color w:val="auto"/>
              </w:rPr>
              <w:t>对于施工生活垃圾，禁止乱堆乱放，应在施工人员集中地设置垃圾桶，定期清运至环卫部门指定的地点。</w:t>
            </w:r>
          </w:p>
          <w:p>
            <w:pPr>
              <w:pStyle w:val="52"/>
              <w:ind w:firstLine="0" w:firstLineChars="0"/>
              <w:rPr>
                <w:b/>
                <w:bCs/>
                <w:color w:val="auto"/>
              </w:rPr>
            </w:pPr>
            <w:r>
              <w:rPr>
                <w:b/>
                <w:bCs/>
                <w:color w:val="auto"/>
              </w:rPr>
              <w:t>四、施工期声环境影晌分析及防治措施</w:t>
            </w:r>
          </w:p>
          <w:p>
            <w:pPr>
              <w:pStyle w:val="52"/>
              <w:ind w:firstLine="480"/>
              <w:rPr>
                <w:color w:val="auto"/>
              </w:rPr>
            </w:pPr>
            <w:r>
              <w:rPr>
                <w:color w:val="auto"/>
              </w:rPr>
              <w:t>1、施工期声环境影响分析</w:t>
            </w:r>
          </w:p>
          <w:p>
            <w:pPr>
              <w:pStyle w:val="52"/>
              <w:ind w:firstLine="480"/>
              <w:rPr>
                <w:color w:val="auto"/>
              </w:rPr>
            </w:pPr>
            <w:r>
              <w:rPr>
                <w:color w:val="auto"/>
              </w:rPr>
              <w:t>根据开发工程涉及的建设内容及施工特征，本项目施工期主要的影响环节为：土方开挖阶段主要为挖掘机、推土机、装载机及各种车辆的移动性声源影响；基础夯实与砌筑阶段的打夯机等机械设备影响；装修等阶段的起重设备、切割设备及运输车辆等噪声影响。</w:t>
            </w:r>
          </w:p>
          <w:p>
            <w:pPr>
              <w:pStyle w:val="52"/>
              <w:ind w:firstLine="480"/>
              <w:rPr>
                <w:color w:val="auto"/>
              </w:rPr>
            </w:pPr>
            <w:r>
              <w:rPr>
                <w:color w:val="auto"/>
              </w:rPr>
              <w:t>根据本工程区域声环境质量要求及施工特征，整体而言，各施工阶段中以土方阶段的挖掘、基础阶段的基础夯实及物料土方运输影响最大</w:t>
            </w:r>
          </w:p>
          <w:p>
            <w:pPr>
              <w:pStyle w:val="52"/>
              <w:ind w:left="0" w:leftChars="0" w:firstLine="240" w:firstLineChars="100"/>
              <w:rPr>
                <w:color w:val="auto"/>
              </w:rPr>
            </w:pPr>
            <w:r>
              <w:rPr>
                <w:color w:val="auto"/>
              </w:rPr>
              <w:t>（1）施工期主要噪声源</w:t>
            </w:r>
          </w:p>
          <w:p>
            <w:pPr>
              <w:pStyle w:val="52"/>
              <w:ind w:firstLine="480"/>
              <w:rPr>
                <w:color w:val="auto"/>
              </w:rPr>
            </w:pPr>
            <w:r>
              <w:rPr>
                <w:color w:val="auto"/>
              </w:rPr>
              <w:t>本项目施工期噪声源均为间歇性源，各声源源强类比调查结果见下表2</w:t>
            </w:r>
            <w:r>
              <w:rPr>
                <w:rFonts w:hint="eastAsia"/>
                <w:color w:val="auto"/>
                <w:lang w:val="en-US" w:eastAsia="zh-CN"/>
              </w:rPr>
              <w:t>5</w:t>
            </w:r>
            <w:r>
              <w:rPr>
                <w:color w:val="auto"/>
              </w:rPr>
              <w:t>。</w:t>
            </w:r>
          </w:p>
          <w:p>
            <w:pPr>
              <w:pStyle w:val="52"/>
              <w:ind w:firstLine="0" w:firstLineChars="0"/>
              <w:jc w:val="center"/>
              <w:rPr>
                <w:b/>
                <w:bCs/>
                <w:color w:val="auto"/>
              </w:rPr>
            </w:pPr>
            <w:r>
              <w:rPr>
                <w:b/>
                <w:bCs/>
                <w:color w:val="auto"/>
              </w:rPr>
              <w:t>表</w:t>
            </w:r>
            <w:r>
              <w:rPr>
                <w:rFonts w:hint="eastAsia"/>
                <w:b/>
                <w:bCs/>
                <w:color w:val="auto"/>
              </w:rPr>
              <w:t>2</w:t>
            </w:r>
            <w:r>
              <w:rPr>
                <w:rFonts w:hint="eastAsia"/>
                <w:b/>
                <w:bCs/>
                <w:color w:val="auto"/>
                <w:lang w:val="en-US" w:eastAsia="zh-CN"/>
              </w:rPr>
              <w:t>5</w:t>
            </w:r>
            <w:r>
              <w:rPr>
                <w:b/>
                <w:bCs/>
                <w:color w:val="auto"/>
              </w:rPr>
              <w:t xml:space="preserve"> </w:t>
            </w:r>
            <w:r>
              <w:rPr>
                <w:b/>
                <w:bCs/>
                <w:color w:val="auto"/>
                <w:lang w:val="zh-CN"/>
              </w:rPr>
              <w:t>各施工阶段主要噪声源状况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624"/>
              <w:gridCol w:w="2485"/>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3"/>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施工机械声级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施工阶段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声源</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声级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土石方阶段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挖掘机</w:t>
                  </w:r>
                </w:p>
                <w:p>
                  <w:pPr>
                    <w:pStyle w:val="52"/>
                    <w:spacing w:before="0" w:after="0" w:line="240" w:lineRule="atLeast"/>
                    <w:ind w:firstLine="0" w:firstLineChars="0"/>
                    <w:jc w:val="center"/>
                    <w:rPr>
                      <w:color w:val="auto"/>
                      <w:sz w:val="21"/>
                      <w:szCs w:val="21"/>
                      <w:lang w:val="zh-CN"/>
                    </w:rPr>
                  </w:pPr>
                  <w:r>
                    <w:rPr>
                      <w:color w:val="auto"/>
                      <w:sz w:val="21"/>
                      <w:szCs w:val="21"/>
                      <w:lang w:val="zh-CN"/>
                    </w:rPr>
                    <w:t>推土机</w:t>
                  </w:r>
                </w:p>
                <w:p>
                  <w:pPr>
                    <w:pStyle w:val="52"/>
                    <w:spacing w:before="0" w:after="0" w:line="240" w:lineRule="atLeast"/>
                    <w:ind w:firstLine="0" w:firstLineChars="0"/>
                    <w:jc w:val="center"/>
                    <w:rPr>
                      <w:color w:val="auto"/>
                      <w:sz w:val="21"/>
                      <w:szCs w:val="21"/>
                      <w:lang w:val="zh-CN"/>
                    </w:rPr>
                  </w:pPr>
                  <w:r>
                    <w:rPr>
                      <w:color w:val="auto"/>
                      <w:sz w:val="21"/>
                      <w:szCs w:val="21"/>
                      <w:lang w:val="zh-CN"/>
                    </w:rPr>
                    <w:t>装载机</w:t>
                  </w:r>
                </w:p>
                <w:p>
                  <w:pPr>
                    <w:pStyle w:val="52"/>
                    <w:spacing w:before="0" w:after="0" w:line="240" w:lineRule="atLeast"/>
                    <w:ind w:firstLine="0" w:firstLineChars="0"/>
                    <w:jc w:val="center"/>
                    <w:rPr>
                      <w:color w:val="auto"/>
                      <w:sz w:val="21"/>
                      <w:szCs w:val="21"/>
                      <w:lang w:val="zh-CN"/>
                    </w:rPr>
                  </w:pPr>
                  <w:r>
                    <w:rPr>
                      <w:color w:val="auto"/>
                      <w:sz w:val="21"/>
                      <w:szCs w:val="21"/>
                      <w:lang w:val="zh-CN"/>
                    </w:rPr>
                    <w:t>大型载重车</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78～96</w:t>
                  </w:r>
                </w:p>
                <w:p>
                  <w:pPr>
                    <w:pStyle w:val="52"/>
                    <w:spacing w:before="0" w:after="0" w:line="240" w:lineRule="atLeast"/>
                    <w:ind w:firstLine="0" w:firstLineChars="0"/>
                    <w:jc w:val="center"/>
                    <w:rPr>
                      <w:color w:val="auto"/>
                      <w:sz w:val="21"/>
                      <w:szCs w:val="21"/>
                      <w:lang w:val="zh-CN"/>
                    </w:rPr>
                  </w:pPr>
                  <w:r>
                    <w:rPr>
                      <w:color w:val="auto"/>
                      <w:sz w:val="21"/>
                      <w:szCs w:val="21"/>
                      <w:lang w:val="zh-CN"/>
                    </w:rPr>
                    <w:t>80～95</w:t>
                  </w:r>
                </w:p>
                <w:p>
                  <w:pPr>
                    <w:pStyle w:val="52"/>
                    <w:spacing w:before="0" w:after="0" w:line="240" w:lineRule="atLeast"/>
                    <w:ind w:firstLine="0" w:firstLineChars="0"/>
                    <w:jc w:val="center"/>
                    <w:rPr>
                      <w:color w:val="auto"/>
                      <w:sz w:val="21"/>
                      <w:szCs w:val="21"/>
                      <w:lang w:val="zh-CN"/>
                    </w:rPr>
                  </w:pPr>
                  <w:r>
                    <w:rPr>
                      <w:color w:val="auto"/>
                      <w:sz w:val="21"/>
                      <w:szCs w:val="21"/>
                      <w:lang w:val="zh-CN"/>
                    </w:rPr>
                    <w:t>85～95</w:t>
                  </w:r>
                </w:p>
                <w:p>
                  <w:pPr>
                    <w:pStyle w:val="52"/>
                    <w:spacing w:before="0" w:after="0" w:line="240" w:lineRule="atLeast"/>
                    <w:ind w:firstLine="0" w:firstLineChars="0"/>
                    <w:jc w:val="center"/>
                    <w:rPr>
                      <w:color w:val="auto"/>
                      <w:sz w:val="21"/>
                      <w:szCs w:val="21"/>
                      <w:lang w:val="zh-CN"/>
                    </w:rPr>
                  </w:pPr>
                  <w:r>
                    <w:rPr>
                      <w:color w:val="auto"/>
                      <w:sz w:val="21"/>
                      <w:szCs w:val="21"/>
                      <w:lang w:val="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打桩阶段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打桩机</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95～110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底板与结构阶段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振捣机</w:t>
                  </w:r>
                </w:p>
                <w:p>
                  <w:pPr>
                    <w:pStyle w:val="52"/>
                    <w:spacing w:before="0" w:after="0" w:line="240" w:lineRule="atLeast"/>
                    <w:ind w:firstLine="0" w:firstLineChars="0"/>
                    <w:jc w:val="center"/>
                    <w:rPr>
                      <w:color w:val="auto"/>
                      <w:sz w:val="21"/>
                      <w:szCs w:val="21"/>
                      <w:lang w:val="zh-CN"/>
                    </w:rPr>
                  </w:pPr>
                  <w:r>
                    <w:rPr>
                      <w:color w:val="auto"/>
                      <w:sz w:val="21"/>
                      <w:szCs w:val="21"/>
                      <w:lang w:val="zh-CN"/>
                    </w:rPr>
                    <w:t>切割机</w:t>
                  </w:r>
                </w:p>
                <w:p>
                  <w:pPr>
                    <w:pStyle w:val="52"/>
                    <w:spacing w:before="0" w:after="0" w:line="240" w:lineRule="atLeast"/>
                    <w:ind w:firstLine="0" w:firstLineChars="0"/>
                    <w:jc w:val="center"/>
                    <w:rPr>
                      <w:color w:val="auto"/>
                      <w:sz w:val="21"/>
                      <w:szCs w:val="21"/>
                      <w:lang w:val="zh-CN"/>
                    </w:rPr>
                  </w:pPr>
                  <w:r>
                    <w:rPr>
                      <w:color w:val="auto"/>
                      <w:sz w:val="21"/>
                      <w:szCs w:val="21"/>
                      <w:lang w:val="zh-CN"/>
                    </w:rPr>
                    <w:t>模板拆卸</w:t>
                  </w:r>
                </w:p>
                <w:p>
                  <w:pPr>
                    <w:pStyle w:val="52"/>
                    <w:spacing w:before="0" w:after="0" w:line="240" w:lineRule="atLeast"/>
                    <w:ind w:firstLine="0" w:firstLineChars="0"/>
                    <w:jc w:val="center"/>
                    <w:rPr>
                      <w:color w:val="auto"/>
                      <w:sz w:val="21"/>
                      <w:szCs w:val="21"/>
                      <w:lang w:val="zh-CN"/>
                    </w:rPr>
                  </w:pPr>
                  <w:r>
                    <w:rPr>
                      <w:color w:val="auto"/>
                      <w:sz w:val="21"/>
                      <w:szCs w:val="21"/>
                      <w:lang w:val="zh-CN"/>
                    </w:rPr>
                    <w:t>混凝土运送车</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100～105</w:t>
                  </w:r>
                </w:p>
                <w:p>
                  <w:pPr>
                    <w:pStyle w:val="52"/>
                    <w:spacing w:before="0" w:after="0" w:line="240" w:lineRule="atLeast"/>
                    <w:ind w:firstLine="0" w:firstLineChars="0"/>
                    <w:jc w:val="center"/>
                    <w:rPr>
                      <w:color w:val="auto"/>
                      <w:sz w:val="21"/>
                      <w:szCs w:val="21"/>
                      <w:lang w:val="zh-CN"/>
                    </w:rPr>
                  </w:pPr>
                  <w:r>
                    <w:rPr>
                      <w:color w:val="auto"/>
                      <w:sz w:val="21"/>
                      <w:szCs w:val="21"/>
                      <w:lang w:val="zh-CN"/>
                    </w:rPr>
                    <w:t>100～110</w:t>
                  </w:r>
                </w:p>
                <w:p>
                  <w:pPr>
                    <w:pStyle w:val="52"/>
                    <w:spacing w:before="0" w:after="0" w:line="240" w:lineRule="atLeast"/>
                    <w:ind w:firstLine="0" w:firstLineChars="0"/>
                    <w:jc w:val="center"/>
                    <w:rPr>
                      <w:color w:val="auto"/>
                      <w:sz w:val="21"/>
                      <w:szCs w:val="21"/>
                      <w:lang w:val="zh-CN"/>
                    </w:rPr>
                  </w:pPr>
                  <w:r>
                    <w:rPr>
                      <w:color w:val="auto"/>
                      <w:sz w:val="21"/>
                      <w:szCs w:val="21"/>
                      <w:lang w:val="zh-CN"/>
                    </w:rPr>
                    <w:t>95～105</w:t>
                  </w:r>
                </w:p>
                <w:p>
                  <w:pPr>
                    <w:pStyle w:val="52"/>
                    <w:spacing w:before="0" w:after="0" w:line="240" w:lineRule="atLeast"/>
                    <w:ind w:firstLine="0" w:firstLineChars="0"/>
                    <w:jc w:val="center"/>
                    <w:rPr>
                      <w:color w:val="auto"/>
                      <w:sz w:val="21"/>
                      <w:szCs w:val="21"/>
                      <w:lang w:val="zh-CN"/>
                    </w:rPr>
                  </w:pPr>
                  <w:r>
                    <w:rPr>
                      <w:color w:val="auto"/>
                      <w:sz w:val="21"/>
                      <w:szCs w:val="21"/>
                      <w:lang w:val="zh-CN"/>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3"/>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交通运输车辆声级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施工阶段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车辆类型</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土方阶段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大型载重车</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70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底板及结构阶段</w:t>
                  </w:r>
                </w:p>
              </w:tc>
              <w:tc>
                <w:tcPr>
                  <w:tcW w:w="161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混凝土灌车、载重车</w:t>
                  </w:r>
                </w:p>
              </w:tc>
              <w:tc>
                <w:tcPr>
                  <w:tcW w:w="1683" w:type="pct"/>
                  <w:tcBorders>
                    <w:tl2br w:val="nil"/>
                    <w:tr2bl w:val="nil"/>
                  </w:tcBorders>
                  <w:vAlign w:val="center"/>
                </w:tcPr>
                <w:p>
                  <w:pPr>
                    <w:pStyle w:val="52"/>
                    <w:spacing w:before="0" w:after="0" w:line="240" w:lineRule="atLeast"/>
                    <w:ind w:firstLine="0" w:firstLineChars="0"/>
                    <w:jc w:val="center"/>
                    <w:rPr>
                      <w:color w:val="auto"/>
                      <w:sz w:val="21"/>
                      <w:szCs w:val="21"/>
                      <w:lang w:val="zh-CN"/>
                    </w:rPr>
                  </w:pPr>
                  <w:r>
                    <w:rPr>
                      <w:color w:val="auto"/>
                      <w:sz w:val="21"/>
                      <w:szCs w:val="21"/>
                      <w:lang w:val="zh-CN"/>
                    </w:rPr>
                    <w:t>80～85</w:t>
                  </w:r>
                </w:p>
              </w:tc>
            </w:tr>
          </w:tbl>
          <w:p>
            <w:pPr>
              <w:pStyle w:val="52"/>
              <w:ind w:firstLine="480"/>
              <w:rPr>
                <w:color w:val="auto"/>
              </w:rPr>
            </w:pPr>
            <w:r>
              <w:rPr>
                <w:color w:val="auto"/>
              </w:rPr>
              <w:t>2、施工期噪声污染防治措施</w:t>
            </w:r>
          </w:p>
          <w:p>
            <w:pPr>
              <w:pStyle w:val="52"/>
              <w:ind w:firstLine="480"/>
              <w:rPr>
                <w:color w:val="auto"/>
              </w:rPr>
            </w:pPr>
            <w:r>
              <w:rPr>
                <w:color w:val="auto"/>
              </w:rPr>
              <w:t>项目建设区整体属于</w:t>
            </w:r>
            <w:r>
              <w:rPr>
                <w:rFonts w:hint="eastAsia"/>
                <w:color w:val="auto"/>
                <w:lang w:val="en-US" w:eastAsia="zh-CN"/>
              </w:rPr>
              <w:t>3</w:t>
            </w:r>
            <w:r>
              <w:rPr>
                <w:color w:val="auto"/>
              </w:rPr>
              <w:t>类声功能区，对工程的施工噪声应加强控制，为尽可能的避免产生对外界环境的影响，工程施工声污染控制应遵循以下基本原则：</w:t>
            </w:r>
          </w:p>
          <w:p>
            <w:pPr>
              <w:pStyle w:val="52"/>
              <w:ind w:firstLine="480"/>
              <w:rPr>
                <w:color w:val="auto"/>
              </w:rPr>
            </w:pPr>
            <w:r>
              <w:rPr>
                <w:color w:val="auto"/>
              </w:rPr>
              <w:t>①制定严格合理的施工计划，集中安排高噪声施工阶段，便于合理控制；尽可能利用噪声距离衰减措施，在不影响施工的条件下，将强噪声设备尽量移至距场界较远的地方，保证施工场界达标。为保护项目周围建筑，设计和施工单位必须制定科学的施工方式，减少振动对周围建筑的破坏。</w:t>
            </w:r>
          </w:p>
          <w:p>
            <w:pPr>
              <w:pStyle w:val="52"/>
              <w:ind w:firstLine="480"/>
              <w:rPr>
                <w:color w:val="auto"/>
              </w:rPr>
            </w:pPr>
            <w:r>
              <w:rPr>
                <w:color w:val="auto"/>
              </w:rPr>
              <w:t>②避免在同一地点安排大量动力机械设备，以避免局部声级过高；施工设备选型上应尽量采用低噪声设备，如振捣器采用变频振捣器等；对动力机械设备进行定期的维修、养护，因设备常因松动部件的震动或消声器破坏而加大其工作时的声级；尽量少用哨子、喇叭等指挥作业，减少人为噪声；</w:t>
            </w:r>
          </w:p>
          <w:p>
            <w:pPr>
              <w:pStyle w:val="52"/>
              <w:ind w:firstLine="0" w:firstLineChars="0"/>
              <w:rPr>
                <w:b/>
                <w:bCs/>
                <w:color w:val="auto"/>
              </w:rPr>
            </w:pPr>
            <w:r>
              <w:rPr>
                <w:b/>
                <w:bCs/>
                <w:color w:val="auto"/>
              </w:rPr>
              <w:t>五、施工期的生态环境影响分析及防治措施</w:t>
            </w:r>
          </w:p>
          <w:p>
            <w:pPr>
              <w:pStyle w:val="52"/>
              <w:ind w:firstLine="480"/>
              <w:rPr>
                <w:color w:val="auto"/>
              </w:rPr>
            </w:pPr>
            <w:r>
              <w:rPr>
                <w:color w:val="auto"/>
              </w:rPr>
              <w:t>工程施工期间不可避免的会对厂区范围内的生态环境产生一定程度的影响，造成植被破坏和一定程度的水土流失。</w:t>
            </w:r>
          </w:p>
          <w:p>
            <w:pPr>
              <w:pStyle w:val="52"/>
              <w:ind w:firstLine="480"/>
              <w:rPr>
                <w:rFonts w:cs="宋体"/>
                <w:bCs/>
                <w:color w:val="auto"/>
                <w:szCs w:val="21"/>
              </w:rPr>
            </w:pPr>
            <w:r>
              <w:rPr>
                <w:color w:val="auto"/>
              </w:rPr>
              <w:t>建设施工过程中建设单位应加强管理，严格按照相关规划批准的方案实施建设，施工时要严格划定施工区域，将临时占地面积控制在最低限度。施工过程中的挖填土要合理堆放，减少对土地的扰动作用，控制水土流失；竣工后加强厂区绿化带建设。</w:t>
            </w:r>
          </w:p>
        </w:tc>
      </w:tr>
    </w:tbl>
    <w:p>
      <w:pPr>
        <w:adjustRightInd w:val="0"/>
        <w:snapToGrid w:val="0"/>
        <w:jc w:val="center"/>
        <w:rPr>
          <w:rFonts w:cs="宋体"/>
          <w:bCs/>
          <w:color w:val="auto"/>
          <w:sz w:val="24"/>
        </w:rPr>
      </w:pPr>
    </w:p>
    <w:p>
      <w:pPr>
        <w:adjustRightInd w:val="0"/>
        <w:snapToGrid w:val="0"/>
        <w:jc w:val="center"/>
        <w:rPr>
          <w:rFonts w:cs="宋体"/>
          <w:bCs/>
          <w:color w:val="auto"/>
          <w:sz w:val="24"/>
        </w:rPr>
      </w:pPr>
    </w:p>
    <w:p>
      <w:pPr>
        <w:pStyle w:val="2"/>
        <w:rPr>
          <w:rFonts w:cs="宋体"/>
          <w:bCs/>
          <w:color w:val="auto"/>
          <w:sz w:val="24"/>
        </w:rPr>
      </w:pPr>
    </w:p>
    <w:p>
      <w:pPr>
        <w:rPr>
          <w:color w:val="auto"/>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adjustRightInd w:val="0"/>
              <w:snapToGrid w:val="0"/>
              <w:jc w:val="center"/>
              <w:rPr>
                <w:rFonts w:cs="宋体"/>
                <w:bCs/>
                <w:color w:val="auto"/>
                <w:sz w:val="24"/>
              </w:rPr>
            </w:pPr>
            <w:r>
              <w:rPr>
                <w:rFonts w:hint="eastAsia" w:cs="宋体"/>
                <w:bCs/>
                <w:color w:val="auto"/>
                <w:sz w:val="24"/>
              </w:rPr>
              <w:t>运营</w:t>
            </w:r>
          </w:p>
          <w:p>
            <w:pPr>
              <w:adjustRightInd w:val="0"/>
              <w:snapToGrid w:val="0"/>
              <w:jc w:val="center"/>
              <w:rPr>
                <w:rFonts w:cs="宋体"/>
                <w:bCs/>
                <w:color w:val="auto"/>
                <w:sz w:val="24"/>
              </w:rPr>
            </w:pPr>
            <w:r>
              <w:rPr>
                <w:rFonts w:hint="eastAsia" w:cs="宋体"/>
                <w:bCs/>
                <w:color w:val="auto"/>
                <w:sz w:val="24"/>
              </w:rPr>
              <w:t>期环</w:t>
            </w:r>
          </w:p>
          <w:p>
            <w:pPr>
              <w:adjustRightInd w:val="0"/>
              <w:snapToGrid w:val="0"/>
              <w:jc w:val="center"/>
              <w:rPr>
                <w:rFonts w:cs="宋体"/>
                <w:bCs/>
                <w:color w:val="auto"/>
                <w:sz w:val="24"/>
              </w:rPr>
            </w:pPr>
            <w:r>
              <w:rPr>
                <w:rFonts w:hint="eastAsia" w:cs="宋体"/>
                <w:bCs/>
                <w:color w:val="auto"/>
                <w:sz w:val="24"/>
              </w:rPr>
              <w:t>境影</w:t>
            </w:r>
          </w:p>
          <w:p>
            <w:pPr>
              <w:adjustRightInd w:val="0"/>
              <w:snapToGrid w:val="0"/>
              <w:jc w:val="center"/>
              <w:rPr>
                <w:rFonts w:cs="宋体"/>
                <w:bCs/>
                <w:color w:val="auto"/>
                <w:sz w:val="24"/>
              </w:rPr>
            </w:pPr>
            <w:r>
              <w:rPr>
                <w:rFonts w:hint="eastAsia" w:cs="宋体"/>
                <w:bCs/>
                <w:color w:val="auto"/>
                <w:sz w:val="24"/>
              </w:rPr>
              <w:t>响和</w:t>
            </w:r>
          </w:p>
          <w:p>
            <w:pPr>
              <w:adjustRightInd w:val="0"/>
              <w:snapToGrid w:val="0"/>
              <w:jc w:val="center"/>
              <w:rPr>
                <w:rFonts w:cs="宋体"/>
                <w:bCs/>
                <w:color w:val="auto"/>
                <w:sz w:val="24"/>
              </w:rPr>
            </w:pPr>
            <w:r>
              <w:rPr>
                <w:rFonts w:hint="eastAsia" w:cs="宋体"/>
                <w:bCs/>
                <w:color w:val="auto"/>
                <w:sz w:val="24"/>
              </w:rPr>
              <w:t>保护</w:t>
            </w:r>
          </w:p>
          <w:p>
            <w:pPr>
              <w:adjustRightInd w:val="0"/>
              <w:snapToGrid w:val="0"/>
              <w:jc w:val="center"/>
              <w:rPr>
                <w:rFonts w:cs="宋体"/>
                <w:bCs/>
                <w:color w:val="auto"/>
                <w:sz w:val="24"/>
                <w:vertAlign w:val="baseline"/>
              </w:rPr>
            </w:pPr>
            <w:r>
              <w:rPr>
                <w:rFonts w:hint="eastAsia" w:cs="宋体"/>
                <w:bCs/>
                <w:color w:val="auto"/>
                <w:sz w:val="24"/>
              </w:rPr>
              <w:t>措施</w:t>
            </w:r>
          </w:p>
        </w:tc>
        <w:tc>
          <w:tcPr>
            <w:tcW w:w="7832" w:type="dxa"/>
          </w:tcPr>
          <w:p>
            <w:pPr>
              <w:spacing w:line="480" w:lineRule="exact"/>
              <w:rPr>
                <w:b/>
                <w:bCs/>
                <w:color w:val="auto"/>
                <w:sz w:val="24"/>
              </w:rPr>
            </w:pPr>
            <w:r>
              <w:rPr>
                <w:rFonts w:hint="eastAsia"/>
                <w:b/>
                <w:bCs/>
                <w:color w:val="auto"/>
                <w:sz w:val="24"/>
              </w:rPr>
              <w:t>1、废气环境影响及保护措施</w:t>
            </w:r>
          </w:p>
          <w:p>
            <w:pPr>
              <w:spacing w:line="360" w:lineRule="auto"/>
              <w:rPr>
                <w:rFonts w:hint="eastAsia"/>
                <w:b/>
                <w:bCs/>
                <w:color w:val="auto"/>
                <w:sz w:val="24"/>
              </w:rPr>
            </w:pPr>
            <w:r>
              <w:rPr>
                <w:rFonts w:hint="eastAsia"/>
                <w:b/>
                <w:bCs/>
                <w:color w:val="auto"/>
                <w:sz w:val="24"/>
              </w:rPr>
              <w:t>1.1 源强核算</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b/>
                <w:bCs/>
                <w:color w:val="auto"/>
                <w:sz w:val="24"/>
                <w:lang w:val="en-US" w:eastAsia="zh-CN"/>
              </w:rPr>
            </w:pPr>
            <w:r>
              <w:rPr>
                <w:rFonts w:hint="eastAsia"/>
                <w:b/>
                <w:bCs/>
                <w:color w:val="auto"/>
                <w:sz w:val="24"/>
                <w:lang w:val="en-US" w:eastAsia="zh-CN"/>
              </w:rPr>
              <w:t xml:space="preserve">    项目废气污染源排放情况如表26所示：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rPr>
            </w:pPr>
            <w:r>
              <w:rPr>
                <w:rFonts w:hint="eastAsia"/>
                <w:color w:val="auto"/>
                <w:sz w:val="24"/>
                <w:lang w:val="en-US" w:eastAsia="zh-CN"/>
              </w:rPr>
              <w:t>各污染源</w:t>
            </w:r>
            <w:r>
              <w:rPr>
                <w:rFonts w:hint="eastAsia"/>
                <w:color w:val="auto"/>
                <w:sz w:val="24"/>
              </w:rPr>
              <w:t>源强核算过程如下所示：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eastAsia="宋体"/>
                <w:color w:val="auto"/>
                <w:sz w:val="24"/>
                <w:lang w:eastAsia="zh-CN"/>
              </w:rPr>
            </w:pPr>
            <w:r>
              <w:rPr>
                <w:rFonts w:hint="eastAsia"/>
                <w:color w:val="auto"/>
                <w:sz w:val="24"/>
              </w:rPr>
              <w:t>（1）导热油炉</w:t>
            </w:r>
            <w:r>
              <w:rPr>
                <w:rFonts w:hint="eastAsia"/>
                <w:color w:val="auto"/>
                <w:sz w:val="24"/>
                <w:lang w:eastAsia="zh-CN"/>
              </w:rPr>
              <w:t>（</w:t>
            </w:r>
            <w:r>
              <w:rPr>
                <w:rFonts w:hint="eastAsia"/>
                <w:color w:val="auto"/>
                <w:sz w:val="24"/>
                <w:lang w:val="en-US" w:eastAsia="zh-CN"/>
              </w:rPr>
              <w:t>排放口DA021</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z w:val="24"/>
              </w:rPr>
            </w:pPr>
            <w:r>
              <w:rPr>
                <w:rFonts w:hint="eastAsia"/>
                <w:bCs/>
                <w:color w:val="auto"/>
                <w:sz w:val="24"/>
              </w:rPr>
              <w:t>1）烟气量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z w:val="24"/>
              </w:rPr>
            </w:pPr>
            <w:r>
              <w:rPr>
                <w:rFonts w:hint="eastAsia"/>
                <w:bCs/>
                <w:color w:val="auto"/>
                <w:sz w:val="24"/>
              </w:rPr>
              <w:t>此次评价参照《排污许可证申请与核发技术规范 锅炉》（HJ953-2018）中表5中天然气燃气锅炉基准烟气量经验公式估算法计算本项目燃气导热油炉烟气量，计算公式如下：</w:t>
            </w:r>
          </w:p>
          <w:p>
            <w:pPr>
              <w:pStyle w:val="52"/>
              <w:snapToGrid/>
              <w:spacing w:before="0" w:after="0" w:line="480" w:lineRule="exact"/>
              <w:ind w:firstLine="0" w:firstLineChars="0"/>
              <w:jc w:val="center"/>
              <w:rPr>
                <w:color w:val="auto"/>
              </w:rPr>
            </w:pPr>
            <w:r>
              <w:rPr>
                <w:rFonts w:hint="eastAsia"/>
                <w:color w:val="auto"/>
              </w:rPr>
              <w:t>Vgy=0.285Qnet+0.343</w:t>
            </w:r>
          </w:p>
          <w:p>
            <w:pPr>
              <w:pStyle w:val="52"/>
              <w:snapToGrid/>
              <w:spacing w:before="0" w:after="0" w:line="480" w:lineRule="exact"/>
              <w:ind w:firstLine="480"/>
              <w:rPr>
                <w:color w:val="auto"/>
              </w:rPr>
            </w:pPr>
            <w:r>
              <w:rPr>
                <w:rFonts w:hint="eastAsia"/>
                <w:color w:val="auto"/>
              </w:rPr>
              <w:t>其中：Vgy为基准烟气量，Nm</w:t>
            </w:r>
            <w:r>
              <w:rPr>
                <w:rFonts w:hint="eastAsia"/>
                <w:color w:val="auto"/>
                <w:vertAlign w:val="superscript"/>
              </w:rPr>
              <w:t>3/</w:t>
            </w:r>
            <w:r>
              <w:rPr>
                <w:rFonts w:hint="eastAsia"/>
                <w:color w:val="auto"/>
              </w:rPr>
              <w:t>m</w:t>
            </w:r>
            <w:r>
              <w:rPr>
                <w:rFonts w:hint="eastAsia"/>
                <w:color w:val="auto"/>
                <w:vertAlign w:val="superscript"/>
              </w:rPr>
              <w:t>3</w:t>
            </w:r>
            <w:r>
              <w:rPr>
                <w:rFonts w:hint="eastAsia"/>
                <w:color w:val="auto"/>
              </w:rPr>
              <w:t>；</w:t>
            </w:r>
          </w:p>
          <w:p>
            <w:pPr>
              <w:pStyle w:val="52"/>
              <w:snapToGrid/>
              <w:spacing w:before="0" w:after="0" w:line="480" w:lineRule="exact"/>
              <w:ind w:firstLine="480"/>
              <w:rPr>
                <w:color w:val="auto"/>
              </w:rPr>
            </w:pPr>
            <w:r>
              <w:rPr>
                <w:rFonts w:hint="eastAsia"/>
                <w:color w:val="auto"/>
              </w:rPr>
              <w:t xml:space="preserve">    </w:t>
            </w:r>
            <w:r>
              <w:rPr>
                <w:color w:val="auto"/>
              </w:rPr>
              <w:t xml:space="preserve"> </w:t>
            </w:r>
            <w:r>
              <w:rPr>
                <w:rFonts w:hint="eastAsia"/>
                <w:color w:val="auto"/>
              </w:rPr>
              <w:t xml:space="preserve"> Qnet为气体燃料低位发热量（MJ/m</w:t>
            </w:r>
            <w:r>
              <w:rPr>
                <w:rFonts w:hint="eastAsia"/>
                <w:color w:val="auto"/>
                <w:vertAlign w:val="superscript"/>
              </w:rPr>
              <w:t>3</w:t>
            </w:r>
            <w:r>
              <w:rPr>
                <w:rFonts w:hint="eastAsia"/>
                <w:color w:val="auto"/>
              </w:rPr>
              <w:t>），此次评价取35.564。</w:t>
            </w:r>
          </w:p>
          <w:p>
            <w:pPr>
              <w:pStyle w:val="52"/>
              <w:snapToGrid/>
              <w:spacing w:before="0" w:after="120" w:afterLines="50" w:line="480" w:lineRule="exact"/>
              <w:ind w:firstLine="480"/>
              <w:rPr>
                <w:color w:val="auto"/>
              </w:rPr>
            </w:pPr>
            <w:r>
              <w:rPr>
                <w:rFonts w:hint="eastAsia"/>
                <w:color w:val="auto"/>
              </w:rPr>
              <w:t>计算可得，项目燃气导热油炉运行过程中基准烟气量为10.</w:t>
            </w:r>
            <w:r>
              <w:rPr>
                <w:rFonts w:hint="eastAsia"/>
                <w:color w:val="auto"/>
                <w:lang w:val="en-US" w:eastAsia="zh-CN"/>
              </w:rPr>
              <w:t>84</w:t>
            </w:r>
            <w:r>
              <w:rPr>
                <w:rFonts w:hint="eastAsia"/>
                <w:color w:val="auto"/>
              </w:rPr>
              <w:t>Nm</w:t>
            </w:r>
            <w:r>
              <w:rPr>
                <w:rFonts w:hint="eastAsia"/>
                <w:color w:val="auto"/>
                <w:vertAlign w:val="superscript"/>
              </w:rPr>
              <w:t>3</w:t>
            </w:r>
            <w:r>
              <w:rPr>
                <w:rFonts w:hint="eastAsia"/>
                <w:color w:val="auto"/>
              </w:rPr>
              <w:t>/m</w:t>
            </w:r>
            <w:r>
              <w:rPr>
                <w:rFonts w:hint="eastAsia"/>
                <w:color w:val="auto"/>
                <w:vertAlign w:val="superscript"/>
              </w:rPr>
              <w:t>3</w:t>
            </w:r>
            <w:r>
              <w:rPr>
                <w:rFonts w:hint="eastAsia"/>
                <w:color w:val="auto"/>
              </w:rPr>
              <w:t>。</w:t>
            </w:r>
          </w:p>
          <w:p>
            <w:pPr>
              <w:pStyle w:val="52"/>
              <w:snapToGrid/>
              <w:spacing w:before="0" w:after="0" w:line="360" w:lineRule="auto"/>
              <w:ind w:firstLine="480"/>
              <w:rPr>
                <w:color w:val="auto"/>
              </w:rPr>
            </w:pPr>
            <w:r>
              <w:rPr>
                <w:rFonts w:hint="eastAsia"/>
                <w:color w:val="auto"/>
              </w:rPr>
              <w:t>2）天然气消耗量</w:t>
            </w:r>
          </w:p>
          <w:p>
            <w:pPr>
              <w:pStyle w:val="52"/>
              <w:snapToGrid/>
              <w:spacing w:before="0" w:after="0" w:line="360" w:lineRule="auto"/>
              <w:ind w:firstLine="480"/>
              <w:rPr>
                <w:color w:val="auto"/>
              </w:rPr>
            </w:pPr>
            <w:r>
              <w:rPr>
                <w:rFonts w:hint="eastAsia"/>
                <w:color w:val="auto"/>
              </w:rPr>
              <w:t>项目导热油炉额定功率为240万kcal/h，天然气耗气量为：</w:t>
            </w:r>
          </w:p>
          <w:p>
            <w:pPr>
              <w:pStyle w:val="52"/>
              <w:snapToGrid/>
              <w:spacing w:before="0" w:after="0" w:line="360" w:lineRule="auto"/>
              <w:ind w:firstLine="480"/>
              <w:rPr>
                <w:color w:val="auto"/>
              </w:rPr>
            </w:pPr>
            <w:r>
              <w:rPr>
                <w:rFonts w:hint="eastAsia"/>
                <w:color w:val="auto"/>
              </w:rPr>
              <w:t>导热油炉</w:t>
            </w:r>
            <w:r>
              <w:rPr>
                <w:color w:val="auto"/>
              </w:rPr>
              <w:t>天然气消耗量=锅炉小时产热量÷热效率÷天然气热值=</w:t>
            </w:r>
            <w:r>
              <w:rPr>
                <w:rFonts w:hint="eastAsia"/>
                <w:color w:val="auto"/>
              </w:rPr>
              <w:t>240万kcal×4185.85J/kcal</w:t>
            </w:r>
            <w:r>
              <w:rPr>
                <w:color w:val="auto"/>
              </w:rPr>
              <w:t>÷0.9÷3</w:t>
            </w:r>
            <w:r>
              <w:rPr>
                <w:rFonts w:hint="eastAsia"/>
                <w:color w:val="auto"/>
              </w:rPr>
              <w:t>5.564</w:t>
            </w:r>
            <w:r>
              <w:rPr>
                <w:color w:val="auto"/>
              </w:rPr>
              <w:t>MJ/m</w:t>
            </w:r>
            <w:r>
              <w:rPr>
                <w:color w:val="auto"/>
                <w:vertAlign w:val="superscript"/>
              </w:rPr>
              <w:t>3</w:t>
            </w:r>
            <w:r>
              <w:rPr>
                <w:color w:val="auto"/>
              </w:rPr>
              <w:t>=</w:t>
            </w:r>
            <w:r>
              <w:rPr>
                <w:rFonts w:hint="eastAsia"/>
                <w:color w:val="auto"/>
              </w:rPr>
              <w:t>310</w:t>
            </w:r>
            <w:r>
              <w:rPr>
                <w:color w:val="auto"/>
              </w:rPr>
              <w:t>m</w:t>
            </w:r>
            <w:r>
              <w:rPr>
                <w:color w:val="auto"/>
                <w:vertAlign w:val="superscript"/>
              </w:rPr>
              <w:t>3</w:t>
            </w:r>
            <w:r>
              <w:rPr>
                <w:color w:val="auto"/>
              </w:rPr>
              <w:t>/h。</w:t>
            </w:r>
          </w:p>
          <w:p>
            <w:pPr>
              <w:pStyle w:val="52"/>
              <w:snapToGrid/>
              <w:spacing w:before="0" w:after="0" w:line="360" w:lineRule="auto"/>
              <w:ind w:firstLine="480"/>
              <w:rPr>
                <w:rFonts w:hint="eastAsia" w:eastAsia="宋体"/>
                <w:color w:val="auto"/>
                <w:lang w:val="en-US" w:eastAsia="zh-CN"/>
              </w:rPr>
            </w:pPr>
            <w:r>
              <w:rPr>
                <w:rFonts w:hint="eastAsia"/>
                <w:color w:val="auto"/>
                <w:lang w:val="en-US" w:eastAsia="zh-CN"/>
              </w:rPr>
              <w:t>可计算得到项目导热油炉烟气量为3360.4</w:t>
            </w:r>
            <w:r>
              <w:rPr>
                <w:color w:val="auto"/>
              </w:rPr>
              <w:t>m</w:t>
            </w:r>
            <w:r>
              <w:rPr>
                <w:color w:val="auto"/>
                <w:vertAlign w:val="superscript"/>
              </w:rPr>
              <w:t>3</w:t>
            </w:r>
            <w:r>
              <w:rPr>
                <w:color w:val="auto"/>
              </w:rPr>
              <w:t>/h</w:t>
            </w:r>
            <w:r>
              <w:rPr>
                <w:rFonts w:hint="eastAsia"/>
                <w:color w:val="auto"/>
                <w:lang w:eastAsia="zh-CN"/>
              </w:rPr>
              <w:t>。</w:t>
            </w:r>
          </w:p>
          <w:p>
            <w:pPr>
              <w:pStyle w:val="52"/>
              <w:snapToGrid/>
              <w:spacing w:before="0" w:after="0" w:line="360" w:lineRule="auto"/>
              <w:ind w:firstLine="480"/>
              <w:rPr>
                <w:color w:val="auto"/>
              </w:rPr>
            </w:pPr>
            <w:r>
              <w:rPr>
                <w:rFonts w:hint="eastAsia"/>
                <w:color w:val="auto"/>
              </w:rPr>
              <w:t>3）污染物排放量计算</w:t>
            </w:r>
          </w:p>
          <w:p>
            <w:pPr>
              <w:spacing w:line="360" w:lineRule="auto"/>
              <w:ind w:firstLine="480"/>
              <w:rPr>
                <w:color w:val="auto"/>
              </w:rPr>
            </w:pPr>
            <w:r>
              <w:rPr>
                <w:rFonts w:hint="eastAsia"/>
                <w:bCs/>
                <w:color w:val="auto"/>
                <w:sz w:val="24"/>
              </w:rPr>
              <w:t>项目</w:t>
            </w:r>
            <w:r>
              <w:rPr>
                <w:rFonts w:hint="eastAsia"/>
                <w:bCs/>
                <w:color w:val="auto"/>
                <w:sz w:val="24"/>
                <w:lang w:val="en-US" w:eastAsia="zh-CN"/>
              </w:rPr>
              <w:t>导热油炉</w:t>
            </w:r>
            <w:r>
              <w:rPr>
                <w:rFonts w:hint="eastAsia"/>
                <w:bCs/>
                <w:color w:val="auto"/>
                <w:sz w:val="24"/>
              </w:rPr>
              <w:t>锅炉燃烧器使用河北斯丹德尔环保科技有限公司制造的低氮燃烧设施，燃烧器规格为S-LN</w:t>
            </w:r>
            <w:r>
              <w:rPr>
                <w:bCs/>
                <w:color w:val="auto"/>
                <w:sz w:val="24"/>
              </w:rPr>
              <w:t>2.0</w:t>
            </w:r>
            <w:r>
              <w:rPr>
                <w:rFonts w:hint="eastAsia"/>
                <w:bCs/>
                <w:color w:val="auto"/>
                <w:sz w:val="24"/>
              </w:rPr>
              <w:t>-FGR。该燃烧器采用烟气再循环燃烧技术来降低氮氧化物浓度。烟气再循环技术是通过将部分锅炉排烟重新引入炉膛，并同天然气、空气混合进行燃烧的一种降低氮氧化物的技术。运用烟气再循环技术，将部分烟气与空气混合后送至燃烧室助燃，混合后的助燃风可以有效降低燃烧室内温度和氧量浓度。由于燃气与氧气的燃烧反应活化能，远远小于氧气与氮气的反应活化能。所以，燃气首先与氧气发生燃烧反应。当氧气有剩余时，燃气才进行与氮气的反应生成NOx，但是较低的反应区温度使得与氮气的反应变得非常缓慢，从而有效抑制热力</w:t>
            </w:r>
          </w:p>
          <w:p>
            <w:pPr>
              <w:rPr>
                <w:color w:val="auto"/>
              </w:rPr>
            </w:pPr>
          </w:p>
        </w:tc>
      </w:tr>
    </w:tbl>
    <w:p>
      <w:pPr>
        <w:adjustRightInd w:val="0"/>
        <w:snapToGrid w:val="0"/>
        <w:jc w:val="center"/>
        <w:rPr>
          <w:rFonts w:cs="宋体"/>
          <w:bCs/>
          <w:color w:val="auto"/>
          <w:sz w:val="24"/>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pPr>
        <w:adjustRightInd w:val="0"/>
        <w:snapToGrid w:val="0"/>
        <w:jc w:val="center"/>
        <w:rPr>
          <w:rFonts w:cs="宋体"/>
          <w:b/>
          <w:color w:val="auto"/>
          <w:sz w:val="24"/>
        </w:rPr>
      </w:pPr>
      <w:r>
        <w:rPr>
          <w:rFonts w:hint="eastAsia" w:cs="宋体"/>
          <w:b/>
          <w:color w:val="auto"/>
          <w:sz w:val="24"/>
        </w:rPr>
        <w:t>表2</w:t>
      </w:r>
      <w:r>
        <w:rPr>
          <w:rFonts w:hint="eastAsia" w:cs="宋体"/>
          <w:b/>
          <w:color w:val="auto"/>
          <w:sz w:val="24"/>
          <w:lang w:val="en-US" w:eastAsia="zh-CN"/>
        </w:rPr>
        <w:t>6</w:t>
      </w:r>
      <w:r>
        <w:rPr>
          <w:rFonts w:hint="eastAsia" w:cs="宋体"/>
          <w:b/>
          <w:color w:val="auto"/>
          <w:sz w:val="24"/>
        </w:rPr>
        <w:t xml:space="preserve"> 废气污染物排放清单一览表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126"/>
        <w:gridCol w:w="964"/>
        <w:gridCol w:w="735"/>
        <w:gridCol w:w="547"/>
        <w:gridCol w:w="526"/>
        <w:gridCol w:w="741"/>
        <w:gridCol w:w="793"/>
        <w:gridCol w:w="860"/>
        <w:gridCol w:w="2104"/>
        <w:gridCol w:w="597"/>
        <w:gridCol w:w="726"/>
        <w:gridCol w:w="793"/>
        <w:gridCol w:w="901"/>
        <w:gridCol w:w="599"/>
        <w:gridCol w:w="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tcBorders>
              <w:tl2br w:val="nil"/>
              <w:tr2bl w:val="nil"/>
            </w:tcBorders>
            <w:vAlign w:val="center"/>
          </w:tcPr>
          <w:p>
            <w:pPr>
              <w:adjustRightInd w:val="0"/>
              <w:jc w:val="center"/>
              <w:rPr>
                <w:rFonts w:hAnsi="宋体"/>
                <w:color w:val="auto"/>
                <w:sz w:val="15"/>
                <w:szCs w:val="15"/>
              </w:rPr>
            </w:pPr>
            <w:r>
              <w:rPr>
                <w:rFonts w:hint="eastAsia" w:hAnsi="宋体"/>
                <w:color w:val="auto"/>
                <w:sz w:val="15"/>
                <w:szCs w:val="15"/>
              </w:rPr>
              <w:t>工序/生产线</w:t>
            </w:r>
          </w:p>
        </w:tc>
        <w:tc>
          <w:tcPr>
            <w:tcW w:w="0" w:type="auto"/>
            <w:vMerge w:val="restart"/>
            <w:tcBorders>
              <w:tl2br w:val="nil"/>
              <w:tr2bl w:val="nil"/>
            </w:tcBorders>
            <w:vAlign w:val="center"/>
          </w:tcPr>
          <w:p>
            <w:pPr>
              <w:adjustRightInd w:val="0"/>
              <w:jc w:val="center"/>
              <w:rPr>
                <w:rFonts w:hAnsi="宋体"/>
                <w:color w:val="auto"/>
                <w:sz w:val="15"/>
                <w:szCs w:val="15"/>
              </w:rPr>
            </w:pPr>
            <w:r>
              <w:rPr>
                <w:rFonts w:hint="eastAsia" w:hAnsi="宋体"/>
                <w:color w:val="auto"/>
                <w:sz w:val="15"/>
                <w:szCs w:val="15"/>
              </w:rPr>
              <w:t>生产</w:t>
            </w:r>
          </w:p>
          <w:p>
            <w:pPr>
              <w:adjustRightInd w:val="0"/>
              <w:jc w:val="center"/>
              <w:rPr>
                <w:rFonts w:hAnsi="宋体"/>
                <w:color w:val="auto"/>
                <w:sz w:val="15"/>
                <w:szCs w:val="15"/>
              </w:rPr>
            </w:pPr>
            <w:r>
              <w:rPr>
                <w:rFonts w:hint="eastAsia" w:hAnsi="宋体"/>
                <w:color w:val="auto"/>
                <w:sz w:val="15"/>
                <w:szCs w:val="15"/>
              </w:rPr>
              <w:t xml:space="preserve">单元 </w:t>
            </w:r>
          </w:p>
        </w:tc>
        <w:tc>
          <w:tcPr>
            <w:tcW w:w="0" w:type="auto"/>
            <w:vMerge w:val="restart"/>
            <w:tcBorders>
              <w:tl2br w:val="nil"/>
              <w:tr2bl w:val="nil"/>
            </w:tcBorders>
            <w:vAlign w:val="center"/>
          </w:tcPr>
          <w:p>
            <w:pPr>
              <w:adjustRightInd w:val="0"/>
              <w:jc w:val="center"/>
              <w:rPr>
                <w:color w:val="auto"/>
                <w:sz w:val="15"/>
                <w:szCs w:val="15"/>
              </w:rPr>
            </w:pPr>
            <w:r>
              <w:rPr>
                <w:rFonts w:hint="eastAsia" w:hAnsi="宋体"/>
                <w:color w:val="auto"/>
                <w:sz w:val="15"/>
                <w:szCs w:val="15"/>
              </w:rPr>
              <w:t>装置</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排放口编号</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污染物</w:t>
            </w:r>
          </w:p>
        </w:tc>
        <w:tc>
          <w:tcPr>
            <w:tcW w:w="0" w:type="auto"/>
            <w:gridSpan w:val="4"/>
            <w:tcBorders>
              <w:tl2br w:val="nil"/>
              <w:tr2bl w:val="nil"/>
            </w:tcBorders>
            <w:vAlign w:val="center"/>
          </w:tcPr>
          <w:p>
            <w:pPr>
              <w:adjustRightInd w:val="0"/>
              <w:jc w:val="center"/>
              <w:rPr>
                <w:color w:val="auto"/>
                <w:sz w:val="15"/>
                <w:szCs w:val="15"/>
              </w:rPr>
            </w:pPr>
          </w:p>
        </w:tc>
        <w:tc>
          <w:tcPr>
            <w:tcW w:w="2104" w:type="dxa"/>
            <w:tcBorders>
              <w:tl2br w:val="nil"/>
              <w:tr2bl w:val="nil"/>
            </w:tcBorders>
            <w:vAlign w:val="center"/>
          </w:tcPr>
          <w:p>
            <w:pPr>
              <w:adjustRightInd w:val="0"/>
              <w:jc w:val="center"/>
              <w:rPr>
                <w:color w:val="auto"/>
                <w:sz w:val="15"/>
                <w:szCs w:val="15"/>
              </w:rPr>
            </w:pPr>
            <w:r>
              <w:rPr>
                <w:rFonts w:hint="eastAsia"/>
                <w:color w:val="auto"/>
                <w:sz w:val="15"/>
                <w:szCs w:val="15"/>
              </w:rPr>
              <w:t>治理措施</w:t>
            </w:r>
          </w:p>
        </w:tc>
        <w:tc>
          <w:tcPr>
            <w:tcW w:w="3616" w:type="dxa"/>
            <w:gridSpan w:val="5"/>
            <w:tcBorders>
              <w:tl2br w:val="nil"/>
              <w:tr2bl w:val="nil"/>
            </w:tcBorders>
            <w:vAlign w:val="center"/>
          </w:tcPr>
          <w:p>
            <w:pPr>
              <w:adjustRightInd w:val="0"/>
              <w:jc w:val="center"/>
              <w:rPr>
                <w:color w:val="auto"/>
                <w:sz w:val="15"/>
                <w:szCs w:val="15"/>
              </w:rPr>
            </w:pPr>
            <w:r>
              <w:rPr>
                <w:rFonts w:hint="eastAsia"/>
                <w:color w:val="auto"/>
                <w:sz w:val="15"/>
                <w:szCs w:val="15"/>
              </w:rPr>
              <w:t>污染物排放情况</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排放</w:t>
            </w:r>
          </w:p>
          <w:p>
            <w:pPr>
              <w:adjustRightInd w:val="0"/>
              <w:jc w:val="center"/>
              <w:rPr>
                <w:color w:val="auto"/>
                <w:sz w:val="15"/>
                <w:szCs w:val="15"/>
              </w:rPr>
            </w:pPr>
            <w:r>
              <w:rPr>
                <w:rFonts w:hint="eastAsia"/>
                <w:color w:val="auto"/>
                <w:sz w:val="15"/>
                <w:szCs w:val="15"/>
              </w:rPr>
              <w:t>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核算方法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产生</w:t>
            </w:r>
          </w:p>
          <w:p>
            <w:pPr>
              <w:adjustRightInd w:val="0"/>
              <w:jc w:val="center"/>
              <w:rPr>
                <w:color w:val="auto"/>
                <w:sz w:val="15"/>
                <w:szCs w:val="15"/>
              </w:rPr>
            </w:pPr>
            <w:r>
              <w:rPr>
                <w:rFonts w:hint="eastAsia"/>
                <w:color w:val="auto"/>
                <w:sz w:val="15"/>
                <w:szCs w:val="15"/>
              </w:rPr>
              <w:t>废气量(m</w:t>
            </w:r>
            <w:r>
              <w:rPr>
                <w:rFonts w:hint="eastAsia"/>
                <w:color w:val="auto"/>
                <w:sz w:val="15"/>
                <w:szCs w:val="15"/>
                <w:vertAlign w:val="superscript"/>
              </w:rPr>
              <w:t>3</w:t>
            </w:r>
            <w:r>
              <w:rPr>
                <w:rFonts w:hint="eastAsia"/>
                <w:color w:val="auto"/>
                <w:sz w:val="15"/>
                <w:szCs w:val="15"/>
              </w:rPr>
              <w:t>/h)</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产生浓度</w:t>
            </w:r>
          </w:p>
          <w:p>
            <w:pPr>
              <w:adjustRightInd w:val="0"/>
              <w:jc w:val="center"/>
              <w:rPr>
                <w:color w:val="auto"/>
                <w:sz w:val="15"/>
                <w:szCs w:val="15"/>
                <w:vertAlign w:val="superscript"/>
              </w:rPr>
            </w:pPr>
            <w:r>
              <w:rPr>
                <w:rFonts w:hint="eastAsia"/>
                <w:color w:val="auto"/>
                <w:sz w:val="15"/>
                <w:szCs w:val="15"/>
              </w:rPr>
              <w:t>mg/m</w:t>
            </w:r>
            <w:r>
              <w:rPr>
                <w:rFonts w:hint="eastAsia"/>
                <w:color w:val="auto"/>
                <w:sz w:val="15"/>
                <w:szCs w:val="15"/>
                <w:vertAlign w:val="superscript"/>
              </w:rPr>
              <w:t>3</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产生量</w:t>
            </w:r>
          </w:p>
          <w:p>
            <w:pPr>
              <w:adjustRightInd w:val="0"/>
              <w:jc w:val="center"/>
              <w:rPr>
                <w:color w:val="auto"/>
                <w:sz w:val="15"/>
                <w:szCs w:val="15"/>
              </w:rPr>
            </w:pPr>
            <w:r>
              <w:rPr>
                <w:rFonts w:hint="eastAsia"/>
                <w:color w:val="auto"/>
                <w:sz w:val="15"/>
                <w:szCs w:val="15"/>
              </w:rPr>
              <w:t>Kg/h</w:t>
            </w:r>
          </w:p>
        </w:tc>
        <w:tc>
          <w:tcPr>
            <w:tcW w:w="2104" w:type="dxa"/>
            <w:tcBorders>
              <w:tl2br w:val="nil"/>
              <w:tr2bl w:val="nil"/>
            </w:tcBorders>
            <w:vAlign w:val="center"/>
          </w:tcPr>
          <w:p>
            <w:pPr>
              <w:adjustRightInd w:val="0"/>
              <w:jc w:val="center"/>
              <w:rPr>
                <w:color w:val="auto"/>
                <w:sz w:val="15"/>
                <w:szCs w:val="15"/>
              </w:rPr>
            </w:pPr>
            <w:r>
              <w:rPr>
                <w:rFonts w:hint="eastAsia"/>
                <w:color w:val="auto"/>
                <w:sz w:val="15"/>
                <w:szCs w:val="15"/>
              </w:rPr>
              <w:t>工艺</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核算方案</w:t>
            </w: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排放废气量(m</w:t>
            </w:r>
            <w:r>
              <w:rPr>
                <w:rFonts w:hint="eastAsia"/>
                <w:color w:val="auto"/>
                <w:sz w:val="15"/>
                <w:szCs w:val="15"/>
                <w:vertAlign w:val="superscript"/>
              </w:rPr>
              <w:t>3</w:t>
            </w:r>
            <w:r>
              <w:rPr>
                <w:rFonts w:hint="eastAsia"/>
                <w:color w:val="auto"/>
                <w:sz w:val="15"/>
                <w:szCs w:val="15"/>
              </w:rPr>
              <w:t>/h)</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排放浓度</w:t>
            </w:r>
          </w:p>
          <w:p>
            <w:pPr>
              <w:adjustRightInd w:val="0"/>
              <w:jc w:val="center"/>
              <w:rPr>
                <w:color w:val="auto"/>
                <w:sz w:val="15"/>
                <w:szCs w:val="15"/>
              </w:rPr>
            </w:pPr>
            <w:r>
              <w:rPr>
                <w:rFonts w:hint="eastAsia"/>
                <w:color w:val="auto"/>
                <w:sz w:val="15"/>
                <w:szCs w:val="15"/>
              </w:rPr>
              <w:t>mg/m</w:t>
            </w:r>
            <w:r>
              <w:rPr>
                <w:rFonts w:hint="eastAsia"/>
                <w:color w:val="auto"/>
                <w:sz w:val="15"/>
                <w:szCs w:val="15"/>
                <w:vertAlign w:val="superscript"/>
              </w:rPr>
              <w:t>3</w:t>
            </w:r>
          </w:p>
        </w:tc>
        <w:tc>
          <w:tcPr>
            <w:tcW w:w="901" w:type="dxa"/>
            <w:tcBorders>
              <w:tl2br w:val="nil"/>
              <w:tr2bl w:val="nil"/>
            </w:tcBorders>
            <w:vAlign w:val="center"/>
          </w:tcPr>
          <w:p>
            <w:pPr>
              <w:adjustRightInd w:val="0"/>
              <w:jc w:val="center"/>
              <w:rPr>
                <w:color w:val="auto"/>
                <w:sz w:val="15"/>
                <w:szCs w:val="15"/>
              </w:rPr>
            </w:pPr>
            <w:r>
              <w:rPr>
                <w:rFonts w:hint="eastAsia"/>
                <w:color w:val="auto"/>
                <w:sz w:val="15"/>
                <w:szCs w:val="15"/>
              </w:rPr>
              <w:t>排放量</w:t>
            </w:r>
          </w:p>
          <w:p>
            <w:pPr>
              <w:adjustRightInd w:val="0"/>
              <w:jc w:val="center"/>
              <w:rPr>
                <w:color w:val="auto"/>
                <w:sz w:val="15"/>
                <w:szCs w:val="15"/>
              </w:rPr>
            </w:pPr>
            <w:r>
              <w:rPr>
                <w:rFonts w:hint="eastAsia"/>
                <w:color w:val="auto"/>
                <w:sz w:val="15"/>
                <w:szCs w:val="15"/>
              </w:rPr>
              <w:t>kg/h</w:t>
            </w:r>
          </w:p>
        </w:tc>
        <w:tc>
          <w:tcPr>
            <w:tcW w:w="599" w:type="dxa"/>
            <w:tcBorders>
              <w:tl2br w:val="nil"/>
              <w:tr2bl w:val="nil"/>
            </w:tcBorders>
            <w:vAlign w:val="center"/>
          </w:tcPr>
          <w:p>
            <w:pPr>
              <w:adjustRightInd w:val="0"/>
              <w:jc w:val="center"/>
              <w:rPr>
                <w:color w:val="auto"/>
                <w:sz w:val="15"/>
                <w:szCs w:val="15"/>
              </w:rPr>
            </w:pPr>
            <w:r>
              <w:rPr>
                <w:rFonts w:hint="eastAsia"/>
                <w:color w:val="auto"/>
                <w:sz w:val="15"/>
                <w:szCs w:val="15"/>
              </w:rPr>
              <w:t>排放量</w:t>
            </w:r>
          </w:p>
          <w:p>
            <w:pPr>
              <w:adjustRightInd w:val="0"/>
              <w:jc w:val="center"/>
              <w:rPr>
                <w:color w:val="auto"/>
                <w:sz w:val="15"/>
                <w:szCs w:val="15"/>
              </w:rPr>
            </w:pPr>
            <w:r>
              <w:rPr>
                <w:rFonts w:hint="eastAsia"/>
                <w:color w:val="auto"/>
                <w:sz w:val="15"/>
                <w:szCs w:val="15"/>
              </w:rPr>
              <w:t>t/a</w:t>
            </w:r>
          </w:p>
        </w:tc>
        <w:tc>
          <w:tcPr>
            <w:tcW w:w="0" w:type="auto"/>
            <w:vMerge w:val="continue"/>
            <w:tcBorders>
              <w:tl2br w:val="nil"/>
              <w:tr2bl w:val="nil"/>
            </w:tcBorders>
            <w:vAlign w:val="center"/>
          </w:tcPr>
          <w:p>
            <w:pPr>
              <w:adjustRightInd w:val="0"/>
              <w:jc w:val="center"/>
              <w:rPr>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原料</w:t>
            </w:r>
          </w:p>
          <w:p>
            <w:pPr>
              <w:adjustRightInd w:val="0"/>
              <w:jc w:val="center"/>
              <w:rPr>
                <w:color w:val="auto"/>
                <w:sz w:val="15"/>
                <w:szCs w:val="15"/>
              </w:rPr>
            </w:pPr>
            <w:r>
              <w:rPr>
                <w:rFonts w:hint="eastAsia"/>
                <w:color w:val="auto"/>
                <w:sz w:val="15"/>
                <w:szCs w:val="15"/>
              </w:rPr>
              <w:t>转运站</w:t>
            </w:r>
          </w:p>
          <w:p>
            <w:pPr>
              <w:adjustRightInd w:val="0"/>
              <w:jc w:val="center"/>
              <w:rPr>
                <w:b/>
                <w:bCs/>
                <w:color w:val="auto"/>
                <w:sz w:val="15"/>
                <w:szCs w:val="15"/>
              </w:rPr>
            </w:pPr>
            <w:r>
              <w:rPr>
                <w:rFonts w:hint="eastAsia"/>
                <w:b/>
                <w:bCs/>
                <w:color w:val="auto"/>
                <w:sz w:val="15"/>
                <w:szCs w:val="15"/>
              </w:rPr>
              <w:t>（二期</w:t>
            </w:r>
          </w:p>
          <w:p>
            <w:pPr>
              <w:adjustRightInd w:val="0"/>
              <w:jc w:val="center"/>
              <w:rPr>
                <w:color w:val="auto"/>
                <w:sz w:val="15"/>
                <w:szCs w:val="15"/>
              </w:rPr>
            </w:pPr>
            <w:r>
              <w:rPr>
                <w:rFonts w:hint="eastAsia"/>
                <w:b/>
                <w:bCs/>
                <w:color w:val="auto"/>
                <w:sz w:val="15"/>
                <w:szCs w:val="15"/>
              </w:rPr>
              <w:t>工程）</w:t>
            </w:r>
          </w:p>
        </w:tc>
        <w:tc>
          <w:tcPr>
            <w:tcW w:w="0" w:type="auto"/>
            <w:tcBorders>
              <w:tl2br w:val="nil"/>
              <w:tr2bl w:val="nil"/>
            </w:tcBorders>
            <w:vAlign w:val="center"/>
          </w:tcPr>
          <w:p>
            <w:pPr>
              <w:jc w:val="center"/>
              <w:rPr>
                <w:color w:val="auto"/>
                <w:sz w:val="15"/>
                <w:szCs w:val="15"/>
              </w:rPr>
            </w:pPr>
            <w:r>
              <w:rPr>
                <w:rFonts w:hint="eastAsia"/>
                <w:color w:val="auto"/>
                <w:sz w:val="15"/>
                <w:szCs w:val="15"/>
              </w:rPr>
              <w:t>原料</w:t>
            </w:r>
          </w:p>
          <w:p>
            <w:pPr>
              <w:jc w:val="center"/>
              <w:rPr>
                <w:color w:val="auto"/>
                <w:sz w:val="15"/>
                <w:szCs w:val="15"/>
              </w:rPr>
            </w:pPr>
            <w:r>
              <w:rPr>
                <w:rFonts w:hint="eastAsia"/>
                <w:color w:val="auto"/>
                <w:sz w:val="15"/>
                <w:szCs w:val="15"/>
              </w:rPr>
              <w:t>处理</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斗提、皮带、破碎机及料仓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pacing w:val="4"/>
                <w:sz w:val="15"/>
                <w:szCs w:val="15"/>
              </w:rPr>
            </w:pPr>
            <w:r>
              <w:rPr>
                <w:rFonts w:hint="eastAsia"/>
                <w:color w:val="auto"/>
                <w:spacing w:val="4"/>
                <w:sz w:val="15"/>
                <w:szCs w:val="15"/>
              </w:rPr>
              <w:t>18500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74</w:t>
            </w:r>
          </w:p>
        </w:tc>
        <w:tc>
          <w:tcPr>
            <w:tcW w:w="2104" w:type="dxa"/>
            <w:tcBorders>
              <w:tl2br w:val="nil"/>
              <w:tr2bl w:val="nil"/>
            </w:tcBorders>
            <w:vAlign w:val="center"/>
          </w:tcPr>
          <w:p>
            <w:pPr>
              <w:adjustRightInd w:val="0"/>
              <w:jc w:val="center"/>
              <w:rPr>
                <w:rFonts w:hint="eastAsia"/>
                <w:color w:val="auto"/>
                <w:sz w:val="15"/>
                <w:szCs w:val="15"/>
              </w:rPr>
            </w:pPr>
            <w:r>
              <w:rPr>
                <w:rFonts w:hint="eastAsia"/>
                <w:color w:val="auto"/>
                <w:sz w:val="15"/>
                <w:szCs w:val="15"/>
              </w:rPr>
              <w:t>集尘罩+布袋除尘器</w:t>
            </w:r>
          </w:p>
          <w:p>
            <w:pPr>
              <w:adjustRightInd w:val="0"/>
              <w:jc w:val="center"/>
              <w:rPr>
                <w:rFonts w:hint="default" w:eastAsia="宋体"/>
                <w:color w:val="auto"/>
                <w:lang w:val="en-US" w:eastAsia="zh-CN"/>
              </w:rPr>
            </w:pPr>
            <w:r>
              <w:rPr>
                <w:rFonts w:hint="eastAsia"/>
                <w:color w:val="auto"/>
                <w:sz w:val="15"/>
                <w:szCs w:val="15"/>
                <w:lang w:val="en-US" w:eastAsia="zh-CN"/>
              </w:rPr>
              <w:t>过滤面积，520m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18500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0.185</w:t>
            </w:r>
          </w:p>
        </w:tc>
        <w:tc>
          <w:tcPr>
            <w:tcW w:w="599" w:type="dxa"/>
            <w:tcBorders>
              <w:tl2br w:val="nil"/>
              <w:tr2bl w:val="nil"/>
            </w:tcBorders>
            <w:vAlign w:val="center"/>
          </w:tcPr>
          <w:p>
            <w:pPr>
              <w:jc w:val="center"/>
              <w:rPr>
                <w:color w:val="auto"/>
                <w:sz w:val="15"/>
                <w:szCs w:val="15"/>
              </w:rPr>
            </w:pPr>
            <w:r>
              <w:rPr>
                <w:rFonts w:hint="eastAsia"/>
                <w:color w:val="auto"/>
                <w:sz w:val="15"/>
                <w:szCs w:val="15"/>
              </w:rPr>
              <w:t>0.777</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石油焦和针状焦投料/料仓/输送</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斗提机及皮带</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DA002</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pacing w:val="4"/>
                <w:sz w:val="15"/>
                <w:szCs w:val="15"/>
              </w:rPr>
            </w:pPr>
            <w:r>
              <w:rPr>
                <w:rFonts w:hint="eastAsia"/>
                <w:color w:val="auto"/>
                <w:spacing w:val="4"/>
                <w:sz w:val="15"/>
                <w:szCs w:val="15"/>
              </w:rPr>
              <w:t>15500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15.5</w:t>
            </w:r>
          </w:p>
        </w:tc>
        <w:tc>
          <w:tcPr>
            <w:tcW w:w="2104" w:type="dxa"/>
            <w:vMerge w:val="restart"/>
            <w:tcBorders>
              <w:tl2br w:val="nil"/>
              <w:tr2bl w:val="nil"/>
            </w:tcBorders>
            <w:vAlign w:val="center"/>
          </w:tcPr>
          <w:p>
            <w:pPr>
              <w:adjustRightInd w:val="0"/>
              <w:jc w:val="center"/>
              <w:rPr>
                <w:rFonts w:hint="eastAsia" w:eastAsia="宋体"/>
                <w:color w:val="auto"/>
                <w:sz w:val="15"/>
                <w:szCs w:val="15"/>
                <w:lang w:eastAsia="zh-CN"/>
              </w:rPr>
            </w:pPr>
            <w:r>
              <w:rPr>
                <w:rFonts w:hint="eastAsia"/>
                <w:color w:val="auto"/>
                <w:sz w:val="15"/>
                <w:szCs w:val="15"/>
              </w:rPr>
              <w:t>集气罩+布袋除尘器</w:t>
            </w:r>
            <w:r>
              <w:rPr>
                <w:rFonts w:hint="eastAsia"/>
                <w:color w:val="auto"/>
                <w:sz w:val="15"/>
                <w:szCs w:val="15"/>
                <w:lang w:eastAsia="zh-CN"/>
              </w:rPr>
              <w:t>；</w:t>
            </w:r>
            <w:r>
              <w:rPr>
                <w:rFonts w:hint="eastAsia"/>
                <w:color w:val="auto"/>
                <w:sz w:val="15"/>
                <w:szCs w:val="15"/>
                <w:lang w:val="en-US" w:eastAsia="zh-CN"/>
              </w:rPr>
              <w:t>覆膜滤料；过滤风速≤0.6m/min</w:t>
            </w:r>
          </w:p>
        </w:tc>
        <w:tc>
          <w:tcPr>
            <w:tcW w:w="597"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adjustRightInd w:val="0"/>
              <w:jc w:val="center"/>
              <w:rPr>
                <w:color w:val="auto"/>
                <w:sz w:val="15"/>
                <w:szCs w:val="15"/>
              </w:rPr>
            </w:pPr>
            <w:r>
              <w:rPr>
                <w:rFonts w:hint="eastAsia"/>
                <w:color w:val="auto"/>
                <w:spacing w:val="4"/>
                <w:sz w:val="15"/>
                <w:szCs w:val="15"/>
              </w:rPr>
              <w:t>15500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0.155</w:t>
            </w:r>
          </w:p>
        </w:tc>
        <w:tc>
          <w:tcPr>
            <w:tcW w:w="599" w:type="dxa"/>
            <w:tcBorders>
              <w:tl2br w:val="nil"/>
              <w:tr2bl w:val="nil"/>
            </w:tcBorders>
            <w:vAlign w:val="center"/>
          </w:tcPr>
          <w:p>
            <w:pPr>
              <w:jc w:val="center"/>
              <w:rPr>
                <w:color w:val="auto"/>
                <w:sz w:val="15"/>
                <w:szCs w:val="15"/>
              </w:rPr>
            </w:pPr>
            <w:r>
              <w:rPr>
                <w:rFonts w:hint="eastAsia"/>
                <w:color w:val="auto"/>
                <w:sz w:val="15"/>
                <w:szCs w:val="15"/>
              </w:rPr>
              <w:t>0.651</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DA003</w:t>
            </w:r>
          </w:p>
        </w:tc>
        <w:tc>
          <w:tcPr>
            <w:tcW w:w="0" w:type="auto"/>
            <w:vMerge w:val="continue"/>
            <w:tcBorders>
              <w:tl2br w:val="nil"/>
              <w:tr2bl w:val="nil"/>
            </w:tcBorders>
            <w:vAlign w:val="center"/>
          </w:tcPr>
          <w:p>
            <w:pPr>
              <w:adjustRightInd w:val="0"/>
              <w:jc w:val="center"/>
              <w:rPr>
                <w:color w:val="auto"/>
                <w:sz w:val="15"/>
                <w:szCs w:val="15"/>
              </w:rPr>
            </w:pPr>
          </w:p>
        </w:tc>
        <w:tc>
          <w:tcPr>
            <w:tcW w:w="526" w:type="dxa"/>
            <w:vMerge w:val="continue"/>
            <w:tcBorders>
              <w:tl2br w:val="nil"/>
              <w:tr2bl w:val="nil"/>
            </w:tcBorders>
            <w:vAlign w:val="center"/>
          </w:tcPr>
          <w:p>
            <w:pPr>
              <w:adjustRightInd w:val="0"/>
              <w:jc w:val="center"/>
              <w:rPr>
                <w:color w:val="auto"/>
                <w:sz w:val="15"/>
                <w:szCs w:val="15"/>
              </w:rPr>
            </w:pP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18000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18</w:t>
            </w:r>
          </w:p>
        </w:tc>
        <w:tc>
          <w:tcPr>
            <w:tcW w:w="2104" w:type="dxa"/>
            <w:vMerge w:val="continue"/>
            <w:tcBorders>
              <w:tl2br w:val="nil"/>
              <w:tr2bl w:val="nil"/>
            </w:tcBorders>
            <w:vAlign w:val="center"/>
          </w:tcPr>
          <w:p>
            <w:pPr>
              <w:adjustRightInd w:val="0"/>
              <w:jc w:val="center"/>
              <w:rPr>
                <w:color w:val="auto"/>
                <w:sz w:val="15"/>
                <w:szCs w:val="15"/>
              </w:rPr>
            </w:pPr>
          </w:p>
        </w:tc>
        <w:tc>
          <w:tcPr>
            <w:tcW w:w="597" w:type="dxa"/>
            <w:vMerge w:val="continue"/>
            <w:tcBorders>
              <w:tl2br w:val="nil"/>
              <w:tr2bl w:val="nil"/>
            </w:tcBorders>
            <w:vAlign w:val="center"/>
          </w:tcPr>
          <w:p>
            <w:pPr>
              <w:adjustRightInd w:val="0"/>
              <w:jc w:val="center"/>
              <w:rPr>
                <w:color w:val="auto"/>
                <w:sz w:val="15"/>
                <w:szCs w:val="15"/>
              </w:rPr>
            </w:pP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18000</w:t>
            </w:r>
          </w:p>
        </w:tc>
        <w:tc>
          <w:tcPr>
            <w:tcW w:w="0" w:type="auto"/>
            <w:tcBorders>
              <w:tl2br w:val="nil"/>
              <w:tr2bl w:val="nil"/>
            </w:tcBorders>
            <w:vAlign w:val="center"/>
          </w:tcPr>
          <w:p>
            <w:pPr>
              <w:jc w:val="center"/>
              <w:rPr>
                <w:color w:val="auto"/>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0.180</w:t>
            </w:r>
          </w:p>
        </w:tc>
        <w:tc>
          <w:tcPr>
            <w:tcW w:w="599" w:type="dxa"/>
            <w:tcBorders>
              <w:tl2br w:val="nil"/>
              <w:tr2bl w:val="nil"/>
            </w:tcBorders>
            <w:vAlign w:val="center"/>
          </w:tcPr>
          <w:p>
            <w:pPr>
              <w:jc w:val="center"/>
              <w:rPr>
                <w:color w:val="auto"/>
                <w:sz w:val="15"/>
                <w:szCs w:val="15"/>
              </w:rPr>
            </w:pPr>
            <w:r>
              <w:rPr>
                <w:rFonts w:hint="eastAsia"/>
                <w:color w:val="auto"/>
                <w:sz w:val="15"/>
                <w:szCs w:val="15"/>
              </w:rPr>
              <w:t>0.756</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DA004</w:t>
            </w:r>
          </w:p>
        </w:tc>
        <w:tc>
          <w:tcPr>
            <w:tcW w:w="0" w:type="auto"/>
            <w:vMerge w:val="continue"/>
            <w:tcBorders>
              <w:tl2br w:val="nil"/>
              <w:tr2bl w:val="nil"/>
            </w:tcBorders>
            <w:vAlign w:val="center"/>
          </w:tcPr>
          <w:p>
            <w:pPr>
              <w:adjustRightInd w:val="0"/>
              <w:jc w:val="center"/>
              <w:rPr>
                <w:color w:val="auto"/>
                <w:sz w:val="15"/>
                <w:szCs w:val="15"/>
              </w:rPr>
            </w:pPr>
          </w:p>
        </w:tc>
        <w:tc>
          <w:tcPr>
            <w:tcW w:w="526" w:type="dxa"/>
            <w:vMerge w:val="continue"/>
            <w:tcBorders>
              <w:tl2br w:val="nil"/>
              <w:tr2bl w:val="nil"/>
            </w:tcBorders>
            <w:vAlign w:val="center"/>
          </w:tcPr>
          <w:p>
            <w:pPr>
              <w:adjustRightInd w:val="0"/>
              <w:jc w:val="center"/>
              <w:rPr>
                <w:color w:val="auto"/>
                <w:sz w:val="15"/>
                <w:szCs w:val="15"/>
              </w:rPr>
            </w:pP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18000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18</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vMerge w:val="continue"/>
            <w:tcBorders>
              <w:tl2br w:val="nil"/>
              <w:tr2bl w:val="nil"/>
            </w:tcBorders>
            <w:vAlign w:val="center"/>
          </w:tcPr>
          <w:p>
            <w:pPr>
              <w:adjustRightInd w:val="0"/>
              <w:jc w:val="center"/>
              <w:rPr>
                <w:color w:val="auto"/>
                <w:sz w:val="15"/>
                <w:szCs w:val="15"/>
              </w:rPr>
            </w:pP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18000</w:t>
            </w:r>
          </w:p>
        </w:tc>
        <w:tc>
          <w:tcPr>
            <w:tcW w:w="0" w:type="auto"/>
            <w:tcBorders>
              <w:tl2br w:val="nil"/>
              <w:tr2bl w:val="nil"/>
            </w:tcBorders>
            <w:vAlign w:val="center"/>
          </w:tcPr>
          <w:p>
            <w:pPr>
              <w:jc w:val="center"/>
              <w:rPr>
                <w:color w:val="auto"/>
                <w:sz w:val="15"/>
                <w:szCs w:val="15"/>
              </w:rPr>
            </w:pPr>
            <w:r>
              <w:rPr>
                <w:rFonts w:hint="eastAsia"/>
                <w:color w:val="auto"/>
                <w:spacing w:val="4"/>
                <w:sz w:val="15"/>
                <w:szCs w:val="15"/>
              </w:rPr>
              <w:t>10</w:t>
            </w:r>
          </w:p>
        </w:tc>
        <w:tc>
          <w:tcPr>
            <w:tcW w:w="901" w:type="dxa"/>
            <w:tcBorders>
              <w:tl2br w:val="nil"/>
              <w:tr2bl w:val="nil"/>
            </w:tcBorders>
            <w:vAlign w:val="center"/>
          </w:tcPr>
          <w:p>
            <w:pPr>
              <w:jc w:val="center"/>
              <w:rPr>
                <w:rFonts w:hAnsi="宋体"/>
                <w:color w:val="auto"/>
                <w:sz w:val="15"/>
                <w:szCs w:val="15"/>
              </w:rPr>
            </w:pPr>
            <w:r>
              <w:rPr>
                <w:rFonts w:hint="eastAsia" w:hAnsi="宋体"/>
                <w:color w:val="auto"/>
                <w:sz w:val="15"/>
                <w:szCs w:val="15"/>
              </w:rPr>
              <w:t>0.180</w:t>
            </w:r>
          </w:p>
        </w:tc>
        <w:tc>
          <w:tcPr>
            <w:tcW w:w="599" w:type="dxa"/>
            <w:tcBorders>
              <w:tl2br w:val="nil"/>
              <w:tr2bl w:val="nil"/>
            </w:tcBorders>
            <w:vAlign w:val="center"/>
          </w:tcPr>
          <w:p>
            <w:pPr>
              <w:jc w:val="center"/>
              <w:rPr>
                <w:color w:val="auto"/>
                <w:sz w:val="15"/>
                <w:szCs w:val="15"/>
              </w:rPr>
            </w:pPr>
            <w:r>
              <w:rPr>
                <w:rFonts w:hint="eastAsia"/>
                <w:color w:val="auto"/>
                <w:sz w:val="15"/>
                <w:szCs w:val="15"/>
              </w:rPr>
              <w:t>0.756</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DA005</w:t>
            </w:r>
          </w:p>
        </w:tc>
        <w:tc>
          <w:tcPr>
            <w:tcW w:w="0" w:type="auto"/>
            <w:vMerge w:val="continue"/>
            <w:tcBorders>
              <w:tl2br w:val="nil"/>
              <w:tr2bl w:val="nil"/>
            </w:tcBorders>
            <w:vAlign w:val="center"/>
          </w:tcPr>
          <w:p>
            <w:pPr>
              <w:adjustRightInd w:val="0"/>
              <w:jc w:val="center"/>
              <w:rPr>
                <w:color w:val="auto"/>
                <w:sz w:val="15"/>
                <w:szCs w:val="15"/>
              </w:rPr>
            </w:pPr>
          </w:p>
        </w:tc>
        <w:tc>
          <w:tcPr>
            <w:tcW w:w="526" w:type="dxa"/>
            <w:vMerge w:val="continue"/>
            <w:tcBorders>
              <w:tl2br w:val="nil"/>
              <w:tr2bl w:val="nil"/>
            </w:tcBorders>
            <w:vAlign w:val="center"/>
          </w:tcPr>
          <w:p>
            <w:pPr>
              <w:adjustRightInd w:val="0"/>
              <w:jc w:val="center"/>
              <w:rPr>
                <w:color w:val="auto"/>
                <w:sz w:val="15"/>
                <w:szCs w:val="15"/>
              </w:rPr>
            </w:pP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18500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18.5</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vMerge w:val="continue"/>
            <w:tcBorders>
              <w:tl2br w:val="nil"/>
              <w:tr2bl w:val="nil"/>
            </w:tcBorders>
            <w:vAlign w:val="center"/>
          </w:tcPr>
          <w:p>
            <w:pPr>
              <w:adjustRightInd w:val="0"/>
              <w:jc w:val="center"/>
              <w:rPr>
                <w:color w:val="auto"/>
                <w:sz w:val="15"/>
                <w:szCs w:val="15"/>
              </w:rPr>
            </w:pP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18500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0.185</w:t>
            </w:r>
          </w:p>
        </w:tc>
        <w:tc>
          <w:tcPr>
            <w:tcW w:w="599" w:type="dxa"/>
            <w:tcBorders>
              <w:tl2br w:val="nil"/>
              <w:tr2bl w:val="nil"/>
            </w:tcBorders>
            <w:vAlign w:val="center"/>
          </w:tcPr>
          <w:p>
            <w:pPr>
              <w:jc w:val="center"/>
              <w:rPr>
                <w:color w:val="auto"/>
                <w:sz w:val="15"/>
                <w:szCs w:val="15"/>
              </w:rPr>
            </w:pPr>
            <w:r>
              <w:rPr>
                <w:rFonts w:hint="eastAsia"/>
                <w:color w:val="auto"/>
                <w:sz w:val="15"/>
                <w:szCs w:val="15"/>
              </w:rPr>
              <w:t>0.777</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DA006</w:t>
            </w:r>
          </w:p>
        </w:tc>
        <w:tc>
          <w:tcPr>
            <w:tcW w:w="0" w:type="auto"/>
            <w:vMerge w:val="continue"/>
            <w:tcBorders>
              <w:tl2br w:val="nil"/>
              <w:tr2bl w:val="nil"/>
            </w:tcBorders>
            <w:vAlign w:val="center"/>
          </w:tcPr>
          <w:p>
            <w:pPr>
              <w:adjustRightInd w:val="0"/>
              <w:jc w:val="center"/>
              <w:rPr>
                <w:color w:val="auto"/>
                <w:sz w:val="15"/>
                <w:szCs w:val="15"/>
              </w:rPr>
            </w:pPr>
          </w:p>
        </w:tc>
        <w:tc>
          <w:tcPr>
            <w:tcW w:w="526" w:type="dxa"/>
            <w:vMerge w:val="continue"/>
            <w:tcBorders>
              <w:tl2br w:val="nil"/>
              <w:tr2bl w:val="nil"/>
            </w:tcBorders>
            <w:vAlign w:val="center"/>
          </w:tcPr>
          <w:p>
            <w:pPr>
              <w:adjustRightInd w:val="0"/>
              <w:jc w:val="center"/>
              <w:rPr>
                <w:color w:val="auto"/>
                <w:sz w:val="15"/>
                <w:szCs w:val="15"/>
              </w:rPr>
            </w:pP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35000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35</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vMerge w:val="continue"/>
            <w:tcBorders>
              <w:tl2br w:val="nil"/>
              <w:tr2bl w:val="nil"/>
            </w:tcBorders>
            <w:vAlign w:val="center"/>
          </w:tcPr>
          <w:p>
            <w:pPr>
              <w:adjustRightInd w:val="0"/>
              <w:jc w:val="center"/>
              <w:rPr>
                <w:color w:val="auto"/>
                <w:sz w:val="15"/>
                <w:szCs w:val="15"/>
              </w:rPr>
            </w:pP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35000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0.350</w:t>
            </w:r>
          </w:p>
        </w:tc>
        <w:tc>
          <w:tcPr>
            <w:tcW w:w="599" w:type="dxa"/>
            <w:tcBorders>
              <w:tl2br w:val="nil"/>
              <w:tr2bl w:val="nil"/>
            </w:tcBorders>
            <w:vAlign w:val="center"/>
          </w:tcPr>
          <w:p>
            <w:pPr>
              <w:jc w:val="center"/>
              <w:rPr>
                <w:color w:val="auto"/>
                <w:sz w:val="15"/>
                <w:szCs w:val="15"/>
              </w:rPr>
            </w:pPr>
            <w:r>
              <w:rPr>
                <w:rFonts w:hint="eastAsia"/>
                <w:color w:val="auto"/>
                <w:sz w:val="15"/>
                <w:szCs w:val="15"/>
              </w:rPr>
              <w:t>1.470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DA007</w:t>
            </w:r>
          </w:p>
        </w:tc>
        <w:tc>
          <w:tcPr>
            <w:tcW w:w="0" w:type="auto"/>
            <w:vMerge w:val="continue"/>
            <w:tcBorders>
              <w:tl2br w:val="nil"/>
              <w:tr2bl w:val="nil"/>
            </w:tcBorders>
            <w:vAlign w:val="center"/>
          </w:tcPr>
          <w:p>
            <w:pPr>
              <w:adjustRightInd w:val="0"/>
              <w:jc w:val="center"/>
              <w:rPr>
                <w:color w:val="auto"/>
                <w:sz w:val="15"/>
                <w:szCs w:val="15"/>
              </w:rPr>
            </w:pPr>
          </w:p>
        </w:tc>
        <w:tc>
          <w:tcPr>
            <w:tcW w:w="526" w:type="dxa"/>
            <w:vMerge w:val="continue"/>
            <w:tcBorders>
              <w:tl2br w:val="nil"/>
              <w:tr2bl w:val="nil"/>
            </w:tcBorders>
            <w:vAlign w:val="center"/>
          </w:tcPr>
          <w:p>
            <w:pPr>
              <w:adjustRightInd w:val="0"/>
              <w:jc w:val="center"/>
              <w:rPr>
                <w:color w:val="auto"/>
                <w:sz w:val="15"/>
                <w:szCs w:val="15"/>
              </w:rPr>
            </w:pP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5000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5</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vMerge w:val="continue"/>
            <w:tcBorders>
              <w:tl2br w:val="nil"/>
              <w:tr2bl w:val="nil"/>
            </w:tcBorders>
            <w:vAlign w:val="center"/>
          </w:tcPr>
          <w:p>
            <w:pPr>
              <w:adjustRightInd w:val="0"/>
              <w:jc w:val="center"/>
              <w:rPr>
                <w:color w:val="auto"/>
                <w:sz w:val="15"/>
                <w:szCs w:val="15"/>
              </w:rPr>
            </w:pP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5000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0.050</w:t>
            </w:r>
          </w:p>
        </w:tc>
        <w:tc>
          <w:tcPr>
            <w:tcW w:w="599" w:type="dxa"/>
            <w:tcBorders>
              <w:tl2br w:val="nil"/>
              <w:tr2bl w:val="nil"/>
            </w:tcBorders>
            <w:vAlign w:val="center"/>
          </w:tcPr>
          <w:p>
            <w:pPr>
              <w:jc w:val="center"/>
              <w:rPr>
                <w:color w:val="auto"/>
                <w:sz w:val="15"/>
                <w:szCs w:val="15"/>
              </w:rPr>
            </w:pPr>
            <w:r>
              <w:rPr>
                <w:rFonts w:hint="eastAsia"/>
                <w:color w:val="auto"/>
                <w:sz w:val="15"/>
                <w:szCs w:val="15"/>
              </w:rPr>
              <w:t>0.210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restart"/>
            <w:tcBorders>
              <w:tl2br w:val="nil"/>
              <w:tr2bl w:val="nil"/>
            </w:tcBorders>
            <w:vAlign w:val="center"/>
          </w:tcPr>
          <w:p>
            <w:pPr>
              <w:jc w:val="center"/>
              <w:rPr>
                <w:rFonts w:hint="eastAsia"/>
                <w:color w:val="auto"/>
                <w:sz w:val="15"/>
                <w:szCs w:val="15"/>
              </w:rPr>
            </w:pPr>
            <w:r>
              <w:rPr>
                <w:rFonts w:hint="eastAsia"/>
                <w:color w:val="auto"/>
                <w:sz w:val="15"/>
                <w:szCs w:val="15"/>
              </w:rPr>
              <w:t>返回料处理</w:t>
            </w:r>
          </w:p>
          <w:p>
            <w:pPr>
              <w:jc w:val="center"/>
              <w:rPr>
                <w:color w:val="auto"/>
                <w:sz w:val="15"/>
                <w:szCs w:val="15"/>
              </w:rPr>
            </w:pPr>
            <w:r>
              <w:rPr>
                <w:rFonts w:hint="eastAsia"/>
                <w:color w:val="auto"/>
                <w:sz w:val="15"/>
                <w:szCs w:val="15"/>
              </w:rPr>
              <w:t>系统</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破碎机及输送机</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DA008</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21000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84</w:t>
            </w:r>
          </w:p>
        </w:tc>
        <w:tc>
          <w:tcPr>
            <w:tcW w:w="2104" w:type="dxa"/>
            <w:vMerge w:val="restart"/>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color w:val="auto"/>
                <w:sz w:val="15"/>
                <w:szCs w:val="15"/>
              </w:rPr>
              <w:t>集气罩+布袋除尘器</w:t>
            </w:r>
            <w:r>
              <w:rPr>
                <w:rFonts w:hint="eastAsia"/>
                <w:color w:val="auto"/>
                <w:sz w:val="15"/>
                <w:szCs w:val="15"/>
                <w:lang w:eastAsia="zh-CN"/>
              </w:rPr>
              <w:t>；</w:t>
            </w:r>
            <w:r>
              <w:rPr>
                <w:rFonts w:hint="eastAsia"/>
                <w:color w:val="auto"/>
                <w:sz w:val="15"/>
                <w:szCs w:val="15"/>
                <w:lang w:val="en-US" w:eastAsia="zh-CN"/>
              </w:rPr>
              <w:t>覆膜滤料；过滤风速≤0.6m/min</w:t>
            </w:r>
          </w:p>
        </w:tc>
        <w:tc>
          <w:tcPr>
            <w:tcW w:w="597"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21000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0.210</w:t>
            </w:r>
          </w:p>
        </w:tc>
        <w:tc>
          <w:tcPr>
            <w:tcW w:w="599" w:type="dxa"/>
            <w:tcBorders>
              <w:tl2br w:val="nil"/>
              <w:tr2bl w:val="nil"/>
            </w:tcBorders>
            <w:vAlign w:val="center"/>
          </w:tcPr>
          <w:p>
            <w:pPr>
              <w:jc w:val="center"/>
              <w:rPr>
                <w:color w:val="auto"/>
                <w:sz w:val="15"/>
                <w:szCs w:val="15"/>
              </w:rPr>
            </w:pPr>
            <w:r>
              <w:rPr>
                <w:rFonts w:hint="eastAsia"/>
                <w:color w:val="auto"/>
                <w:sz w:val="15"/>
                <w:szCs w:val="15"/>
              </w:rPr>
              <w:t>0.882</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DA009</w:t>
            </w:r>
          </w:p>
        </w:tc>
        <w:tc>
          <w:tcPr>
            <w:tcW w:w="0" w:type="auto"/>
            <w:vMerge w:val="continue"/>
            <w:tcBorders>
              <w:tl2br w:val="nil"/>
              <w:tr2bl w:val="nil"/>
            </w:tcBorders>
            <w:vAlign w:val="center"/>
          </w:tcPr>
          <w:p>
            <w:pPr>
              <w:adjustRightInd w:val="0"/>
              <w:jc w:val="center"/>
              <w:rPr>
                <w:color w:val="auto"/>
                <w:sz w:val="15"/>
                <w:szCs w:val="15"/>
              </w:rPr>
            </w:pPr>
          </w:p>
        </w:tc>
        <w:tc>
          <w:tcPr>
            <w:tcW w:w="526" w:type="dxa"/>
            <w:vMerge w:val="continue"/>
            <w:tcBorders>
              <w:tl2br w:val="nil"/>
              <w:tr2bl w:val="nil"/>
            </w:tcBorders>
            <w:vAlign w:val="center"/>
          </w:tcPr>
          <w:p>
            <w:pPr>
              <w:adjustRightInd w:val="0"/>
              <w:jc w:val="center"/>
              <w:rPr>
                <w:color w:val="auto"/>
                <w:sz w:val="15"/>
                <w:szCs w:val="15"/>
              </w:rPr>
            </w:pP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11000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44</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vMerge w:val="continue"/>
            <w:tcBorders>
              <w:tl2br w:val="nil"/>
              <w:tr2bl w:val="nil"/>
            </w:tcBorders>
            <w:vAlign w:val="center"/>
          </w:tcPr>
          <w:p>
            <w:pPr>
              <w:adjustRightInd w:val="0"/>
              <w:jc w:val="center"/>
              <w:rPr>
                <w:color w:val="auto"/>
                <w:sz w:val="15"/>
                <w:szCs w:val="15"/>
              </w:rPr>
            </w:pPr>
          </w:p>
        </w:tc>
        <w:tc>
          <w:tcPr>
            <w:tcW w:w="726" w:type="dxa"/>
            <w:tcBorders>
              <w:tl2br w:val="nil"/>
              <w:tr2bl w:val="nil"/>
            </w:tcBorders>
            <w:vAlign w:val="center"/>
          </w:tcPr>
          <w:p>
            <w:pPr>
              <w:adjustRightInd w:val="0"/>
              <w:jc w:val="center"/>
              <w:rPr>
                <w:color w:val="auto"/>
                <w:sz w:val="15"/>
                <w:szCs w:val="15"/>
              </w:rPr>
            </w:pPr>
            <w:r>
              <w:rPr>
                <w:rFonts w:hint="eastAsia"/>
                <w:color w:val="auto"/>
                <w:sz w:val="15"/>
                <w:szCs w:val="15"/>
              </w:rPr>
              <w:t>11000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0.110</w:t>
            </w:r>
          </w:p>
        </w:tc>
        <w:tc>
          <w:tcPr>
            <w:tcW w:w="599" w:type="dxa"/>
            <w:tcBorders>
              <w:tl2br w:val="nil"/>
              <w:tr2bl w:val="nil"/>
            </w:tcBorders>
            <w:vAlign w:val="center"/>
          </w:tcPr>
          <w:p>
            <w:pPr>
              <w:jc w:val="center"/>
              <w:rPr>
                <w:color w:val="auto"/>
                <w:sz w:val="15"/>
                <w:szCs w:val="15"/>
              </w:rPr>
            </w:pPr>
            <w:r>
              <w:rPr>
                <w:rFonts w:hint="eastAsia"/>
                <w:color w:val="auto"/>
                <w:sz w:val="15"/>
                <w:szCs w:val="15"/>
              </w:rPr>
              <w:t>0.462</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中碎配料及混捏成型车间</w:t>
            </w:r>
          </w:p>
          <w:p>
            <w:pPr>
              <w:adjustRightInd w:val="0"/>
              <w:jc w:val="center"/>
              <w:rPr>
                <w:b/>
                <w:bCs/>
                <w:color w:val="auto"/>
                <w:sz w:val="15"/>
                <w:szCs w:val="15"/>
              </w:rPr>
            </w:pPr>
            <w:r>
              <w:rPr>
                <w:rFonts w:hint="eastAsia"/>
                <w:b/>
                <w:bCs/>
                <w:color w:val="auto"/>
                <w:sz w:val="15"/>
                <w:szCs w:val="15"/>
              </w:rPr>
              <w:t>（二期</w:t>
            </w:r>
          </w:p>
          <w:p>
            <w:pPr>
              <w:adjustRightInd w:val="0"/>
              <w:jc w:val="center"/>
              <w:rPr>
                <w:color w:val="auto"/>
                <w:sz w:val="15"/>
                <w:szCs w:val="15"/>
              </w:rPr>
            </w:pPr>
            <w:r>
              <w:rPr>
                <w:rFonts w:hint="eastAsia"/>
                <w:b/>
                <w:bCs/>
                <w:color w:val="auto"/>
                <w:sz w:val="15"/>
                <w:szCs w:val="15"/>
              </w:rPr>
              <w:t>工程）</w:t>
            </w:r>
          </w:p>
        </w:tc>
        <w:tc>
          <w:tcPr>
            <w:tcW w:w="0" w:type="auto"/>
            <w:tcBorders>
              <w:tl2br w:val="nil"/>
              <w:tr2bl w:val="nil"/>
            </w:tcBorders>
            <w:vAlign w:val="center"/>
          </w:tcPr>
          <w:p>
            <w:pPr>
              <w:jc w:val="center"/>
              <w:rPr>
                <w:color w:val="auto"/>
                <w:sz w:val="15"/>
                <w:szCs w:val="15"/>
              </w:rPr>
            </w:pPr>
            <w:r>
              <w:rPr>
                <w:rFonts w:hint="eastAsia"/>
                <w:color w:val="auto"/>
                <w:sz w:val="15"/>
                <w:szCs w:val="15"/>
              </w:rPr>
              <w:t>返回料投料/中碎筛分</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斗提机、破碎机、筛分机及料仓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20000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80</w:t>
            </w:r>
          </w:p>
        </w:tc>
        <w:tc>
          <w:tcPr>
            <w:tcW w:w="2104" w:type="dxa"/>
            <w:tcBorders>
              <w:tl2br w:val="nil"/>
              <w:tr2bl w:val="nil"/>
            </w:tcBorders>
            <w:vAlign w:val="center"/>
          </w:tcPr>
          <w:p>
            <w:pPr>
              <w:adjustRightInd w:val="0"/>
              <w:jc w:val="center"/>
              <w:rPr>
                <w:rFonts w:hAnsi="宋体"/>
                <w:bCs/>
                <w:color w:val="auto"/>
                <w:sz w:val="15"/>
                <w:szCs w:val="15"/>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过滤面积，560m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20000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0.200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1.260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针状焦中碎筛分（1#）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斗提、破碎机、筛分机及料仓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24500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98</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过滤面积，580m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24500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0.245</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1.544</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针状焦中碎筛分（2#）</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斗提、破碎机、筛分机及料仓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DA012</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24500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98</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过滤面积，580m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24500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0.245</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1.544</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石油焦中碎筛分</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斗提、破碎机、筛分机及料仓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DA013</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23500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47</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过滤面积，655m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23500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0.235</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1.480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磨粉（1#）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磨粉机</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DA014</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 xml:space="preserve">类比法 </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20000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40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过滤面积，560m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20000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0.200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1.260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磨粉（2#）</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磨粉机</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DA015</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 xml:space="preserve">类比法 </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20000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40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过滤面积，560m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20000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0.200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1.260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磨粉（3#）</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磨粉机</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DA016</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 xml:space="preserve">类比法 </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20000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40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过滤面积，560m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20000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0.200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1.260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配料</w:t>
            </w:r>
          </w:p>
          <w:p>
            <w:pPr>
              <w:jc w:val="center"/>
              <w:rPr>
                <w:color w:val="auto"/>
                <w:sz w:val="15"/>
                <w:szCs w:val="15"/>
              </w:rPr>
            </w:pPr>
            <w:r>
              <w:rPr>
                <w:rFonts w:hint="eastAsia"/>
                <w:color w:val="auto"/>
                <w:sz w:val="15"/>
                <w:szCs w:val="15"/>
              </w:rPr>
              <w:t>系统</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配料仓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DA017</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8000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32</w:t>
            </w:r>
          </w:p>
        </w:tc>
        <w:tc>
          <w:tcPr>
            <w:tcW w:w="2104" w:type="dxa"/>
            <w:tcBorders>
              <w:tl2br w:val="nil"/>
              <w:tr2bl w:val="nil"/>
            </w:tcBorders>
            <w:vAlign w:val="center"/>
          </w:tcPr>
          <w:p>
            <w:pPr>
              <w:adjustRightInd w:val="0"/>
              <w:jc w:val="center"/>
              <w:rPr>
                <w:rFonts w:hAnsi="宋体"/>
                <w:bCs/>
                <w:color w:val="auto"/>
                <w:sz w:val="15"/>
                <w:szCs w:val="15"/>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过滤面积，230m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8000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0.080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0.504</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配料仓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DA018</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8000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32</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过滤面积，230m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8000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0.080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0.504</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1#混捏成型-沥青储罐、混捏、成型</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预热混捏设备、料仓</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DA019</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颗粒物</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32000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128</w:t>
            </w:r>
          </w:p>
        </w:tc>
        <w:tc>
          <w:tcPr>
            <w:tcW w:w="2104" w:type="dxa"/>
            <w:vMerge w:val="restart"/>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沥青储罐废气经电捕焦油器预处理，并入</w:t>
            </w:r>
            <w:r>
              <w:rPr>
                <w:rFonts w:hint="eastAsia" w:hAnsi="宋体"/>
                <w:bCs/>
                <w:color w:val="auto"/>
                <w:sz w:val="15"/>
                <w:szCs w:val="15"/>
                <w:lang w:val="en-US" w:eastAsia="zh-CN"/>
              </w:rPr>
              <w:t>焦粉“</w:t>
            </w:r>
            <w:r>
              <w:rPr>
                <w:rFonts w:hint="eastAsia" w:hAnsi="宋体"/>
                <w:bCs/>
                <w:color w:val="auto"/>
                <w:sz w:val="15"/>
                <w:szCs w:val="15"/>
              </w:rPr>
              <w:t>黑法</w:t>
            </w:r>
            <w:r>
              <w:rPr>
                <w:rFonts w:hint="eastAsia" w:hAnsi="宋体"/>
                <w:bCs/>
                <w:color w:val="auto"/>
                <w:sz w:val="15"/>
                <w:szCs w:val="15"/>
                <w:lang w:val="en-US" w:eastAsia="zh-CN"/>
              </w:rPr>
              <w:t>”</w:t>
            </w:r>
            <w:r>
              <w:rPr>
                <w:rFonts w:hint="eastAsia" w:hAnsi="宋体"/>
                <w:bCs/>
                <w:color w:val="auto"/>
                <w:sz w:val="15"/>
                <w:szCs w:val="15"/>
              </w:rPr>
              <w:t>吸附</w:t>
            </w:r>
            <w:r>
              <w:rPr>
                <w:rFonts w:hint="eastAsia" w:hAnsi="宋体"/>
                <w:bCs/>
                <w:color w:val="auto"/>
                <w:sz w:val="15"/>
                <w:szCs w:val="15"/>
                <w:lang w:val="en-US" w:eastAsia="zh-CN"/>
              </w:rPr>
              <w:t>系统（配设布袋除尘设施）；</w:t>
            </w:r>
            <w:r>
              <w:rPr>
                <w:rFonts w:hint="eastAsia"/>
                <w:color w:val="auto"/>
                <w:sz w:val="15"/>
                <w:szCs w:val="15"/>
                <w:lang w:val="en-US" w:eastAsia="zh-CN"/>
              </w:rPr>
              <w:t>过滤面积，900m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restart"/>
            <w:tcBorders>
              <w:tl2br w:val="nil"/>
              <w:tr2bl w:val="nil"/>
            </w:tcBorders>
            <w:vAlign w:val="center"/>
          </w:tcPr>
          <w:p>
            <w:pPr>
              <w:jc w:val="center"/>
              <w:rPr>
                <w:color w:val="auto"/>
                <w:sz w:val="15"/>
                <w:szCs w:val="15"/>
              </w:rPr>
            </w:pPr>
            <w:r>
              <w:rPr>
                <w:rFonts w:hint="eastAsia"/>
                <w:color w:val="auto"/>
                <w:sz w:val="15"/>
                <w:szCs w:val="15"/>
              </w:rPr>
              <w:t>32000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0.32</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2.016</w:t>
            </w:r>
          </w:p>
        </w:tc>
        <w:tc>
          <w:tcPr>
            <w:tcW w:w="0" w:type="auto"/>
            <w:vMerge w:val="restart"/>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沥青烟</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500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16</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adjustRightInd w:val="0"/>
              <w:jc w:val="center"/>
              <w:rPr>
                <w:rFonts w:hint="default" w:eastAsia="宋体"/>
                <w:color w:val="auto"/>
                <w:sz w:val="15"/>
                <w:szCs w:val="15"/>
                <w:lang w:val="en-US" w:eastAsia="zh-CN"/>
              </w:rPr>
            </w:pPr>
            <w:r>
              <w:rPr>
                <w:rFonts w:hint="eastAsia"/>
                <w:color w:val="auto"/>
                <w:sz w:val="15"/>
                <w:szCs w:val="15"/>
                <w:lang w:val="en-US" w:eastAsia="zh-CN"/>
              </w:rPr>
              <w:t>10</w:t>
            </w:r>
          </w:p>
        </w:tc>
        <w:tc>
          <w:tcPr>
            <w:tcW w:w="901" w:type="dxa"/>
            <w:tcBorders>
              <w:tl2br w:val="nil"/>
              <w:tr2bl w:val="nil"/>
            </w:tcBorders>
            <w:vAlign w:val="center"/>
          </w:tcPr>
          <w:p>
            <w:pPr>
              <w:jc w:val="center"/>
              <w:rPr>
                <w:rFonts w:hint="default" w:eastAsia="宋体"/>
                <w:color w:val="auto"/>
                <w:spacing w:val="4"/>
                <w:sz w:val="15"/>
                <w:szCs w:val="15"/>
                <w:lang w:val="en-US" w:eastAsia="zh-CN"/>
              </w:rPr>
            </w:pPr>
            <w:r>
              <w:rPr>
                <w:rFonts w:hint="eastAsia"/>
                <w:color w:val="auto"/>
                <w:spacing w:val="4"/>
                <w:sz w:val="15"/>
                <w:szCs w:val="15"/>
                <w:lang w:val="en-US" w:eastAsia="zh-CN"/>
              </w:rPr>
              <w:t>0.32</w:t>
            </w:r>
          </w:p>
        </w:tc>
        <w:tc>
          <w:tcPr>
            <w:tcW w:w="599" w:type="dxa"/>
            <w:tcBorders>
              <w:tl2br w:val="nil"/>
              <w:tr2bl w:val="nil"/>
            </w:tcBorders>
            <w:vAlign w:val="center"/>
          </w:tcPr>
          <w:p>
            <w:pPr>
              <w:jc w:val="center"/>
              <w:rPr>
                <w:rFonts w:hint="default" w:eastAsia="宋体"/>
                <w:color w:val="auto"/>
                <w:spacing w:val="4"/>
                <w:sz w:val="15"/>
                <w:szCs w:val="15"/>
                <w:lang w:val="en-US" w:eastAsia="zh-CN"/>
              </w:rPr>
            </w:pPr>
            <w:r>
              <w:rPr>
                <w:rFonts w:hint="eastAsia"/>
                <w:color w:val="auto"/>
                <w:spacing w:val="4"/>
                <w:sz w:val="15"/>
                <w:szCs w:val="15"/>
                <w:lang w:val="en-US" w:eastAsia="zh-CN"/>
              </w:rPr>
              <w:t>2.016</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苯并芘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4.0×10</w:t>
            </w:r>
            <w:r>
              <w:rPr>
                <w:rFonts w:hint="eastAsia"/>
                <w:color w:val="auto"/>
                <w:sz w:val="15"/>
                <w:szCs w:val="15"/>
                <w:vertAlign w:val="superscript"/>
              </w:rPr>
              <w:t>-3</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1.28×10</w:t>
            </w:r>
            <w:r>
              <w:rPr>
                <w:rFonts w:hint="eastAsia"/>
                <w:color w:val="auto"/>
                <w:sz w:val="15"/>
                <w:szCs w:val="15"/>
                <w:vertAlign w:val="superscript"/>
              </w:rPr>
              <w:t>-4</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1.6×10</w:t>
            </w:r>
            <w:r>
              <w:rPr>
                <w:rFonts w:hint="eastAsia"/>
                <w:color w:val="auto"/>
                <w:sz w:val="15"/>
                <w:szCs w:val="15"/>
                <w:vertAlign w:val="superscript"/>
              </w:rPr>
              <w:t>-4</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5.12×10</w:t>
            </w:r>
            <w:r>
              <w:rPr>
                <w:rFonts w:hint="eastAsia"/>
                <w:color w:val="auto"/>
                <w:spacing w:val="4"/>
                <w:sz w:val="15"/>
                <w:szCs w:val="15"/>
                <w:vertAlign w:val="superscript"/>
              </w:rPr>
              <w:t>-6</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0.032</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2#混捏成型-混捏、成型</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混捏、成型设备</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DA020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颗粒物</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30000</w:t>
            </w: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120</w:t>
            </w:r>
          </w:p>
        </w:tc>
        <w:tc>
          <w:tcPr>
            <w:tcW w:w="2104" w:type="dxa"/>
            <w:vMerge w:val="restart"/>
            <w:tcBorders>
              <w:tl2br w:val="nil"/>
              <w:tr2bl w:val="nil"/>
            </w:tcBorders>
            <w:vAlign w:val="center"/>
          </w:tcPr>
          <w:p>
            <w:pPr>
              <w:adjustRightInd w:val="0"/>
              <w:jc w:val="center"/>
              <w:rPr>
                <w:rFonts w:hint="eastAsia" w:hAnsi="宋体"/>
                <w:bCs/>
                <w:color w:val="auto"/>
                <w:sz w:val="15"/>
                <w:szCs w:val="15"/>
              </w:rPr>
            </w:pPr>
            <w:r>
              <w:rPr>
                <w:rFonts w:hint="eastAsia" w:hAnsi="宋体"/>
                <w:bCs/>
                <w:color w:val="auto"/>
                <w:sz w:val="15"/>
                <w:szCs w:val="15"/>
                <w:lang w:val="en-US" w:eastAsia="zh-CN"/>
              </w:rPr>
              <w:t>焦粉“</w:t>
            </w:r>
            <w:r>
              <w:rPr>
                <w:rFonts w:hint="eastAsia" w:hAnsi="宋体"/>
                <w:bCs/>
                <w:color w:val="auto"/>
                <w:sz w:val="15"/>
                <w:szCs w:val="15"/>
              </w:rPr>
              <w:t>黑法</w:t>
            </w:r>
            <w:r>
              <w:rPr>
                <w:rFonts w:hint="eastAsia" w:hAnsi="宋体"/>
                <w:bCs/>
                <w:color w:val="auto"/>
                <w:sz w:val="15"/>
                <w:szCs w:val="15"/>
                <w:lang w:val="en-US" w:eastAsia="zh-CN"/>
              </w:rPr>
              <w:t>”</w:t>
            </w:r>
            <w:r>
              <w:rPr>
                <w:rFonts w:hint="eastAsia" w:hAnsi="宋体"/>
                <w:bCs/>
                <w:color w:val="auto"/>
                <w:sz w:val="15"/>
                <w:szCs w:val="15"/>
              </w:rPr>
              <w:t>吸附</w:t>
            </w:r>
          </w:p>
          <w:p>
            <w:pPr>
              <w:adjustRightInd w:val="0"/>
              <w:jc w:val="center"/>
              <w:rPr>
                <w:rFonts w:hint="eastAsia" w:hAnsi="宋体" w:eastAsia="宋体"/>
                <w:bCs/>
                <w:color w:val="auto"/>
                <w:sz w:val="15"/>
                <w:szCs w:val="15"/>
                <w:lang w:eastAsia="zh-CN"/>
              </w:rPr>
            </w:pPr>
            <w:r>
              <w:rPr>
                <w:rFonts w:hint="eastAsia" w:hAnsi="宋体"/>
                <w:bCs/>
                <w:color w:val="auto"/>
                <w:sz w:val="15"/>
                <w:szCs w:val="15"/>
                <w:lang w:val="en-US" w:eastAsia="zh-CN"/>
              </w:rPr>
              <w:t>系统（配套布袋除尘设施）；</w:t>
            </w:r>
            <w:r>
              <w:rPr>
                <w:rFonts w:hint="eastAsia"/>
                <w:color w:val="auto"/>
                <w:sz w:val="15"/>
                <w:szCs w:val="15"/>
                <w:lang w:val="en-US" w:eastAsia="zh-CN"/>
              </w:rPr>
              <w:t>过滤面积，835m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restart"/>
            <w:tcBorders>
              <w:tl2br w:val="nil"/>
              <w:tr2bl w:val="nil"/>
            </w:tcBorders>
            <w:vAlign w:val="center"/>
          </w:tcPr>
          <w:p>
            <w:pPr>
              <w:jc w:val="center"/>
              <w:rPr>
                <w:color w:val="auto"/>
                <w:sz w:val="15"/>
                <w:szCs w:val="15"/>
              </w:rPr>
            </w:pPr>
            <w:r>
              <w:rPr>
                <w:rFonts w:hint="eastAsia"/>
                <w:color w:val="auto"/>
                <w:sz w:val="15"/>
                <w:szCs w:val="15"/>
              </w:rPr>
              <w:t>30000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10</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0.30</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1.89</w:t>
            </w:r>
          </w:p>
        </w:tc>
        <w:tc>
          <w:tcPr>
            <w:tcW w:w="0" w:type="auto"/>
            <w:vMerge w:val="restart"/>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沥青烟</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500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15</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jc w:val="center"/>
              <w:rPr>
                <w:rFonts w:hint="default" w:eastAsia="宋体"/>
                <w:color w:val="auto"/>
                <w:spacing w:val="4"/>
                <w:sz w:val="15"/>
                <w:szCs w:val="15"/>
                <w:lang w:val="en-US" w:eastAsia="zh-CN"/>
              </w:rPr>
            </w:pPr>
            <w:r>
              <w:rPr>
                <w:rFonts w:hint="eastAsia"/>
                <w:color w:val="auto"/>
                <w:spacing w:val="4"/>
                <w:sz w:val="15"/>
                <w:szCs w:val="15"/>
                <w:lang w:val="en-US" w:eastAsia="zh-CN"/>
              </w:rPr>
              <w:t>10</w:t>
            </w:r>
          </w:p>
        </w:tc>
        <w:tc>
          <w:tcPr>
            <w:tcW w:w="901" w:type="dxa"/>
            <w:tcBorders>
              <w:tl2br w:val="nil"/>
              <w:tr2bl w:val="nil"/>
            </w:tcBorders>
            <w:vAlign w:val="center"/>
          </w:tcPr>
          <w:p>
            <w:pPr>
              <w:jc w:val="center"/>
              <w:rPr>
                <w:rFonts w:hint="default" w:eastAsia="宋体"/>
                <w:color w:val="auto"/>
                <w:spacing w:val="4"/>
                <w:sz w:val="15"/>
                <w:szCs w:val="15"/>
                <w:lang w:val="en-US" w:eastAsia="zh-CN"/>
              </w:rPr>
            </w:pPr>
            <w:r>
              <w:rPr>
                <w:rFonts w:hint="eastAsia"/>
                <w:color w:val="auto"/>
                <w:spacing w:val="4"/>
                <w:sz w:val="15"/>
                <w:szCs w:val="15"/>
                <w:lang w:val="en-US" w:eastAsia="zh-CN"/>
              </w:rPr>
              <w:t>0.30</w:t>
            </w:r>
          </w:p>
        </w:tc>
        <w:tc>
          <w:tcPr>
            <w:tcW w:w="599" w:type="dxa"/>
            <w:tcBorders>
              <w:tl2br w:val="nil"/>
              <w:tr2bl w:val="nil"/>
            </w:tcBorders>
            <w:vAlign w:val="center"/>
          </w:tcPr>
          <w:p>
            <w:pPr>
              <w:jc w:val="center"/>
              <w:rPr>
                <w:rFonts w:hint="default" w:eastAsia="宋体"/>
                <w:color w:val="auto"/>
                <w:spacing w:val="4"/>
                <w:sz w:val="15"/>
                <w:szCs w:val="15"/>
                <w:lang w:val="en-US" w:eastAsia="zh-CN"/>
              </w:rPr>
            </w:pPr>
            <w:r>
              <w:rPr>
                <w:rFonts w:hint="eastAsia"/>
                <w:color w:val="auto"/>
                <w:spacing w:val="4"/>
                <w:sz w:val="15"/>
                <w:szCs w:val="15"/>
                <w:lang w:val="en-US" w:eastAsia="zh-CN"/>
              </w:rPr>
              <w:t>1.89</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苯并芘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adjustRightInd w:val="0"/>
              <w:jc w:val="center"/>
              <w:rPr>
                <w:color w:val="auto"/>
                <w:sz w:val="15"/>
                <w:szCs w:val="15"/>
              </w:rPr>
            </w:pPr>
            <w:r>
              <w:rPr>
                <w:rFonts w:hint="eastAsia"/>
                <w:color w:val="auto"/>
                <w:sz w:val="15"/>
                <w:szCs w:val="15"/>
              </w:rPr>
              <w:t>4.0×10</w:t>
            </w:r>
            <w:r>
              <w:rPr>
                <w:rFonts w:hint="eastAsia"/>
                <w:color w:val="auto"/>
                <w:sz w:val="15"/>
                <w:szCs w:val="15"/>
                <w:vertAlign w:val="superscript"/>
              </w:rPr>
              <w:t>-3</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1.2×10</w:t>
            </w:r>
            <w:r>
              <w:rPr>
                <w:rFonts w:hint="eastAsia"/>
                <w:color w:val="auto"/>
                <w:sz w:val="15"/>
                <w:szCs w:val="15"/>
                <w:vertAlign w:val="superscript"/>
              </w:rPr>
              <w:t>-4</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1.6×10</w:t>
            </w:r>
            <w:r>
              <w:rPr>
                <w:rFonts w:hint="eastAsia"/>
                <w:color w:val="auto"/>
                <w:sz w:val="15"/>
                <w:szCs w:val="15"/>
                <w:vertAlign w:val="superscript"/>
              </w:rPr>
              <w:t>-4</w:t>
            </w:r>
          </w:p>
        </w:tc>
        <w:tc>
          <w:tcPr>
            <w:tcW w:w="901" w:type="dxa"/>
            <w:tcBorders>
              <w:tl2br w:val="nil"/>
              <w:tr2bl w:val="nil"/>
            </w:tcBorders>
            <w:vAlign w:val="center"/>
          </w:tcPr>
          <w:p>
            <w:pPr>
              <w:jc w:val="center"/>
              <w:rPr>
                <w:color w:val="auto"/>
                <w:spacing w:val="4"/>
                <w:sz w:val="15"/>
                <w:szCs w:val="15"/>
              </w:rPr>
            </w:pPr>
            <w:r>
              <w:rPr>
                <w:rFonts w:hint="eastAsia"/>
                <w:color w:val="auto"/>
                <w:spacing w:val="4"/>
                <w:sz w:val="15"/>
                <w:szCs w:val="15"/>
              </w:rPr>
              <w:t>4.8×10</w:t>
            </w:r>
            <w:r>
              <w:rPr>
                <w:rFonts w:hint="eastAsia"/>
                <w:color w:val="auto"/>
                <w:spacing w:val="4"/>
                <w:sz w:val="15"/>
                <w:szCs w:val="15"/>
                <w:vertAlign w:val="superscript"/>
              </w:rPr>
              <w:t>-6</w:t>
            </w:r>
          </w:p>
        </w:tc>
        <w:tc>
          <w:tcPr>
            <w:tcW w:w="599" w:type="dxa"/>
            <w:tcBorders>
              <w:tl2br w:val="nil"/>
              <w:tr2bl w:val="nil"/>
            </w:tcBorders>
            <w:vAlign w:val="center"/>
          </w:tcPr>
          <w:p>
            <w:pPr>
              <w:jc w:val="center"/>
              <w:rPr>
                <w:color w:val="auto"/>
                <w:spacing w:val="4"/>
                <w:sz w:val="15"/>
                <w:szCs w:val="15"/>
              </w:rPr>
            </w:pPr>
            <w:r>
              <w:rPr>
                <w:rFonts w:hint="eastAsia"/>
                <w:color w:val="auto"/>
                <w:spacing w:val="4"/>
                <w:sz w:val="15"/>
                <w:szCs w:val="15"/>
              </w:rPr>
              <w:t>0.030</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沥青保温</w:t>
            </w:r>
          </w:p>
          <w:p>
            <w:pPr>
              <w:adjustRightInd w:val="0"/>
              <w:jc w:val="center"/>
              <w:rPr>
                <w:color w:val="auto"/>
                <w:sz w:val="15"/>
                <w:szCs w:val="15"/>
              </w:rPr>
            </w:pPr>
            <w:r>
              <w:rPr>
                <w:rFonts w:hint="eastAsia"/>
                <w:color w:val="auto"/>
                <w:sz w:val="15"/>
                <w:szCs w:val="15"/>
              </w:rPr>
              <w:t>系统</w:t>
            </w:r>
          </w:p>
          <w:p>
            <w:pPr>
              <w:adjustRightInd w:val="0"/>
              <w:jc w:val="center"/>
              <w:rPr>
                <w:b/>
                <w:bCs/>
                <w:color w:val="auto"/>
                <w:sz w:val="15"/>
                <w:szCs w:val="15"/>
              </w:rPr>
            </w:pPr>
            <w:r>
              <w:rPr>
                <w:rFonts w:hint="eastAsia"/>
                <w:b/>
                <w:bCs/>
                <w:color w:val="auto"/>
                <w:sz w:val="15"/>
                <w:szCs w:val="15"/>
              </w:rPr>
              <w:t>（二期</w:t>
            </w:r>
          </w:p>
          <w:p>
            <w:pPr>
              <w:adjustRightInd w:val="0"/>
              <w:jc w:val="center"/>
              <w:rPr>
                <w:color w:val="auto"/>
                <w:sz w:val="15"/>
                <w:szCs w:val="15"/>
              </w:rPr>
            </w:pPr>
            <w:r>
              <w:rPr>
                <w:rFonts w:hint="eastAsia"/>
                <w:b/>
                <w:bCs/>
                <w:color w:val="auto"/>
                <w:sz w:val="15"/>
                <w:szCs w:val="15"/>
              </w:rPr>
              <w:t>工程）</w:t>
            </w: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燃气导热</w:t>
            </w:r>
          </w:p>
          <w:p>
            <w:pPr>
              <w:jc w:val="center"/>
              <w:rPr>
                <w:color w:val="auto"/>
                <w:sz w:val="15"/>
                <w:szCs w:val="15"/>
              </w:rPr>
            </w:pPr>
            <w:r>
              <w:rPr>
                <w:rFonts w:hint="eastAsia"/>
                <w:color w:val="auto"/>
                <w:sz w:val="15"/>
                <w:szCs w:val="15"/>
              </w:rPr>
              <w:t>油炉</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导热</w:t>
            </w:r>
          </w:p>
          <w:p>
            <w:pPr>
              <w:adjustRightInd w:val="0"/>
              <w:jc w:val="center"/>
              <w:rPr>
                <w:color w:val="auto"/>
                <w:sz w:val="15"/>
                <w:szCs w:val="15"/>
              </w:rPr>
            </w:pPr>
            <w:r>
              <w:rPr>
                <w:rFonts w:hint="eastAsia"/>
                <w:color w:val="auto"/>
                <w:sz w:val="15"/>
                <w:szCs w:val="15"/>
              </w:rPr>
              <w:t>油炉</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DA021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颗粒物</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w:t>
            </w:r>
          </w:p>
        </w:tc>
        <w:tc>
          <w:tcPr>
            <w:tcW w:w="741"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3360.4</w:t>
            </w:r>
          </w:p>
        </w:tc>
        <w:tc>
          <w:tcPr>
            <w:tcW w:w="793" w:type="dxa"/>
            <w:tcBorders>
              <w:tl2br w:val="nil"/>
              <w:tr2bl w:val="nil"/>
            </w:tcBorders>
            <w:vAlign w:val="center"/>
          </w:tcPr>
          <w:p>
            <w:pPr>
              <w:jc w:val="center"/>
              <w:rPr>
                <w:color w:val="auto"/>
                <w:sz w:val="15"/>
                <w:szCs w:val="15"/>
              </w:rPr>
            </w:pPr>
            <w:r>
              <w:rPr>
                <w:rFonts w:hint="eastAsia"/>
                <w:color w:val="auto"/>
                <w:sz w:val="15"/>
                <w:szCs w:val="15"/>
              </w:rPr>
              <w:t>1</w:t>
            </w:r>
            <w:r>
              <w:rPr>
                <w:color w:val="auto"/>
                <w:sz w:val="15"/>
                <w:szCs w:val="15"/>
              </w:rPr>
              <w:t>3.82</w:t>
            </w:r>
          </w:p>
        </w:tc>
        <w:tc>
          <w:tcPr>
            <w:tcW w:w="0" w:type="auto"/>
            <w:tcBorders>
              <w:tl2br w:val="nil"/>
              <w:tr2bl w:val="nil"/>
            </w:tcBorders>
            <w:vAlign w:val="center"/>
          </w:tcPr>
          <w:p>
            <w:pPr>
              <w:jc w:val="center"/>
              <w:rPr>
                <w:color w:val="auto"/>
                <w:sz w:val="15"/>
                <w:szCs w:val="15"/>
              </w:rPr>
            </w:pPr>
            <w:r>
              <w:rPr>
                <w:rFonts w:hint="eastAsia"/>
                <w:color w:val="auto"/>
                <w:sz w:val="15"/>
                <w:szCs w:val="15"/>
              </w:rPr>
              <w:t>0.046</w:t>
            </w:r>
          </w:p>
        </w:tc>
        <w:tc>
          <w:tcPr>
            <w:tcW w:w="2104" w:type="dxa"/>
            <w:vMerge w:val="restart"/>
            <w:tcBorders>
              <w:tl2br w:val="nil"/>
              <w:tr2bl w:val="nil"/>
            </w:tcBorders>
            <w:vAlign w:val="center"/>
          </w:tcPr>
          <w:p>
            <w:pPr>
              <w:adjustRightInd w:val="0"/>
              <w:jc w:val="center"/>
              <w:rPr>
                <w:rFonts w:hAnsi="宋体"/>
                <w:bCs/>
                <w:color w:val="auto"/>
                <w:sz w:val="15"/>
                <w:szCs w:val="15"/>
              </w:rPr>
            </w:pPr>
            <w:r>
              <w:rPr>
                <w:rFonts w:hint="eastAsia" w:hAnsi="宋体"/>
                <w:bCs/>
                <w:color w:val="auto"/>
                <w:sz w:val="15"/>
                <w:szCs w:val="15"/>
              </w:rPr>
              <w:t>低氮燃烧</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w:t>
            </w:r>
          </w:p>
        </w:tc>
        <w:tc>
          <w:tcPr>
            <w:tcW w:w="726" w:type="dxa"/>
            <w:vMerge w:val="restart"/>
            <w:tcBorders>
              <w:tl2br w:val="nil"/>
              <w:tr2bl w:val="nil"/>
            </w:tcBorders>
            <w:vAlign w:val="center"/>
          </w:tcPr>
          <w:p>
            <w:pPr>
              <w:jc w:val="center"/>
              <w:rPr>
                <w:color w:val="auto"/>
                <w:sz w:val="15"/>
                <w:szCs w:val="15"/>
              </w:rPr>
            </w:pPr>
            <w:r>
              <w:rPr>
                <w:rFonts w:hint="eastAsia"/>
                <w:color w:val="auto"/>
                <w:sz w:val="15"/>
                <w:szCs w:val="15"/>
              </w:rPr>
              <w:t>3360.4</w:t>
            </w:r>
          </w:p>
        </w:tc>
        <w:tc>
          <w:tcPr>
            <w:tcW w:w="0" w:type="auto"/>
            <w:tcBorders>
              <w:tl2br w:val="nil"/>
              <w:tr2bl w:val="nil"/>
            </w:tcBorders>
            <w:vAlign w:val="center"/>
          </w:tcPr>
          <w:p>
            <w:pPr>
              <w:jc w:val="center"/>
              <w:rPr>
                <w:color w:val="auto"/>
                <w:sz w:val="15"/>
                <w:szCs w:val="15"/>
              </w:rPr>
            </w:pPr>
            <w:r>
              <w:rPr>
                <w:rFonts w:hint="eastAsia"/>
                <w:color w:val="auto"/>
                <w:sz w:val="15"/>
                <w:szCs w:val="15"/>
              </w:rPr>
              <w:t>5</w:t>
            </w:r>
          </w:p>
        </w:tc>
        <w:tc>
          <w:tcPr>
            <w:tcW w:w="901" w:type="dxa"/>
            <w:tcBorders>
              <w:tl2br w:val="nil"/>
              <w:tr2bl w:val="nil"/>
            </w:tcBorders>
            <w:vAlign w:val="center"/>
          </w:tcPr>
          <w:p>
            <w:pPr>
              <w:jc w:val="center"/>
              <w:rPr>
                <w:color w:val="auto"/>
                <w:spacing w:val="4"/>
                <w:sz w:val="15"/>
                <w:szCs w:val="15"/>
              </w:rPr>
            </w:pPr>
            <w:r>
              <w:rPr>
                <w:rFonts w:hint="eastAsia"/>
                <w:color w:val="auto"/>
                <w:sz w:val="15"/>
                <w:szCs w:val="15"/>
              </w:rPr>
              <w:t>0.017</w:t>
            </w:r>
          </w:p>
        </w:tc>
        <w:tc>
          <w:tcPr>
            <w:tcW w:w="599" w:type="dxa"/>
            <w:tcBorders>
              <w:tl2br w:val="nil"/>
              <w:tr2bl w:val="nil"/>
            </w:tcBorders>
            <w:vAlign w:val="center"/>
          </w:tcPr>
          <w:p>
            <w:pPr>
              <w:jc w:val="center"/>
              <w:rPr>
                <w:color w:val="auto"/>
                <w:spacing w:val="4"/>
                <w:sz w:val="15"/>
                <w:szCs w:val="15"/>
              </w:rPr>
            </w:pPr>
            <w:r>
              <w:rPr>
                <w:rFonts w:hint="eastAsia"/>
                <w:color w:val="auto"/>
                <w:sz w:val="15"/>
                <w:szCs w:val="15"/>
              </w:rPr>
              <w:t>0.122</w:t>
            </w:r>
          </w:p>
        </w:tc>
        <w:tc>
          <w:tcPr>
            <w:tcW w:w="0" w:type="auto"/>
            <w:vMerge w:val="restart"/>
            <w:tcBorders>
              <w:tl2br w:val="nil"/>
              <w:tr2bl w:val="nil"/>
            </w:tcBorders>
            <w:vAlign w:val="center"/>
          </w:tcPr>
          <w:p>
            <w:pPr>
              <w:jc w:val="center"/>
              <w:rPr>
                <w:color w:val="auto"/>
                <w:spacing w:val="4"/>
                <w:sz w:val="15"/>
                <w:szCs w:val="15"/>
              </w:rPr>
            </w:pPr>
            <w:r>
              <w:rPr>
                <w:rFonts w:hint="eastAsia"/>
                <w:color w:val="auto"/>
                <w:spacing w:val="4"/>
                <w:sz w:val="15"/>
                <w:szCs w:val="15"/>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SO</w:t>
            </w:r>
            <w:r>
              <w:rPr>
                <w:rFonts w:hint="eastAsia"/>
                <w:color w:val="auto"/>
                <w:sz w:val="15"/>
                <w:szCs w:val="15"/>
                <w:vertAlign w:val="subscript"/>
              </w:rPr>
              <w:t>2</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物料</w:t>
            </w:r>
          </w:p>
          <w:p>
            <w:pPr>
              <w:adjustRightInd w:val="0"/>
              <w:jc w:val="center"/>
              <w:rPr>
                <w:color w:val="auto"/>
                <w:sz w:val="15"/>
                <w:szCs w:val="15"/>
              </w:rPr>
            </w:pPr>
            <w:r>
              <w:rPr>
                <w:rFonts w:hint="eastAsia"/>
                <w:color w:val="auto"/>
                <w:sz w:val="15"/>
                <w:szCs w:val="15"/>
              </w:rPr>
              <w:t>衡算</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jc w:val="center"/>
              <w:rPr>
                <w:color w:val="auto"/>
                <w:sz w:val="15"/>
                <w:szCs w:val="15"/>
              </w:rPr>
            </w:pPr>
            <w:r>
              <w:rPr>
                <w:rFonts w:hint="eastAsia"/>
                <w:color w:val="auto"/>
                <w:sz w:val="15"/>
                <w:szCs w:val="15"/>
              </w:rPr>
              <w:t>3</w:t>
            </w:r>
            <w:r>
              <w:rPr>
                <w:color w:val="auto"/>
                <w:sz w:val="15"/>
                <w:szCs w:val="15"/>
              </w:rPr>
              <w:t>.95</w:t>
            </w:r>
          </w:p>
        </w:tc>
        <w:tc>
          <w:tcPr>
            <w:tcW w:w="0" w:type="auto"/>
            <w:tcBorders>
              <w:tl2br w:val="nil"/>
              <w:tr2bl w:val="nil"/>
            </w:tcBorders>
            <w:vAlign w:val="center"/>
          </w:tcPr>
          <w:p>
            <w:pPr>
              <w:jc w:val="center"/>
              <w:rPr>
                <w:color w:val="auto"/>
                <w:sz w:val="15"/>
                <w:szCs w:val="15"/>
              </w:rPr>
            </w:pPr>
            <w:r>
              <w:rPr>
                <w:rFonts w:hint="eastAsia"/>
                <w:color w:val="auto"/>
                <w:sz w:val="15"/>
                <w:szCs w:val="15"/>
              </w:rPr>
              <w:t>0.013</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物料</w:t>
            </w:r>
          </w:p>
          <w:p>
            <w:pPr>
              <w:adjustRightInd w:val="0"/>
              <w:jc w:val="center"/>
              <w:rPr>
                <w:color w:val="auto"/>
                <w:sz w:val="15"/>
                <w:szCs w:val="15"/>
              </w:rPr>
            </w:pPr>
            <w:r>
              <w:rPr>
                <w:rFonts w:hint="eastAsia"/>
                <w:color w:val="auto"/>
                <w:sz w:val="15"/>
                <w:szCs w:val="15"/>
              </w:rPr>
              <w:t>衡算</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3</w:t>
            </w:r>
            <w:r>
              <w:rPr>
                <w:color w:val="auto"/>
                <w:sz w:val="15"/>
                <w:szCs w:val="15"/>
              </w:rPr>
              <w:t>.95</w:t>
            </w:r>
          </w:p>
        </w:tc>
        <w:tc>
          <w:tcPr>
            <w:tcW w:w="901" w:type="dxa"/>
            <w:tcBorders>
              <w:tl2br w:val="nil"/>
              <w:tr2bl w:val="nil"/>
            </w:tcBorders>
            <w:vAlign w:val="center"/>
          </w:tcPr>
          <w:p>
            <w:pPr>
              <w:jc w:val="center"/>
              <w:rPr>
                <w:color w:val="auto"/>
                <w:spacing w:val="4"/>
                <w:sz w:val="15"/>
                <w:szCs w:val="15"/>
              </w:rPr>
            </w:pPr>
            <w:r>
              <w:rPr>
                <w:rFonts w:hint="eastAsia"/>
                <w:color w:val="auto"/>
                <w:sz w:val="15"/>
                <w:szCs w:val="15"/>
              </w:rPr>
              <w:t>0.013</w:t>
            </w:r>
          </w:p>
        </w:tc>
        <w:tc>
          <w:tcPr>
            <w:tcW w:w="599" w:type="dxa"/>
            <w:tcBorders>
              <w:tl2br w:val="nil"/>
              <w:tr2bl w:val="nil"/>
            </w:tcBorders>
            <w:vAlign w:val="center"/>
          </w:tcPr>
          <w:p>
            <w:pPr>
              <w:jc w:val="center"/>
              <w:rPr>
                <w:color w:val="auto"/>
                <w:spacing w:val="4"/>
                <w:sz w:val="15"/>
                <w:szCs w:val="15"/>
              </w:rPr>
            </w:pPr>
            <w:r>
              <w:rPr>
                <w:rFonts w:hint="eastAsia"/>
                <w:color w:val="auto"/>
                <w:sz w:val="15"/>
                <w:szCs w:val="15"/>
              </w:rPr>
              <w:t>0.094</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NOx</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系数法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jc w:val="center"/>
              <w:rPr>
                <w:color w:val="auto"/>
                <w:sz w:val="15"/>
                <w:szCs w:val="15"/>
              </w:rPr>
            </w:pPr>
            <w:r>
              <w:rPr>
                <w:rFonts w:hint="eastAsia"/>
                <w:color w:val="auto"/>
                <w:sz w:val="15"/>
                <w:szCs w:val="15"/>
              </w:rPr>
              <w:t>1</w:t>
            </w:r>
            <w:r>
              <w:rPr>
                <w:color w:val="auto"/>
                <w:sz w:val="15"/>
                <w:szCs w:val="15"/>
              </w:rPr>
              <w:t>84.7</w:t>
            </w:r>
          </w:p>
        </w:tc>
        <w:tc>
          <w:tcPr>
            <w:tcW w:w="0" w:type="auto"/>
            <w:tcBorders>
              <w:tl2br w:val="nil"/>
              <w:tr2bl w:val="nil"/>
            </w:tcBorders>
            <w:vAlign w:val="center"/>
          </w:tcPr>
          <w:p>
            <w:pPr>
              <w:jc w:val="center"/>
              <w:rPr>
                <w:color w:val="auto"/>
                <w:sz w:val="15"/>
                <w:szCs w:val="15"/>
              </w:rPr>
            </w:pPr>
            <w:r>
              <w:rPr>
                <w:rFonts w:hint="eastAsia"/>
                <w:color w:val="auto"/>
                <w:sz w:val="15"/>
                <w:szCs w:val="15"/>
              </w:rPr>
              <w:t>0.621</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系数法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4</w:t>
            </w:r>
            <w:r>
              <w:rPr>
                <w:color w:val="auto"/>
                <w:sz w:val="15"/>
                <w:szCs w:val="15"/>
              </w:rPr>
              <w:t>6.175</w:t>
            </w:r>
          </w:p>
        </w:tc>
        <w:tc>
          <w:tcPr>
            <w:tcW w:w="901" w:type="dxa"/>
            <w:tcBorders>
              <w:tl2br w:val="nil"/>
              <w:tr2bl w:val="nil"/>
            </w:tcBorders>
            <w:vAlign w:val="center"/>
          </w:tcPr>
          <w:p>
            <w:pPr>
              <w:jc w:val="center"/>
              <w:rPr>
                <w:color w:val="auto"/>
                <w:spacing w:val="4"/>
                <w:sz w:val="15"/>
                <w:szCs w:val="15"/>
              </w:rPr>
            </w:pPr>
            <w:r>
              <w:rPr>
                <w:rFonts w:hint="eastAsia"/>
                <w:color w:val="auto"/>
                <w:sz w:val="15"/>
                <w:szCs w:val="15"/>
              </w:rPr>
              <w:t>0.155</w:t>
            </w:r>
          </w:p>
        </w:tc>
        <w:tc>
          <w:tcPr>
            <w:tcW w:w="599" w:type="dxa"/>
            <w:tcBorders>
              <w:tl2br w:val="nil"/>
              <w:tr2bl w:val="nil"/>
            </w:tcBorders>
            <w:vAlign w:val="center"/>
          </w:tcPr>
          <w:p>
            <w:pPr>
              <w:jc w:val="center"/>
              <w:rPr>
                <w:color w:val="auto"/>
                <w:spacing w:val="4"/>
                <w:sz w:val="15"/>
                <w:szCs w:val="15"/>
              </w:rPr>
            </w:pPr>
            <w:r>
              <w:rPr>
                <w:rFonts w:hint="eastAsia"/>
                <w:color w:val="auto"/>
                <w:sz w:val="15"/>
                <w:szCs w:val="15"/>
              </w:rPr>
              <w:t>1.116</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冶金焦筛分处理</w:t>
            </w:r>
          </w:p>
          <w:p>
            <w:pPr>
              <w:adjustRightInd w:val="0"/>
              <w:jc w:val="center"/>
              <w:rPr>
                <w:color w:val="auto"/>
                <w:sz w:val="15"/>
                <w:szCs w:val="15"/>
              </w:rPr>
            </w:pPr>
            <w:r>
              <w:rPr>
                <w:rFonts w:hint="eastAsia"/>
                <w:b/>
                <w:bCs/>
                <w:color w:val="auto"/>
                <w:sz w:val="15"/>
                <w:szCs w:val="15"/>
              </w:rPr>
              <w:t>（一期工程）</w:t>
            </w:r>
          </w:p>
        </w:tc>
        <w:tc>
          <w:tcPr>
            <w:tcW w:w="0" w:type="auto"/>
            <w:tcBorders>
              <w:tl2br w:val="nil"/>
              <w:tr2bl w:val="nil"/>
            </w:tcBorders>
            <w:vAlign w:val="center"/>
          </w:tcPr>
          <w:p>
            <w:pPr>
              <w:jc w:val="center"/>
              <w:rPr>
                <w:color w:val="auto"/>
                <w:sz w:val="15"/>
                <w:szCs w:val="15"/>
              </w:rPr>
            </w:pPr>
            <w:r>
              <w:rPr>
                <w:rFonts w:hint="eastAsia"/>
                <w:color w:val="auto"/>
                <w:sz w:val="15"/>
                <w:szCs w:val="15"/>
              </w:rPr>
              <w:t>冶金焦筛分处理（1#）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冶金焦筛分、料仓、斗提机</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DA022</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jc w:val="center"/>
              <w:rPr>
                <w:color w:val="auto"/>
                <w:sz w:val="15"/>
                <w:szCs w:val="15"/>
              </w:rPr>
            </w:pPr>
            <w:r>
              <w:rPr>
                <w:rFonts w:hint="eastAsia"/>
                <w:color w:val="auto"/>
                <w:sz w:val="15"/>
                <w:szCs w:val="15"/>
              </w:rPr>
              <w:t>20000</w:t>
            </w:r>
          </w:p>
        </w:tc>
        <w:tc>
          <w:tcPr>
            <w:tcW w:w="793" w:type="dxa"/>
            <w:tcBorders>
              <w:tl2br w:val="nil"/>
              <w:tr2bl w:val="nil"/>
            </w:tcBorders>
            <w:vAlign w:val="center"/>
          </w:tcPr>
          <w:p>
            <w:pPr>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jc w:val="center"/>
              <w:rPr>
                <w:color w:val="auto"/>
                <w:sz w:val="15"/>
                <w:szCs w:val="15"/>
              </w:rPr>
            </w:pPr>
            <w:r>
              <w:rPr>
                <w:rFonts w:hint="eastAsia"/>
                <w:color w:val="auto"/>
                <w:sz w:val="15"/>
                <w:szCs w:val="15"/>
              </w:rPr>
              <w:t>40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过滤面积，560m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20000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0.200</w:t>
            </w:r>
          </w:p>
        </w:tc>
        <w:tc>
          <w:tcPr>
            <w:tcW w:w="599" w:type="dxa"/>
            <w:tcBorders>
              <w:tl2br w:val="nil"/>
              <w:tr2bl w:val="nil"/>
            </w:tcBorders>
            <w:vAlign w:val="center"/>
          </w:tcPr>
          <w:p>
            <w:pPr>
              <w:jc w:val="center"/>
              <w:rPr>
                <w:color w:val="auto"/>
                <w:sz w:val="15"/>
                <w:szCs w:val="15"/>
              </w:rPr>
            </w:pPr>
            <w:r>
              <w:rPr>
                <w:rFonts w:hint="eastAsia"/>
                <w:color w:val="auto"/>
                <w:sz w:val="15"/>
                <w:szCs w:val="15"/>
              </w:rPr>
              <w:t>0.48</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冶金焦筛分处理（1#）</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冶金焦筛分、料仓、斗提机</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DA023</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jc w:val="center"/>
              <w:rPr>
                <w:color w:val="auto"/>
                <w:sz w:val="15"/>
                <w:szCs w:val="15"/>
              </w:rPr>
            </w:pPr>
            <w:r>
              <w:rPr>
                <w:rFonts w:hint="eastAsia"/>
                <w:color w:val="auto"/>
                <w:sz w:val="15"/>
                <w:szCs w:val="15"/>
              </w:rPr>
              <w:t>20000</w:t>
            </w:r>
          </w:p>
        </w:tc>
        <w:tc>
          <w:tcPr>
            <w:tcW w:w="793" w:type="dxa"/>
            <w:tcBorders>
              <w:tl2br w:val="nil"/>
              <w:tr2bl w:val="nil"/>
            </w:tcBorders>
            <w:vAlign w:val="center"/>
          </w:tcPr>
          <w:p>
            <w:pPr>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jc w:val="center"/>
              <w:rPr>
                <w:color w:val="auto"/>
                <w:sz w:val="15"/>
                <w:szCs w:val="15"/>
              </w:rPr>
            </w:pPr>
            <w:r>
              <w:rPr>
                <w:rFonts w:hint="eastAsia"/>
                <w:color w:val="auto"/>
                <w:sz w:val="15"/>
                <w:szCs w:val="15"/>
              </w:rPr>
              <w:t>40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过滤面积，560m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20000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0.200</w:t>
            </w:r>
          </w:p>
        </w:tc>
        <w:tc>
          <w:tcPr>
            <w:tcW w:w="599" w:type="dxa"/>
            <w:tcBorders>
              <w:tl2br w:val="nil"/>
              <w:tr2bl w:val="nil"/>
            </w:tcBorders>
            <w:vAlign w:val="center"/>
          </w:tcPr>
          <w:p>
            <w:pPr>
              <w:jc w:val="center"/>
              <w:rPr>
                <w:color w:val="auto"/>
                <w:sz w:val="15"/>
                <w:szCs w:val="15"/>
              </w:rPr>
            </w:pPr>
            <w:r>
              <w:rPr>
                <w:rFonts w:hint="eastAsia"/>
                <w:color w:val="auto"/>
                <w:sz w:val="15"/>
                <w:szCs w:val="15"/>
              </w:rPr>
              <w:t>0.48</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石墨化</w:t>
            </w:r>
            <w:r>
              <w:rPr>
                <w:rFonts w:hint="eastAsia"/>
                <w:b/>
                <w:bCs/>
                <w:color w:val="auto"/>
                <w:sz w:val="15"/>
                <w:szCs w:val="15"/>
              </w:rPr>
              <w:t>（一期工程）</w:t>
            </w: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石墨化</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石墨化炉</w:t>
            </w:r>
          </w:p>
        </w:tc>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DA024</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颗粒物</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vMerge w:val="restart"/>
            <w:tcBorders>
              <w:tl2br w:val="nil"/>
              <w:tr2bl w:val="nil"/>
            </w:tcBorders>
            <w:vAlign w:val="center"/>
          </w:tcPr>
          <w:p>
            <w:pPr>
              <w:adjustRightInd w:val="0"/>
              <w:jc w:val="center"/>
              <w:rPr>
                <w:color w:val="auto"/>
                <w:sz w:val="15"/>
                <w:szCs w:val="15"/>
              </w:rPr>
            </w:pPr>
            <w:r>
              <w:rPr>
                <w:rFonts w:hint="eastAsia"/>
                <w:color w:val="auto"/>
                <w:sz w:val="15"/>
                <w:szCs w:val="15"/>
              </w:rPr>
              <w:t>90000</w:t>
            </w:r>
          </w:p>
        </w:tc>
        <w:tc>
          <w:tcPr>
            <w:tcW w:w="793" w:type="dxa"/>
            <w:tcBorders>
              <w:tl2br w:val="nil"/>
              <w:tr2bl w:val="nil"/>
            </w:tcBorders>
            <w:vAlign w:val="center"/>
          </w:tcPr>
          <w:p>
            <w:pPr>
              <w:jc w:val="center"/>
              <w:rPr>
                <w:color w:val="auto"/>
                <w:sz w:val="15"/>
                <w:szCs w:val="15"/>
              </w:rPr>
            </w:pPr>
            <w:r>
              <w:rPr>
                <w:rFonts w:hint="eastAsia"/>
                <w:color w:val="auto"/>
                <w:sz w:val="15"/>
                <w:szCs w:val="15"/>
              </w:rPr>
              <w:t>500</w:t>
            </w:r>
          </w:p>
        </w:tc>
        <w:tc>
          <w:tcPr>
            <w:tcW w:w="0" w:type="auto"/>
            <w:tcBorders>
              <w:tl2br w:val="nil"/>
              <w:tr2bl w:val="nil"/>
            </w:tcBorders>
            <w:vAlign w:val="center"/>
          </w:tcPr>
          <w:p>
            <w:pPr>
              <w:jc w:val="center"/>
              <w:rPr>
                <w:color w:val="auto"/>
                <w:sz w:val="15"/>
                <w:szCs w:val="15"/>
              </w:rPr>
            </w:pPr>
            <w:r>
              <w:rPr>
                <w:rFonts w:hint="eastAsia"/>
                <w:color w:val="auto"/>
                <w:sz w:val="15"/>
                <w:szCs w:val="15"/>
              </w:rPr>
              <w:t>45</w:t>
            </w:r>
          </w:p>
        </w:tc>
        <w:tc>
          <w:tcPr>
            <w:tcW w:w="2104" w:type="dxa"/>
            <w:vMerge w:val="restart"/>
            <w:tcBorders>
              <w:tl2br w:val="nil"/>
              <w:tr2bl w:val="nil"/>
            </w:tcBorders>
            <w:vAlign w:val="center"/>
          </w:tcPr>
          <w:p>
            <w:pPr>
              <w:adjustRightInd w:val="0"/>
              <w:jc w:val="center"/>
              <w:rPr>
                <w:rFonts w:hAnsi="宋体"/>
                <w:bCs/>
                <w:color w:val="auto"/>
                <w:sz w:val="15"/>
                <w:szCs w:val="15"/>
              </w:rPr>
            </w:pPr>
            <w:r>
              <w:rPr>
                <w:rFonts w:hint="eastAsia" w:hAnsi="宋体"/>
                <w:bCs/>
                <w:color w:val="auto"/>
                <w:sz w:val="15"/>
                <w:szCs w:val="15"/>
              </w:rPr>
              <w:t>石灰-石膏法脱硫+二级除雾</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vMerge w:val="restart"/>
            <w:tcBorders>
              <w:tl2br w:val="nil"/>
              <w:tr2bl w:val="nil"/>
            </w:tcBorders>
            <w:vAlign w:val="center"/>
          </w:tcPr>
          <w:p>
            <w:pPr>
              <w:jc w:val="center"/>
              <w:rPr>
                <w:color w:val="auto"/>
                <w:sz w:val="15"/>
                <w:szCs w:val="15"/>
              </w:rPr>
            </w:pPr>
            <w:r>
              <w:rPr>
                <w:rFonts w:hint="eastAsia"/>
                <w:color w:val="auto"/>
                <w:sz w:val="15"/>
                <w:szCs w:val="15"/>
              </w:rPr>
              <w:t>90000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0.9</w:t>
            </w:r>
          </w:p>
        </w:tc>
        <w:tc>
          <w:tcPr>
            <w:tcW w:w="599" w:type="dxa"/>
            <w:tcBorders>
              <w:tl2br w:val="nil"/>
              <w:tr2bl w:val="nil"/>
            </w:tcBorders>
            <w:vAlign w:val="center"/>
          </w:tcPr>
          <w:p>
            <w:pPr>
              <w:jc w:val="center"/>
              <w:rPr>
                <w:color w:val="auto"/>
                <w:sz w:val="15"/>
                <w:szCs w:val="15"/>
              </w:rPr>
            </w:pPr>
            <w:r>
              <w:rPr>
                <w:rFonts w:hint="eastAsia"/>
                <w:color w:val="auto"/>
                <w:sz w:val="15"/>
                <w:szCs w:val="15"/>
              </w:rPr>
              <w:t>6.48</w:t>
            </w:r>
          </w:p>
        </w:tc>
        <w:tc>
          <w:tcPr>
            <w:tcW w:w="0" w:type="auto"/>
            <w:vMerge w:val="restart"/>
            <w:tcBorders>
              <w:tl2br w:val="nil"/>
              <w:tr2bl w:val="nil"/>
            </w:tcBorders>
            <w:vAlign w:val="center"/>
          </w:tcPr>
          <w:p>
            <w:pPr>
              <w:jc w:val="center"/>
              <w:rPr>
                <w:color w:val="auto"/>
                <w:spacing w:val="4"/>
                <w:sz w:val="15"/>
                <w:szCs w:val="15"/>
              </w:rPr>
            </w:pPr>
            <w:r>
              <w:rPr>
                <w:rFonts w:hint="eastAsia"/>
                <w:color w:val="auto"/>
                <w:spacing w:val="4"/>
                <w:sz w:val="15"/>
                <w:szCs w:val="15"/>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SO</w:t>
            </w:r>
            <w:r>
              <w:rPr>
                <w:rFonts w:hint="eastAsia"/>
                <w:color w:val="auto"/>
                <w:sz w:val="15"/>
                <w:szCs w:val="15"/>
                <w:vertAlign w:val="subscript"/>
              </w:rPr>
              <w:t>2</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物料衡算法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jc w:val="center"/>
              <w:rPr>
                <w:color w:val="auto"/>
                <w:sz w:val="15"/>
                <w:szCs w:val="15"/>
              </w:rPr>
            </w:pPr>
            <w:r>
              <w:rPr>
                <w:rFonts w:hint="eastAsia"/>
                <w:color w:val="auto"/>
                <w:sz w:val="15"/>
                <w:szCs w:val="15"/>
              </w:rPr>
              <w:t>143</w:t>
            </w:r>
          </w:p>
        </w:tc>
        <w:tc>
          <w:tcPr>
            <w:tcW w:w="0" w:type="auto"/>
            <w:tcBorders>
              <w:tl2br w:val="nil"/>
              <w:tr2bl w:val="nil"/>
            </w:tcBorders>
            <w:vAlign w:val="center"/>
          </w:tcPr>
          <w:p>
            <w:pPr>
              <w:jc w:val="center"/>
              <w:rPr>
                <w:color w:val="auto"/>
                <w:sz w:val="15"/>
                <w:szCs w:val="15"/>
              </w:rPr>
            </w:pPr>
            <w:r>
              <w:rPr>
                <w:rFonts w:hint="eastAsia"/>
                <w:color w:val="auto"/>
                <w:sz w:val="15"/>
                <w:szCs w:val="15"/>
              </w:rPr>
              <w:t>12.90</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物料衡算法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35</w:t>
            </w:r>
          </w:p>
        </w:tc>
        <w:tc>
          <w:tcPr>
            <w:tcW w:w="901" w:type="dxa"/>
            <w:tcBorders>
              <w:tl2br w:val="nil"/>
              <w:tr2bl w:val="nil"/>
            </w:tcBorders>
            <w:vAlign w:val="center"/>
          </w:tcPr>
          <w:p>
            <w:pPr>
              <w:jc w:val="center"/>
              <w:rPr>
                <w:color w:val="auto"/>
                <w:sz w:val="15"/>
                <w:szCs w:val="15"/>
              </w:rPr>
            </w:pPr>
            <w:r>
              <w:rPr>
                <w:rFonts w:hint="eastAsia"/>
                <w:color w:val="auto"/>
                <w:sz w:val="15"/>
                <w:szCs w:val="15"/>
              </w:rPr>
              <w:t>3.15</w:t>
            </w:r>
          </w:p>
        </w:tc>
        <w:tc>
          <w:tcPr>
            <w:tcW w:w="599" w:type="dxa"/>
            <w:tcBorders>
              <w:tl2br w:val="nil"/>
              <w:tr2bl w:val="nil"/>
            </w:tcBorders>
            <w:vAlign w:val="center"/>
          </w:tcPr>
          <w:p>
            <w:pPr>
              <w:jc w:val="center"/>
              <w:rPr>
                <w:color w:val="auto"/>
                <w:sz w:val="15"/>
                <w:szCs w:val="15"/>
              </w:rPr>
            </w:pPr>
            <w:r>
              <w:rPr>
                <w:rFonts w:hint="eastAsia"/>
                <w:color w:val="auto"/>
                <w:sz w:val="15"/>
                <w:szCs w:val="15"/>
              </w:rPr>
              <w:t>22.68</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NOx</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系数法</w:t>
            </w:r>
          </w:p>
        </w:tc>
        <w:tc>
          <w:tcPr>
            <w:tcW w:w="741" w:type="dxa"/>
            <w:vMerge w:val="continue"/>
            <w:tcBorders>
              <w:tl2br w:val="nil"/>
              <w:tr2bl w:val="nil"/>
            </w:tcBorders>
            <w:vAlign w:val="center"/>
          </w:tcPr>
          <w:p>
            <w:pPr>
              <w:adjustRightInd w:val="0"/>
              <w:jc w:val="center"/>
              <w:rPr>
                <w:color w:val="auto"/>
                <w:sz w:val="15"/>
                <w:szCs w:val="15"/>
              </w:rPr>
            </w:pPr>
          </w:p>
        </w:tc>
        <w:tc>
          <w:tcPr>
            <w:tcW w:w="793" w:type="dxa"/>
            <w:tcBorders>
              <w:tl2br w:val="nil"/>
              <w:tr2bl w:val="nil"/>
            </w:tcBorders>
            <w:vAlign w:val="center"/>
          </w:tcPr>
          <w:p>
            <w:pPr>
              <w:jc w:val="center"/>
              <w:rPr>
                <w:color w:val="auto"/>
                <w:sz w:val="15"/>
                <w:szCs w:val="15"/>
              </w:rPr>
            </w:pPr>
            <w:r>
              <w:rPr>
                <w:rFonts w:hint="eastAsia"/>
                <w:color w:val="auto"/>
                <w:sz w:val="15"/>
                <w:szCs w:val="15"/>
              </w:rPr>
              <w:t>4.38</w:t>
            </w:r>
          </w:p>
        </w:tc>
        <w:tc>
          <w:tcPr>
            <w:tcW w:w="0" w:type="auto"/>
            <w:tcBorders>
              <w:tl2br w:val="nil"/>
              <w:tr2bl w:val="nil"/>
            </w:tcBorders>
            <w:vAlign w:val="center"/>
          </w:tcPr>
          <w:p>
            <w:pPr>
              <w:jc w:val="center"/>
              <w:rPr>
                <w:color w:val="auto"/>
                <w:sz w:val="15"/>
                <w:szCs w:val="15"/>
              </w:rPr>
            </w:pPr>
            <w:r>
              <w:rPr>
                <w:rFonts w:hint="eastAsia"/>
                <w:color w:val="auto"/>
                <w:sz w:val="15"/>
                <w:szCs w:val="15"/>
              </w:rPr>
              <w:t>0.394</w:t>
            </w:r>
          </w:p>
        </w:tc>
        <w:tc>
          <w:tcPr>
            <w:tcW w:w="2104" w:type="dxa"/>
            <w:vMerge w:val="continue"/>
            <w:tcBorders>
              <w:tl2br w:val="nil"/>
              <w:tr2bl w:val="nil"/>
            </w:tcBorders>
            <w:vAlign w:val="center"/>
          </w:tcPr>
          <w:p>
            <w:pPr>
              <w:adjustRightInd w:val="0"/>
              <w:jc w:val="center"/>
              <w:rPr>
                <w:rFonts w:hAnsi="宋体"/>
                <w:bCs/>
                <w:color w:val="auto"/>
                <w:sz w:val="15"/>
                <w:szCs w:val="15"/>
              </w:rPr>
            </w:pP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系数法</w:t>
            </w:r>
          </w:p>
        </w:tc>
        <w:tc>
          <w:tcPr>
            <w:tcW w:w="726" w:type="dxa"/>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4.38</w:t>
            </w:r>
          </w:p>
        </w:tc>
        <w:tc>
          <w:tcPr>
            <w:tcW w:w="901" w:type="dxa"/>
            <w:tcBorders>
              <w:tl2br w:val="nil"/>
              <w:tr2bl w:val="nil"/>
            </w:tcBorders>
            <w:vAlign w:val="center"/>
          </w:tcPr>
          <w:p>
            <w:pPr>
              <w:jc w:val="center"/>
              <w:rPr>
                <w:color w:val="auto"/>
                <w:sz w:val="15"/>
                <w:szCs w:val="15"/>
              </w:rPr>
            </w:pPr>
            <w:r>
              <w:rPr>
                <w:rFonts w:hint="eastAsia"/>
                <w:color w:val="auto"/>
                <w:sz w:val="15"/>
                <w:szCs w:val="15"/>
              </w:rPr>
              <w:t>0.394</w:t>
            </w:r>
          </w:p>
        </w:tc>
        <w:tc>
          <w:tcPr>
            <w:tcW w:w="599" w:type="dxa"/>
            <w:tcBorders>
              <w:tl2br w:val="nil"/>
              <w:tr2bl w:val="nil"/>
            </w:tcBorders>
            <w:vAlign w:val="center"/>
          </w:tcPr>
          <w:p>
            <w:pPr>
              <w:jc w:val="center"/>
              <w:rPr>
                <w:color w:val="auto"/>
                <w:sz w:val="15"/>
                <w:szCs w:val="15"/>
              </w:rPr>
            </w:pPr>
            <w:r>
              <w:rPr>
                <w:rFonts w:hint="eastAsia"/>
                <w:color w:val="auto"/>
                <w:sz w:val="15"/>
                <w:szCs w:val="15"/>
              </w:rPr>
              <w:t>2.837</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adjustRightInd w:val="0"/>
              <w:jc w:val="center"/>
              <w:rPr>
                <w:color w:val="auto"/>
                <w:sz w:val="15"/>
                <w:szCs w:val="15"/>
                <w:highlight w:val="none"/>
              </w:rPr>
            </w:pPr>
            <w:r>
              <w:rPr>
                <w:rFonts w:hint="eastAsia"/>
                <w:color w:val="auto"/>
                <w:sz w:val="15"/>
                <w:szCs w:val="15"/>
                <w:highlight w:val="none"/>
              </w:rPr>
              <w:t xml:space="preserve">CO </w:t>
            </w:r>
          </w:p>
        </w:tc>
        <w:tc>
          <w:tcPr>
            <w:tcW w:w="526" w:type="dxa"/>
            <w:tcBorders>
              <w:tl2br w:val="nil"/>
              <w:tr2bl w:val="nil"/>
            </w:tcBorders>
            <w:vAlign w:val="center"/>
          </w:tcPr>
          <w:p>
            <w:pPr>
              <w:adjustRightInd w:val="0"/>
              <w:jc w:val="center"/>
              <w:rPr>
                <w:color w:val="auto"/>
                <w:sz w:val="15"/>
                <w:szCs w:val="15"/>
                <w:highlight w:val="none"/>
              </w:rPr>
            </w:pPr>
            <w:r>
              <w:rPr>
                <w:rFonts w:hint="eastAsia"/>
                <w:color w:val="auto"/>
                <w:sz w:val="15"/>
                <w:szCs w:val="15"/>
                <w:highlight w:val="none"/>
              </w:rPr>
              <w:t>系数法</w:t>
            </w:r>
          </w:p>
        </w:tc>
        <w:tc>
          <w:tcPr>
            <w:tcW w:w="741" w:type="dxa"/>
            <w:vMerge w:val="continue"/>
            <w:tcBorders>
              <w:tl2br w:val="nil"/>
              <w:tr2bl w:val="nil"/>
            </w:tcBorders>
            <w:vAlign w:val="center"/>
          </w:tcPr>
          <w:p>
            <w:pPr>
              <w:adjustRightInd w:val="0"/>
              <w:jc w:val="center"/>
              <w:rPr>
                <w:color w:val="auto"/>
                <w:sz w:val="15"/>
                <w:szCs w:val="15"/>
                <w:highlight w:val="none"/>
              </w:rPr>
            </w:pPr>
          </w:p>
        </w:tc>
        <w:tc>
          <w:tcPr>
            <w:tcW w:w="793" w:type="dxa"/>
            <w:tcBorders>
              <w:tl2br w:val="nil"/>
              <w:tr2bl w:val="nil"/>
            </w:tcBorders>
            <w:vAlign w:val="center"/>
          </w:tcPr>
          <w:p>
            <w:pPr>
              <w:jc w:val="center"/>
              <w:rPr>
                <w:color w:val="auto"/>
                <w:sz w:val="15"/>
                <w:szCs w:val="15"/>
                <w:highlight w:val="none"/>
              </w:rPr>
            </w:pPr>
            <w:r>
              <w:rPr>
                <w:rFonts w:hint="eastAsia"/>
                <w:color w:val="auto"/>
                <w:sz w:val="15"/>
                <w:szCs w:val="15"/>
                <w:highlight w:val="none"/>
              </w:rPr>
              <w:t>11.84</w:t>
            </w:r>
          </w:p>
        </w:tc>
        <w:tc>
          <w:tcPr>
            <w:tcW w:w="0" w:type="auto"/>
            <w:tcBorders>
              <w:tl2br w:val="nil"/>
              <w:tr2bl w:val="nil"/>
            </w:tcBorders>
            <w:vAlign w:val="center"/>
          </w:tcPr>
          <w:p>
            <w:pPr>
              <w:jc w:val="center"/>
              <w:rPr>
                <w:color w:val="auto"/>
                <w:sz w:val="15"/>
                <w:szCs w:val="15"/>
                <w:highlight w:val="none"/>
              </w:rPr>
            </w:pPr>
            <w:r>
              <w:rPr>
                <w:rFonts w:hint="eastAsia"/>
                <w:color w:val="auto"/>
                <w:sz w:val="15"/>
                <w:szCs w:val="15"/>
                <w:highlight w:val="none"/>
              </w:rPr>
              <w:t>1.065</w:t>
            </w:r>
          </w:p>
        </w:tc>
        <w:tc>
          <w:tcPr>
            <w:tcW w:w="2104" w:type="dxa"/>
            <w:vMerge w:val="continue"/>
            <w:tcBorders>
              <w:tl2br w:val="nil"/>
              <w:tr2bl w:val="nil"/>
            </w:tcBorders>
            <w:vAlign w:val="center"/>
          </w:tcPr>
          <w:p>
            <w:pPr>
              <w:adjustRightInd w:val="0"/>
              <w:jc w:val="center"/>
              <w:rPr>
                <w:rFonts w:hAnsi="宋体"/>
                <w:bCs/>
                <w:color w:val="auto"/>
                <w:sz w:val="15"/>
                <w:szCs w:val="15"/>
                <w:highlight w:val="none"/>
              </w:rPr>
            </w:pPr>
          </w:p>
        </w:tc>
        <w:tc>
          <w:tcPr>
            <w:tcW w:w="597" w:type="dxa"/>
            <w:tcBorders>
              <w:tl2br w:val="nil"/>
              <w:tr2bl w:val="nil"/>
            </w:tcBorders>
            <w:vAlign w:val="center"/>
          </w:tcPr>
          <w:p>
            <w:pPr>
              <w:adjustRightInd w:val="0"/>
              <w:jc w:val="center"/>
              <w:rPr>
                <w:color w:val="auto"/>
                <w:sz w:val="15"/>
                <w:szCs w:val="15"/>
                <w:highlight w:val="none"/>
              </w:rPr>
            </w:pPr>
            <w:r>
              <w:rPr>
                <w:rFonts w:hint="eastAsia"/>
                <w:color w:val="auto"/>
                <w:sz w:val="15"/>
                <w:szCs w:val="15"/>
                <w:highlight w:val="none"/>
              </w:rPr>
              <w:t>系数法</w:t>
            </w:r>
          </w:p>
        </w:tc>
        <w:tc>
          <w:tcPr>
            <w:tcW w:w="726" w:type="dxa"/>
            <w:vMerge w:val="continue"/>
            <w:tcBorders>
              <w:tl2br w:val="nil"/>
              <w:tr2bl w:val="nil"/>
            </w:tcBorders>
            <w:vAlign w:val="center"/>
          </w:tcPr>
          <w:p>
            <w:pPr>
              <w:jc w:val="center"/>
              <w:rPr>
                <w:color w:val="auto"/>
                <w:sz w:val="15"/>
                <w:szCs w:val="15"/>
                <w:highlight w:val="none"/>
              </w:rPr>
            </w:pPr>
          </w:p>
        </w:tc>
        <w:tc>
          <w:tcPr>
            <w:tcW w:w="0" w:type="auto"/>
            <w:tcBorders>
              <w:tl2br w:val="nil"/>
              <w:tr2bl w:val="nil"/>
            </w:tcBorders>
            <w:vAlign w:val="center"/>
          </w:tcPr>
          <w:p>
            <w:pPr>
              <w:jc w:val="center"/>
              <w:rPr>
                <w:color w:val="auto"/>
                <w:sz w:val="15"/>
                <w:szCs w:val="15"/>
                <w:highlight w:val="none"/>
              </w:rPr>
            </w:pPr>
            <w:r>
              <w:rPr>
                <w:rFonts w:hint="eastAsia"/>
                <w:color w:val="auto"/>
                <w:sz w:val="15"/>
                <w:szCs w:val="15"/>
                <w:highlight w:val="none"/>
              </w:rPr>
              <w:t>11.84</w:t>
            </w:r>
          </w:p>
        </w:tc>
        <w:tc>
          <w:tcPr>
            <w:tcW w:w="901" w:type="dxa"/>
            <w:tcBorders>
              <w:tl2br w:val="nil"/>
              <w:tr2bl w:val="nil"/>
            </w:tcBorders>
            <w:vAlign w:val="center"/>
          </w:tcPr>
          <w:p>
            <w:pPr>
              <w:jc w:val="center"/>
              <w:rPr>
                <w:color w:val="auto"/>
                <w:sz w:val="15"/>
                <w:szCs w:val="15"/>
                <w:highlight w:val="none"/>
              </w:rPr>
            </w:pPr>
            <w:r>
              <w:rPr>
                <w:rFonts w:hint="eastAsia"/>
                <w:color w:val="auto"/>
                <w:sz w:val="15"/>
                <w:szCs w:val="15"/>
                <w:highlight w:val="none"/>
              </w:rPr>
              <w:t>1.065</w:t>
            </w:r>
          </w:p>
        </w:tc>
        <w:tc>
          <w:tcPr>
            <w:tcW w:w="599" w:type="dxa"/>
            <w:tcBorders>
              <w:tl2br w:val="nil"/>
              <w:tr2bl w:val="nil"/>
            </w:tcBorders>
            <w:vAlign w:val="center"/>
          </w:tcPr>
          <w:p>
            <w:pPr>
              <w:jc w:val="center"/>
              <w:rPr>
                <w:color w:val="auto"/>
                <w:sz w:val="15"/>
                <w:szCs w:val="15"/>
                <w:highlight w:val="none"/>
              </w:rPr>
            </w:pPr>
            <w:r>
              <w:rPr>
                <w:rFonts w:hint="eastAsia"/>
                <w:color w:val="auto"/>
                <w:sz w:val="15"/>
                <w:szCs w:val="15"/>
                <w:highlight w:val="none"/>
              </w:rPr>
              <w:t>7.668</w:t>
            </w:r>
          </w:p>
        </w:tc>
        <w:tc>
          <w:tcPr>
            <w:tcW w:w="0" w:type="auto"/>
            <w:vMerge w:val="continue"/>
            <w:tcBorders>
              <w:tl2br w:val="nil"/>
              <w:tr2bl w:val="nil"/>
            </w:tcBorders>
            <w:vAlign w:val="center"/>
          </w:tcPr>
          <w:p>
            <w:pPr>
              <w:jc w:val="center"/>
              <w:rPr>
                <w:color w:val="auto"/>
                <w:spacing w:val="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restart"/>
            <w:tcBorders>
              <w:tl2br w:val="nil"/>
              <w:tr2bl w:val="nil"/>
            </w:tcBorders>
            <w:vAlign w:val="center"/>
          </w:tcPr>
          <w:p>
            <w:pPr>
              <w:jc w:val="center"/>
              <w:rPr>
                <w:color w:val="auto"/>
                <w:sz w:val="15"/>
                <w:szCs w:val="15"/>
              </w:rPr>
            </w:pPr>
            <w:r>
              <w:rPr>
                <w:rFonts w:hint="eastAsia"/>
                <w:color w:val="auto"/>
                <w:sz w:val="15"/>
                <w:szCs w:val="15"/>
              </w:rPr>
              <w:t>石墨化端面</w:t>
            </w:r>
          </w:p>
          <w:p>
            <w:pPr>
              <w:jc w:val="center"/>
              <w:rPr>
                <w:color w:val="auto"/>
                <w:sz w:val="15"/>
                <w:szCs w:val="15"/>
              </w:rPr>
            </w:pPr>
            <w:r>
              <w:rPr>
                <w:rFonts w:hint="eastAsia"/>
                <w:color w:val="auto"/>
                <w:sz w:val="15"/>
                <w:szCs w:val="15"/>
              </w:rPr>
              <w:t>加工</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端面加工</w:t>
            </w:r>
          </w:p>
          <w:p>
            <w:pPr>
              <w:adjustRightInd w:val="0"/>
              <w:jc w:val="center"/>
              <w:rPr>
                <w:color w:val="auto"/>
                <w:sz w:val="15"/>
                <w:szCs w:val="15"/>
              </w:rPr>
            </w:pPr>
            <w:r>
              <w:rPr>
                <w:rFonts w:hint="eastAsia"/>
                <w:color w:val="auto"/>
                <w:sz w:val="15"/>
                <w:szCs w:val="15"/>
              </w:rPr>
              <w:t>设备</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DA025</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5000</w:t>
            </w:r>
          </w:p>
        </w:tc>
        <w:tc>
          <w:tcPr>
            <w:tcW w:w="793" w:type="dxa"/>
            <w:tcBorders>
              <w:tl2br w:val="nil"/>
              <w:tr2bl w:val="nil"/>
            </w:tcBorders>
            <w:vAlign w:val="center"/>
          </w:tcPr>
          <w:p>
            <w:pPr>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jc w:val="center"/>
              <w:rPr>
                <w:color w:val="auto"/>
                <w:sz w:val="15"/>
                <w:szCs w:val="15"/>
              </w:rPr>
            </w:pPr>
            <w:r>
              <w:rPr>
                <w:rFonts w:hint="eastAsia"/>
                <w:color w:val="auto"/>
                <w:sz w:val="15"/>
                <w:szCs w:val="15"/>
              </w:rPr>
              <w:t>5</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过滤面积，140m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5000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0.050</w:t>
            </w:r>
          </w:p>
        </w:tc>
        <w:tc>
          <w:tcPr>
            <w:tcW w:w="599" w:type="dxa"/>
            <w:tcBorders>
              <w:tl2br w:val="nil"/>
              <w:tr2bl w:val="nil"/>
            </w:tcBorders>
            <w:vAlign w:val="center"/>
          </w:tcPr>
          <w:p>
            <w:pPr>
              <w:jc w:val="center"/>
              <w:rPr>
                <w:color w:val="auto"/>
                <w:sz w:val="15"/>
                <w:szCs w:val="15"/>
              </w:rPr>
            </w:pPr>
            <w:r>
              <w:rPr>
                <w:rFonts w:hint="eastAsia"/>
                <w:color w:val="auto"/>
                <w:sz w:val="15"/>
                <w:szCs w:val="15"/>
              </w:rPr>
              <w:t>0.360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vMerge w:val="continue"/>
            <w:tcBorders>
              <w:tl2br w:val="nil"/>
              <w:tr2bl w:val="nil"/>
            </w:tcBorders>
            <w:vAlign w:val="center"/>
          </w:tcPr>
          <w:p>
            <w:pPr>
              <w:jc w:val="center"/>
              <w:rPr>
                <w:color w:val="auto"/>
                <w:sz w:val="15"/>
                <w:szCs w:val="15"/>
              </w:rPr>
            </w:pP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端面加工</w:t>
            </w:r>
          </w:p>
          <w:p>
            <w:pPr>
              <w:adjustRightInd w:val="0"/>
              <w:jc w:val="center"/>
              <w:rPr>
                <w:color w:val="auto"/>
                <w:sz w:val="15"/>
                <w:szCs w:val="15"/>
              </w:rPr>
            </w:pPr>
            <w:r>
              <w:rPr>
                <w:rFonts w:hint="eastAsia"/>
                <w:color w:val="auto"/>
                <w:sz w:val="15"/>
                <w:szCs w:val="15"/>
              </w:rPr>
              <w:t>设备</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DA026</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5000</w:t>
            </w:r>
          </w:p>
        </w:tc>
        <w:tc>
          <w:tcPr>
            <w:tcW w:w="793" w:type="dxa"/>
            <w:tcBorders>
              <w:tl2br w:val="nil"/>
              <w:tr2bl w:val="nil"/>
            </w:tcBorders>
            <w:vAlign w:val="center"/>
          </w:tcPr>
          <w:p>
            <w:pPr>
              <w:jc w:val="center"/>
              <w:rPr>
                <w:color w:val="auto"/>
                <w:sz w:val="15"/>
                <w:szCs w:val="15"/>
              </w:rPr>
            </w:pPr>
            <w:r>
              <w:rPr>
                <w:rFonts w:hint="eastAsia"/>
                <w:color w:val="auto"/>
                <w:sz w:val="15"/>
                <w:szCs w:val="15"/>
              </w:rPr>
              <w:t>1000</w:t>
            </w:r>
          </w:p>
        </w:tc>
        <w:tc>
          <w:tcPr>
            <w:tcW w:w="0" w:type="auto"/>
            <w:tcBorders>
              <w:tl2br w:val="nil"/>
              <w:tr2bl w:val="nil"/>
            </w:tcBorders>
            <w:vAlign w:val="center"/>
          </w:tcPr>
          <w:p>
            <w:pPr>
              <w:jc w:val="center"/>
              <w:rPr>
                <w:color w:val="auto"/>
                <w:sz w:val="15"/>
                <w:szCs w:val="15"/>
              </w:rPr>
            </w:pPr>
            <w:r>
              <w:rPr>
                <w:rFonts w:hint="eastAsia"/>
                <w:color w:val="auto"/>
                <w:sz w:val="15"/>
                <w:szCs w:val="15"/>
              </w:rPr>
              <w:t>5</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过滤面积，140m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5000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0.050</w:t>
            </w:r>
          </w:p>
        </w:tc>
        <w:tc>
          <w:tcPr>
            <w:tcW w:w="599" w:type="dxa"/>
            <w:tcBorders>
              <w:tl2br w:val="nil"/>
              <w:tr2bl w:val="nil"/>
            </w:tcBorders>
            <w:vAlign w:val="center"/>
          </w:tcPr>
          <w:p>
            <w:pPr>
              <w:jc w:val="center"/>
              <w:rPr>
                <w:color w:val="auto"/>
                <w:sz w:val="15"/>
                <w:szCs w:val="15"/>
              </w:rPr>
            </w:pPr>
            <w:r>
              <w:rPr>
                <w:rFonts w:hint="eastAsia"/>
                <w:color w:val="auto"/>
                <w:sz w:val="15"/>
                <w:szCs w:val="15"/>
              </w:rPr>
              <w:t>0.360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0" w:type="auto"/>
            <w:vMerge w:val="restart"/>
            <w:tcBorders>
              <w:tl2br w:val="nil"/>
              <w:tr2bl w:val="nil"/>
            </w:tcBorders>
            <w:vAlign w:val="center"/>
          </w:tcPr>
          <w:p>
            <w:pPr>
              <w:adjustRightInd w:val="0"/>
              <w:jc w:val="center"/>
              <w:rPr>
                <w:color w:val="auto"/>
                <w:sz w:val="15"/>
                <w:szCs w:val="15"/>
              </w:rPr>
            </w:pPr>
            <w:r>
              <w:rPr>
                <w:rFonts w:hint="eastAsia"/>
                <w:color w:val="auto"/>
                <w:sz w:val="15"/>
                <w:szCs w:val="15"/>
              </w:rPr>
              <w:t>机加工</w:t>
            </w:r>
            <w:r>
              <w:rPr>
                <w:rFonts w:hint="eastAsia"/>
                <w:b/>
                <w:bCs/>
                <w:color w:val="auto"/>
                <w:sz w:val="15"/>
                <w:szCs w:val="15"/>
              </w:rPr>
              <w:t>（二期工程）</w:t>
            </w:r>
          </w:p>
        </w:tc>
        <w:tc>
          <w:tcPr>
            <w:tcW w:w="0" w:type="auto"/>
            <w:tcBorders>
              <w:tl2br w:val="nil"/>
              <w:tr2bl w:val="nil"/>
            </w:tcBorders>
            <w:vAlign w:val="center"/>
          </w:tcPr>
          <w:p>
            <w:pPr>
              <w:jc w:val="center"/>
              <w:rPr>
                <w:color w:val="auto"/>
                <w:sz w:val="15"/>
                <w:szCs w:val="15"/>
              </w:rPr>
            </w:pPr>
            <w:r>
              <w:rPr>
                <w:rFonts w:hint="eastAsia"/>
                <w:color w:val="auto"/>
                <w:sz w:val="15"/>
                <w:szCs w:val="15"/>
              </w:rPr>
              <w:t>机加工序输送</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输送设备</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DA027</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5000</w:t>
            </w:r>
          </w:p>
        </w:tc>
        <w:tc>
          <w:tcPr>
            <w:tcW w:w="793" w:type="dxa"/>
            <w:tcBorders>
              <w:tl2br w:val="nil"/>
              <w:tr2bl w:val="nil"/>
            </w:tcBorders>
            <w:vAlign w:val="center"/>
          </w:tcPr>
          <w:p>
            <w:pPr>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过滤面积，140m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5000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0.050</w:t>
            </w:r>
          </w:p>
        </w:tc>
        <w:tc>
          <w:tcPr>
            <w:tcW w:w="599" w:type="dxa"/>
            <w:tcBorders>
              <w:tl2br w:val="nil"/>
              <w:tr2bl w:val="nil"/>
            </w:tcBorders>
            <w:vAlign w:val="center"/>
          </w:tcPr>
          <w:p>
            <w:pPr>
              <w:jc w:val="center"/>
              <w:rPr>
                <w:color w:val="auto"/>
                <w:sz w:val="15"/>
                <w:szCs w:val="15"/>
              </w:rPr>
            </w:pPr>
            <w:r>
              <w:rPr>
                <w:rFonts w:hint="eastAsia"/>
                <w:color w:val="auto"/>
                <w:sz w:val="15"/>
                <w:szCs w:val="15"/>
              </w:rPr>
              <w:t>0.315</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本体机加</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本体机加设备、料仓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DA028</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 xml:space="preserve">50000 </w:t>
            </w:r>
          </w:p>
        </w:tc>
        <w:tc>
          <w:tcPr>
            <w:tcW w:w="793" w:type="dxa"/>
            <w:tcBorders>
              <w:tl2br w:val="nil"/>
              <w:tr2bl w:val="nil"/>
            </w:tcBorders>
            <w:vAlign w:val="center"/>
          </w:tcPr>
          <w:p>
            <w:pPr>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jc w:val="center"/>
              <w:rPr>
                <w:color w:val="auto"/>
                <w:sz w:val="15"/>
                <w:szCs w:val="15"/>
              </w:rPr>
            </w:pPr>
            <w:r>
              <w:rPr>
                <w:rFonts w:hint="eastAsia"/>
                <w:color w:val="auto"/>
                <w:sz w:val="15"/>
                <w:szCs w:val="15"/>
              </w:rPr>
              <w:t>100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过滤面积，1400m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50000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0.500</w:t>
            </w:r>
          </w:p>
        </w:tc>
        <w:tc>
          <w:tcPr>
            <w:tcW w:w="599" w:type="dxa"/>
            <w:tcBorders>
              <w:tl2br w:val="nil"/>
              <w:tr2bl w:val="nil"/>
            </w:tcBorders>
            <w:vAlign w:val="center"/>
          </w:tcPr>
          <w:p>
            <w:pPr>
              <w:jc w:val="center"/>
              <w:rPr>
                <w:color w:val="auto"/>
                <w:sz w:val="15"/>
                <w:szCs w:val="15"/>
              </w:rPr>
            </w:pPr>
            <w:r>
              <w:rPr>
                <w:rFonts w:hint="eastAsia"/>
                <w:color w:val="auto"/>
                <w:sz w:val="15"/>
                <w:szCs w:val="15"/>
              </w:rPr>
              <w:t>3.150</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接头机加</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接头机加设备、料仓</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DA029</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35000</w:t>
            </w:r>
          </w:p>
        </w:tc>
        <w:tc>
          <w:tcPr>
            <w:tcW w:w="793" w:type="dxa"/>
            <w:tcBorders>
              <w:tl2br w:val="nil"/>
              <w:tr2bl w:val="nil"/>
            </w:tcBorders>
            <w:vAlign w:val="center"/>
          </w:tcPr>
          <w:p>
            <w:pPr>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jc w:val="center"/>
              <w:rPr>
                <w:color w:val="auto"/>
                <w:sz w:val="15"/>
                <w:szCs w:val="15"/>
              </w:rPr>
            </w:pPr>
            <w:r>
              <w:rPr>
                <w:rFonts w:hint="eastAsia"/>
                <w:color w:val="auto"/>
                <w:sz w:val="15"/>
                <w:szCs w:val="15"/>
              </w:rPr>
              <w:t>70</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rPr>
              <w:t>布袋除尘器</w:t>
            </w:r>
            <w:r>
              <w:rPr>
                <w:rFonts w:hint="eastAsia" w:hAnsi="宋体"/>
                <w:bCs/>
                <w:color w:val="auto"/>
                <w:sz w:val="15"/>
                <w:szCs w:val="15"/>
                <w:lang w:eastAsia="zh-CN"/>
              </w:rPr>
              <w:t>；</w:t>
            </w:r>
            <w:r>
              <w:rPr>
                <w:rFonts w:hint="eastAsia"/>
                <w:color w:val="auto"/>
                <w:sz w:val="15"/>
                <w:szCs w:val="15"/>
                <w:lang w:val="en-US" w:eastAsia="zh-CN"/>
              </w:rPr>
              <w:t>过滤面积，980m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35000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0.350</w:t>
            </w:r>
          </w:p>
        </w:tc>
        <w:tc>
          <w:tcPr>
            <w:tcW w:w="599" w:type="dxa"/>
            <w:tcBorders>
              <w:tl2br w:val="nil"/>
              <w:tr2bl w:val="nil"/>
            </w:tcBorders>
            <w:vAlign w:val="center"/>
          </w:tcPr>
          <w:p>
            <w:pPr>
              <w:jc w:val="center"/>
              <w:rPr>
                <w:color w:val="auto"/>
                <w:sz w:val="15"/>
                <w:szCs w:val="15"/>
              </w:rPr>
            </w:pPr>
            <w:r>
              <w:rPr>
                <w:rFonts w:hint="eastAsia"/>
                <w:color w:val="auto"/>
                <w:sz w:val="15"/>
                <w:szCs w:val="15"/>
              </w:rPr>
              <w:t>0.735</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tcBorders>
              <w:tl2br w:val="nil"/>
              <w:tr2bl w:val="nil"/>
            </w:tcBorders>
            <w:vAlign w:val="center"/>
          </w:tcPr>
          <w:p>
            <w:pPr>
              <w:adjustRightInd w:val="0"/>
              <w:jc w:val="center"/>
              <w:rPr>
                <w:color w:val="auto"/>
                <w:sz w:val="15"/>
                <w:szCs w:val="15"/>
              </w:rPr>
            </w:pPr>
          </w:p>
        </w:tc>
        <w:tc>
          <w:tcPr>
            <w:tcW w:w="0" w:type="auto"/>
            <w:tcBorders>
              <w:tl2br w:val="nil"/>
              <w:tr2bl w:val="nil"/>
            </w:tcBorders>
            <w:vAlign w:val="center"/>
          </w:tcPr>
          <w:p>
            <w:pPr>
              <w:jc w:val="center"/>
              <w:rPr>
                <w:color w:val="auto"/>
                <w:sz w:val="15"/>
                <w:szCs w:val="15"/>
              </w:rPr>
            </w:pPr>
            <w:r>
              <w:rPr>
                <w:rFonts w:hint="eastAsia"/>
                <w:color w:val="auto"/>
                <w:sz w:val="15"/>
                <w:szCs w:val="15"/>
              </w:rPr>
              <w:t>机加工化验</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机加工化验设备</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DA030</w:t>
            </w:r>
          </w:p>
        </w:tc>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粉尘</w:t>
            </w:r>
          </w:p>
        </w:tc>
        <w:tc>
          <w:tcPr>
            <w:tcW w:w="526"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41" w:type="dxa"/>
            <w:tcBorders>
              <w:tl2br w:val="nil"/>
              <w:tr2bl w:val="nil"/>
            </w:tcBorders>
            <w:vAlign w:val="center"/>
          </w:tcPr>
          <w:p>
            <w:pPr>
              <w:adjustRightInd w:val="0"/>
              <w:jc w:val="center"/>
              <w:rPr>
                <w:color w:val="auto"/>
                <w:sz w:val="15"/>
                <w:szCs w:val="15"/>
              </w:rPr>
            </w:pPr>
            <w:r>
              <w:rPr>
                <w:rFonts w:hint="eastAsia"/>
                <w:color w:val="auto"/>
                <w:sz w:val="15"/>
                <w:szCs w:val="15"/>
              </w:rPr>
              <w:t>3000</w:t>
            </w:r>
          </w:p>
        </w:tc>
        <w:tc>
          <w:tcPr>
            <w:tcW w:w="793" w:type="dxa"/>
            <w:tcBorders>
              <w:tl2br w:val="nil"/>
              <w:tr2bl w:val="nil"/>
            </w:tcBorders>
            <w:vAlign w:val="center"/>
          </w:tcPr>
          <w:p>
            <w:pPr>
              <w:jc w:val="center"/>
              <w:rPr>
                <w:color w:val="auto"/>
                <w:sz w:val="15"/>
                <w:szCs w:val="15"/>
              </w:rPr>
            </w:pPr>
            <w:r>
              <w:rPr>
                <w:rFonts w:hint="eastAsia"/>
                <w:color w:val="auto"/>
                <w:sz w:val="15"/>
                <w:szCs w:val="15"/>
              </w:rPr>
              <w:t>2000</w:t>
            </w:r>
          </w:p>
        </w:tc>
        <w:tc>
          <w:tcPr>
            <w:tcW w:w="0" w:type="auto"/>
            <w:tcBorders>
              <w:tl2br w:val="nil"/>
              <w:tr2bl w:val="nil"/>
            </w:tcBorders>
            <w:vAlign w:val="center"/>
          </w:tcPr>
          <w:p>
            <w:pPr>
              <w:jc w:val="center"/>
              <w:rPr>
                <w:color w:val="auto"/>
                <w:sz w:val="15"/>
                <w:szCs w:val="15"/>
              </w:rPr>
            </w:pPr>
            <w:r>
              <w:rPr>
                <w:rFonts w:hint="eastAsia"/>
                <w:color w:val="auto"/>
                <w:sz w:val="15"/>
                <w:szCs w:val="15"/>
              </w:rPr>
              <w:t>6</w:t>
            </w:r>
          </w:p>
        </w:tc>
        <w:tc>
          <w:tcPr>
            <w:tcW w:w="2104" w:type="dxa"/>
            <w:tcBorders>
              <w:tl2br w:val="nil"/>
              <w:tr2bl w:val="nil"/>
            </w:tcBorders>
            <w:vAlign w:val="center"/>
          </w:tcPr>
          <w:p>
            <w:pPr>
              <w:adjustRightInd w:val="0"/>
              <w:jc w:val="center"/>
              <w:rPr>
                <w:rFonts w:hint="eastAsia" w:hAnsi="宋体" w:eastAsia="宋体"/>
                <w:bCs/>
                <w:color w:val="auto"/>
                <w:sz w:val="15"/>
                <w:szCs w:val="15"/>
                <w:lang w:eastAsia="zh-CN"/>
              </w:rPr>
            </w:pPr>
            <w:r>
              <w:rPr>
                <w:rFonts w:hint="eastAsia" w:hAnsi="宋体"/>
                <w:bCs/>
                <w:color w:val="auto"/>
                <w:sz w:val="15"/>
                <w:szCs w:val="15"/>
                <w:lang w:val="en-US" w:eastAsia="zh-CN"/>
              </w:rPr>
              <w:t>90</w:t>
            </w:r>
            <w:r>
              <w:rPr>
                <w:rFonts w:hint="eastAsia"/>
                <w:color w:val="auto"/>
                <w:sz w:val="15"/>
                <w:szCs w:val="15"/>
                <w:lang w:val="en-US" w:eastAsia="zh-CN"/>
              </w:rPr>
              <w:t>m</w:t>
            </w:r>
            <w:r>
              <w:rPr>
                <w:rFonts w:hint="eastAsia"/>
                <w:color w:val="auto"/>
                <w:sz w:val="15"/>
                <w:szCs w:val="15"/>
                <w:vertAlign w:val="superscript"/>
                <w:lang w:val="en-US" w:eastAsia="zh-CN"/>
              </w:rPr>
              <w:t>2</w:t>
            </w:r>
            <w:r>
              <w:rPr>
                <w:rFonts w:hint="eastAsia"/>
                <w:color w:val="auto"/>
                <w:sz w:val="15"/>
                <w:szCs w:val="15"/>
                <w:lang w:val="en-US" w:eastAsia="zh-CN"/>
              </w:rPr>
              <w:t>；覆膜滤料；过滤风速≤0.6m/min</w:t>
            </w:r>
          </w:p>
        </w:tc>
        <w:tc>
          <w:tcPr>
            <w:tcW w:w="597" w:type="dxa"/>
            <w:tcBorders>
              <w:tl2br w:val="nil"/>
              <w:tr2bl w:val="nil"/>
            </w:tcBorders>
            <w:vAlign w:val="center"/>
          </w:tcPr>
          <w:p>
            <w:pPr>
              <w:adjustRightInd w:val="0"/>
              <w:jc w:val="center"/>
              <w:rPr>
                <w:color w:val="auto"/>
                <w:sz w:val="15"/>
                <w:szCs w:val="15"/>
              </w:rPr>
            </w:pPr>
            <w:r>
              <w:rPr>
                <w:rFonts w:hint="eastAsia"/>
                <w:color w:val="auto"/>
                <w:sz w:val="15"/>
                <w:szCs w:val="15"/>
              </w:rPr>
              <w:t>类比法</w:t>
            </w:r>
          </w:p>
        </w:tc>
        <w:tc>
          <w:tcPr>
            <w:tcW w:w="726" w:type="dxa"/>
            <w:tcBorders>
              <w:tl2br w:val="nil"/>
              <w:tr2bl w:val="nil"/>
            </w:tcBorders>
            <w:vAlign w:val="center"/>
          </w:tcPr>
          <w:p>
            <w:pPr>
              <w:jc w:val="center"/>
              <w:rPr>
                <w:color w:val="auto"/>
                <w:sz w:val="15"/>
                <w:szCs w:val="15"/>
              </w:rPr>
            </w:pPr>
            <w:r>
              <w:rPr>
                <w:rFonts w:hint="eastAsia"/>
                <w:color w:val="auto"/>
                <w:sz w:val="15"/>
                <w:szCs w:val="15"/>
              </w:rPr>
              <w:t>3000</w:t>
            </w:r>
          </w:p>
        </w:tc>
        <w:tc>
          <w:tcPr>
            <w:tcW w:w="0" w:type="auto"/>
            <w:tcBorders>
              <w:tl2br w:val="nil"/>
              <w:tr2bl w:val="nil"/>
            </w:tcBorders>
            <w:vAlign w:val="center"/>
          </w:tcPr>
          <w:p>
            <w:pPr>
              <w:jc w:val="center"/>
              <w:rPr>
                <w:color w:val="auto"/>
                <w:sz w:val="15"/>
                <w:szCs w:val="15"/>
              </w:rPr>
            </w:pPr>
            <w:r>
              <w:rPr>
                <w:rFonts w:hint="eastAsia"/>
                <w:color w:val="auto"/>
                <w:sz w:val="15"/>
                <w:szCs w:val="15"/>
              </w:rPr>
              <w:t>10</w:t>
            </w:r>
          </w:p>
        </w:tc>
        <w:tc>
          <w:tcPr>
            <w:tcW w:w="901" w:type="dxa"/>
            <w:tcBorders>
              <w:tl2br w:val="nil"/>
              <w:tr2bl w:val="nil"/>
            </w:tcBorders>
            <w:vAlign w:val="center"/>
          </w:tcPr>
          <w:p>
            <w:pPr>
              <w:jc w:val="center"/>
              <w:rPr>
                <w:color w:val="auto"/>
                <w:sz w:val="15"/>
                <w:szCs w:val="15"/>
              </w:rPr>
            </w:pPr>
            <w:r>
              <w:rPr>
                <w:rFonts w:hint="eastAsia"/>
                <w:color w:val="auto"/>
                <w:sz w:val="15"/>
                <w:szCs w:val="15"/>
              </w:rPr>
              <w:t>0.060</w:t>
            </w:r>
          </w:p>
        </w:tc>
        <w:tc>
          <w:tcPr>
            <w:tcW w:w="599" w:type="dxa"/>
            <w:tcBorders>
              <w:tl2br w:val="nil"/>
              <w:tr2bl w:val="nil"/>
            </w:tcBorders>
            <w:vAlign w:val="center"/>
          </w:tcPr>
          <w:p>
            <w:pPr>
              <w:jc w:val="center"/>
              <w:rPr>
                <w:color w:val="auto"/>
                <w:sz w:val="15"/>
                <w:szCs w:val="15"/>
              </w:rPr>
            </w:pPr>
            <w:r>
              <w:rPr>
                <w:rFonts w:hint="eastAsia"/>
                <w:color w:val="auto"/>
                <w:sz w:val="15"/>
                <w:szCs w:val="15"/>
              </w:rPr>
              <w:t>0.144</w:t>
            </w:r>
          </w:p>
        </w:tc>
        <w:tc>
          <w:tcPr>
            <w:tcW w:w="0" w:type="auto"/>
            <w:tcBorders>
              <w:tl2br w:val="nil"/>
              <w:tr2bl w:val="nil"/>
            </w:tcBorders>
            <w:vAlign w:val="center"/>
          </w:tcPr>
          <w:p>
            <w:pPr>
              <w:jc w:val="center"/>
              <w:rPr>
                <w:color w:val="auto"/>
                <w:spacing w:val="4"/>
                <w:sz w:val="15"/>
                <w:szCs w:val="15"/>
              </w:rPr>
            </w:pPr>
            <w:r>
              <w:rPr>
                <w:rFonts w:hint="eastAsia"/>
                <w:color w:val="auto"/>
                <w:spacing w:val="4"/>
                <w:sz w:val="15"/>
                <w:szCs w:val="15"/>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center"/>
          </w:tcPr>
          <w:p>
            <w:pPr>
              <w:adjustRightInd w:val="0"/>
              <w:jc w:val="center"/>
              <w:rPr>
                <w:color w:val="auto"/>
                <w:sz w:val="15"/>
                <w:szCs w:val="15"/>
              </w:rPr>
            </w:pPr>
            <w:r>
              <w:rPr>
                <w:rFonts w:hint="eastAsia"/>
                <w:color w:val="auto"/>
                <w:sz w:val="15"/>
                <w:szCs w:val="15"/>
              </w:rPr>
              <w:t>合计</w:t>
            </w:r>
          </w:p>
        </w:tc>
        <w:tc>
          <w:tcPr>
            <w:tcW w:w="12595" w:type="dxa"/>
            <w:gridSpan w:val="15"/>
            <w:tcBorders>
              <w:tl2br w:val="nil"/>
              <w:tr2bl w:val="nil"/>
            </w:tcBorders>
            <w:vAlign w:val="center"/>
          </w:tcPr>
          <w:p>
            <w:pPr>
              <w:jc w:val="center"/>
              <w:rPr>
                <w:color w:val="auto"/>
                <w:spacing w:val="4"/>
                <w:sz w:val="15"/>
                <w:szCs w:val="15"/>
              </w:rPr>
            </w:pPr>
            <w:r>
              <w:rPr>
                <w:rFonts w:hint="eastAsia"/>
                <w:color w:val="auto"/>
                <w:spacing w:val="4"/>
                <w:sz w:val="15"/>
                <w:szCs w:val="15"/>
              </w:rPr>
              <w:t>项目有组织废气排放量：颗粒物33.</w:t>
            </w:r>
            <w:r>
              <w:rPr>
                <w:rFonts w:hint="eastAsia"/>
                <w:color w:val="auto"/>
                <w:spacing w:val="4"/>
                <w:sz w:val="15"/>
                <w:szCs w:val="15"/>
                <w:lang w:val="en-US" w:eastAsia="zh-CN"/>
              </w:rPr>
              <w:t>889</w:t>
            </w:r>
            <w:r>
              <w:rPr>
                <w:rFonts w:hint="eastAsia"/>
                <w:color w:val="auto"/>
                <w:spacing w:val="4"/>
                <w:sz w:val="15"/>
                <w:szCs w:val="15"/>
              </w:rPr>
              <w:t xml:space="preserve">t/a；二氧化硫22.774t/a；氮氧化物3.953t/a；一氧化碳7.668t/a；沥青烟7.812t/a；苯并芘0.062t/a。      </w:t>
            </w:r>
          </w:p>
          <w:p>
            <w:pPr>
              <w:jc w:val="center"/>
              <w:rPr>
                <w:color w:val="auto"/>
                <w:spacing w:val="4"/>
                <w:sz w:val="15"/>
                <w:szCs w:val="15"/>
              </w:rPr>
            </w:pPr>
            <w:r>
              <w:rPr>
                <w:rFonts w:hint="eastAsia"/>
                <w:color w:val="auto"/>
                <w:spacing w:val="4"/>
                <w:sz w:val="15"/>
                <w:szCs w:val="15"/>
              </w:rPr>
              <w:t>其中：一期工程，颗粒物</w:t>
            </w:r>
            <w:r>
              <w:rPr>
                <w:rFonts w:hint="eastAsia"/>
                <w:color w:val="auto"/>
                <w:spacing w:val="4"/>
                <w:sz w:val="15"/>
                <w:szCs w:val="15"/>
                <w:lang w:val="en-US" w:eastAsia="zh-CN"/>
              </w:rPr>
              <w:t>8.16</w:t>
            </w:r>
            <w:r>
              <w:rPr>
                <w:rFonts w:hint="eastAsia"/>
                <w:color w:val="auto"/>
                <w:spacing w:val="4"/>
                <w:sz w:val="15"/>
                <w:szCs w:val="15"/>
              </w:rPr>
              <w:t xml:space="preserve">t/a；二氧化硫22.68t/a；氮氧化物2.837t/a；一氧化碳7.668t/a。 </w:t>
            </w:r>
          </w:p>
          <w:p>
            <w:pPr>
              <w:jc w:val="center"/>
              <w:rPr>
                <w:rFonts w:hint="eastAsia"/>
                <w:color w:val="auto"/>
                <w:spacing w:val="4"/>
                <w:sz w:val="15"/>
                <w:szCs w:val="15"/>
              </w:rPr>
            </w:pPr>
            <w:r>
              <w:rPr>
                <w:rFonts w:hint="eastAsia"/>
                <w:color w:val="auto"/>
                <w:spacing w:val="4"/>
                <w:sz w:val="15"/>
                <w:szCs w:val="15"/>
              </w:rPr>
              <w:t>二期工程，颗粒物25.7</w:t>
            </w:r>
            <w:r>
              <w:rPr>
                <w:rFonts w:hint="eastAsia"/>
                <w:color w:val="auto"/>
                <w:spacing w:val="4"/>
                <w:sz w:val="15"/>
                <w:szCs w:val="15"/>
                <w:lang w:val="en-US" w:eastAsia="zh-CN"/>
              </w:rPr>
              <w:t>29</w:t>
            </w:r>
            <w:r>
              <w:rPr>
                <w:rFonts w:hint="eastAsia"/>
                <w:color w:val="auto"/>
                <w:spacing w:val="4"/>
                <w:sz w:val="15"/>
                <w:szCs w:val="15"/>
              </w:rPr>
              <w:t>t/a；二氧化硫0.094t/a；氮氧化物1.116t/a</w:t>
            </w:r>
            <w:r>
              <w:rPr>
                <w:rFonts w:hint="eastAsia"/>
                <w:color w:val="auto"/>
                <w:spacing w:val="4"/>
                <w:sz w:val="15"/>
                <w:szCs w:val="15"/>
                <w:highlight w:val="none"/>
              </w:rPr>
              <w:t>；沥青烟</w:t>
            </w:r>
            <w:r>
              <w:rPr>
                <w:rFonts w:hint="eastAsia"/>
                <w:color w:val="auto"/>
                <w:spacing w:val="4"/>
                <w:sz w:val="15"/>
                <w:szCs w:val="15"/>
                <w:highlight w:val="none"/>
                <w:lang w:val="en-US" w:eastAsia="zh-CN"/>
              </w:rPr>
              <w:t>3.096</w:t>
            </w:r>
            <w:r>
              <w:rPr>
                <w:rFonts w:hint="eastAsia"/>
                <w:color w:val="auto"/>
                <w:spacing w:val="4"/>
                <w:sz w:val="15"/>
                <w:szCs w:val="15"/>
                <w:highlight w:val="none"/>
              </w:rPr>
              <w:t>t/a；</w:t>
            </w:r>
            <w:r>
              <w:rPr>
                <w:rFonts w:hint="eastAsia"/>
                <w:color w:val="auto"/>
                <w:spacing w:val="4"/>
                <w:sz w:val="15"/>
                <w:szCs w:val="15"/>
              </w:rPr>
              <w:t xml:space="preserve">苯并芘0.062t/a。            </w:t>
            </w:r>
          </w:p>
        </w:tc>
      </w:tr>
    </w:tbl>
    <w:p>
      <w:pPr>
        <w:rPr>
          <w:rFonts w:cs="宋体"/>
          <w:bCs/>
          <w:color w:val="auto"/>
          <w:sz w:val="24"/>
        </w:rPr>
      </w:pPr>
    </w:p>
    <w:p>
      <w:pPr>
        <w:adjustRightInd w:val="0"/>
        <w:snapToGrid w:val="0"/>
        <w:jc w:val="center"/>
        <w:rPr>
          <w:rFonts w:cs="宋体"/>
          <w:bCs/>
          <w:color w:val="auto"/>
          <w:sz w:val="24"/>
        </w:rPr>
      </w:pPr>
    </w:p>
    <w:p>
      <w:pPr>
        <w:adjustRightInd w:val="0"/>
        <w:snapToGrid w:val="0"/>
        <w:jc w:val="center"/>
        <w:rPr>
          <w:rFonts w:cs="宋体"/>
          <w:bCs/>
          <w:color w:val="auto"/>
          <w:sz w:val="24"/>
        </w:rPr>
        <w:sectPr>
          <w:pgSz w:w="16838" w:h="11906" w:orient="landscape"/>
          <w:pgMar w:top="1440" w:right="1803" w:bottom="1440" w:left="1803" w:header="851" w:footer="1077" w:gutter="0"/>
          <w:pgBorders>
            <w:top w:val="none" w:sz="0" w:space="0"/>
            <w:left w:val="none" w:sz="0" w:space="0"/>
            <w:bottom w:val="none" w:sz="0" w:space="0"/>
            <w:right w:val="none" w:sz="0" w:space="0"/>
          </w:pgBorders>
          <w:cols w:space="0" w:num="1"/>
          <w:docGrid w:linePitch="312" w:charSpace="0"/>
        </w:sectPr>
      </w:pPr>
    </w:p>
    <w:tbl>
      <w:tblPr>
        <w:tblStyle w:val="21"/>
        <w:tblW w:w="51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79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9" w:hRule="atLeast"/>
          <w:jc w:val="center"/>
        </w:trPr>
        <w:tc>
          <w:tcPr>
            <w:tcW w:w="434" w:type="pct"/>
            <w:tcMar>
              <w:left w:w="28" w:type="dxa"/>
              <w:right w:w="28" w:type="dxa"/>
            </w:tcMar>
            <w:vAlign w:val="center"/>
          </w:tcPr>
          <w:p>
            <w:pPr>
              <w:pStyle w:val="18"/>
              <w:adjustRightInd w:val="0"/>
              <w:snapToGrid w:val="0"/>
              <w:spacing w:before="0" w:beforeAutospacing="0" w:after="0" w:afterAutospacing="0"/>
              <w:jc w:val="center"/>
              <w:rPr>
                <w:rFonts w:hint="default" w:ascii="Times New Roman" w:hAnsi="Times New Roman" w:eastAsia="宋体" w:cs="宋体"/>
                <w:bCs/>
                <w:color w:val="auto"/>
                <w:kern w:val="2"/>
                <w:sz w:val="21"/>
                <w:szCs w:val="21"/>
                <w:lang w:val="en-US" w:eastAsia="zh-CN"/>
              </w:rPr>
            </w:pPr>
            <w:r>
              <w:rPr>
                <w:rFonts w:hint="eastAsia" w:ascii="Times New Roman" w:hAnsi="Times New Roman" w:cs="宋体"/>
                <w:bCs/>
                <w:color w:val="auto"/>
                <w:kern w:val="2"/>
                <w:sz w:val="21"/>
                <w:szCs w:val="21"/>
                <w:lang w:val="en-US" w:eastAsia="zh-CN"/>
              </w:rPr>
              <w:t>运营期污染防治措施</w:t>
            </w:r>
          </w:p>
        </w:tc>
        <w:tc>
          <w:tcPr>
            <w:tcW w:w="4565" w:type="pct"/>
          </w:tcPr>
          <w:p>
            <w:pPr>
              <w:spacing w:line="360" w:lineRule="auto"/>
              <w:rPr>
                <w:bCs/>
                <w:color w:val="auto"/>
                <w:sz w:val="24"/>
              </w:rPr>
            </w:pPr>
            <w:r>
              <w:rPr>
                <w:rFonts w:hint="eastAsia"/>
                <w:bCs/>
                <w:color w:val="auto"/>
                <w:sz w:val="24"/>
              </w:rPr>
              <w:t>型NOx的生产，达到降低氮氧化物排放的目的。锅炉排烟的10%经循环烟管从锅炉排烟主管引回至锅炉前端，通过回风烟管上的调节风门进行烟气量的调节；助燃空气经过新风过滤器后进入变频风机，经风机升压后至锅炉前端；燃料气经过双截止阀阀组、伺服调阀后至锅炉前端；锅炉排烟、助燃空气通过混合器后混合，与燃料气在特殊设计的喷嘴喷出，在锅炉中形成稳定的火焰。</w:t>
            </w:r>
          </w:p>
          <w:p>
            <w:pPr>
              <w:spacing w:line="360" w:lineRule="auto"/>
              <w:ind w:firstLine="470" w:firstLineChars="196"/>
              <w:jc w:val="both"/>
              <w:rPr>
                <w:rFonts w:hint="eastAsia"/>
                <w:bCs/>
                <w:color w:val="auto"/>
                <w:sz w:val="24"/>
              </w:rPr>
            </w:pPr>
            <w:r>
              <w:rPr>
                <w:rFonts w:hint="eastAsia"/>
                <w:bCs/>
                <w:color w:val="auto"/>
                <w:sz w:val="24"/>
              </w:rPr>
              <w:t>当烟气再循环率达到1</w:t>
            </w:r>
            <w:r>
              <w:rPr>
                <w:bCs/>
                <w:color w:val="auto"/>
                <w:sz w:val="24"/>
              </w:rPr>
              <w:t>0</w:t>
            </w:r>
            <w:r>
              <w:rPr>
                <w:rFonts w:hint="eastAsia"/>
                <w:bCs/>
                <w:color w:val="auto"/>
                <w:sz w:val="24"/>
              </w:rPr>
              <w:t>%时，再循环烟气对NO</w:t>
            </w:r>
            <w:r>
              <w:rPr>
                <w:bCs/>
                <w:color w:val="auto"/>
                <w:sz w:val="24"/>
              </w:rPr>
              <w:t>x</w:t>
            </w:r>
            <w:r>
              <w:rPr>
                <w:rFonts w:hint="eastAsia"/>
                <w:bCs/>
                <w:color w:val="auto"/>
                <w:sz w:val="24"/>
              </w:rPr>
              <w:t>的减排可达到6</w:t>
            </w:r>
            <w:r>
              <w:rPr>
                <w:bCs/>
                <w:color w:val="auto"/>
                <w:sz w:val="24"/>
              </w:rPr>
              <w:t>5</w:t>
            </w:r>
            <w:r>
              <w:rPr>
                <w:rFonts w:hint="eastAsia"/>
                <w:bCs/>
                <w:color w:val="auto"/>
                <w:sz w:val="24"/>
              </w:rPr>
              <w:t>%~</w:t>
            </w:r>
            <w:r>
              <w:rPr>
                <w:bCs/>
                <w:color w:val="auto"/>
                <w:sz w:val="24"/>
              </w:rPr>
              <w:t>80</w:t>
            </w:r>
            <w:r>
              <w:rPr>
                <w:rFonts w:hint="eastAsia"/>
                <w:bCs/>
                <w:color w:val="auto"/>
                <w:sz w:val="24"/>
              </w:rPr>
              <w:t>%。氮氧化物浓度能够有效控制在5</w:t>
            </w:r>
            <w:r>
              <w:rPr>
                <w:bCs/>
                <w:color w:val="auto"/>
                <w:sz w:val="24"/>
              </w:rPr>
              <w:t>0</w:t>
            </w:r>
            <w:r>
              <w:rPr>
                <w:rFonts w:hint="eastAsia"/>
                <w:bCs/>
                <w:color w:val="auto"/>
                <w:sz w:val="24"/>
              </w:rPr>
              <w:t>mg</w:t>
            </w:r>
            <w:r>
              <w:rPr>
                <w:bCs/>
                <w:color w:val="auto"/>
                <w:sz w:val="24"/>
              </w:rPr>
              <w:t>/m</w:t>
            </w:r>
            <w:r>
              <w:rPr>
                <w:bCs/>
                <w:color w:val="auto"/>
                <w:sz w:val="24"/>
                <w:vertAlign w:val="superscript"/>
              </w:rPr>
              <w:t>3</w:t>
            </w:r>
            <w:r>
              <w:rPr>
                <w:rFonts w:hint="eastAsia"/>
                <w:bCs/>
                <w:color w:val="auto"/>
                <w:sz w:val="24"/>
              </w:rPr>
              <w:t>以下。即采取低氮燃烧措施后，项目燃气锅炉烟气中NOx排放能够满足</w:t>
            </w:r>
            <w:r>
              <w:rPr>
                <w:color w:val="auto"/>
                <w:sz w:val="24"/>
              </w:rPr>
              <w:t>山西省地方标准《锅炉大气污染物排放标准》（DB14/1929-2019）规定的</w:t>
            </w:r>
            <w:r>
              <w:rPr>
                <w:rFonts w:hint="eastAsia"/>
                <w:color w:val="auto"/>
                <w:sz w:val="24"/>
              </w:rPr>
              <w:t>燃气锅炉NOx</w:t>
            </w:r>
            <w:r>
              <w:rPr>
                <w:color w:val="auto"/>
                <w:sz w:val="24"/>
              </w:rPr>
              <w:t>50</w:t>
            </w:r>
            <w:r>
              <w:rPr>
                <w:rFonts w:hint="eastAsia"/>
                <w:color w:val="auto"/>
                <w:sz w:val="24"/>
              </w:rPr>
              <w:t>mg</w:t>
            </w:r>
            <w:r>
              <w:rPr>
                <w:color w:val="auto"/>
                <w:sz w:val="24"/>
              </w:rPr>
              <w:t>/m</w:t>
            </w:r>
            <w:r>
              <w:rPr>
                <w:color w:val="auto"/>
                <w:sz w:val="24"/>
                <w:vertAlign w:val="superscript"/>
              </w:rPr>
              <w:t>3</w:t>
            </w:r>
            <w:r>
              <w:rPr>
                <w:color w:val="auto"/>
                <w:sz w:val="24"/>
              </w:rPr>
              <w:t>排放限值</w:t>
            </w:r>
            <w:r>
              <w:rPr>
                <w:rFonts w:hint="eastAsia"/>
                <w:color w:val="auto"/>
                <w:sz w:val="24"/>
              </w:rPr>
              <w:t>要求。</w:t>
            </w:r>
          </w:p>
          <w:p>
            <w:pPr>
              <w:pStyle w:val="52"/>
              <w:snapToGrid/>
              <w:spacing w:before="0" w:after="0" w:line="360" w:lineRule="auto"/>
              <w:ind w:firstLine="480"/>
              <w:rPr>
                <w:bCs/>
                <w:color w:val="auto"/>
                <w:kern w:val="0"/>
              </w:rPr>
            </w:pPr>
            <w:r>
              <w:rPr>
                <w:bCs/>
                <w:color w:val="auto"/>
                <w:kern w:val="0"/>
                <w:highlight w:val="none"/>
              </w:rPr>
              <w:t>根据《北京环境总体规划研究》中</w:t>
            </w:r>
            <w:r>
              <w:rPr>
                <w:bCs/>
                <w:color w:val="auto"/>
                <w:kern w:val="0"/>
              </w:rPr>
              <w:t>对天然气燃烧排污的研究成果确定的排污系数，每燃烧1000</w:t>
            </w:r>
            <w:r>
              <w:rPr>
                <w:rFonts w:hint="eastAsia"/>
                <w:bCs/>
                <w:color w:val="auto"/>
                <w:kern w:val="0"/>
              </w:rPr>
              <w:t>0</w:t>
            </w:r>
            <w:r>
              <w:rPr>
                <w:bCs/>
                <w:color w:val="auto"/>
                <w:kern w:val="0"/>
              </w:rPr>
              <w:t>m</w:t>
            </w:r>
            <w:r>
              <w:rPr>
                <w:bCs/>
                <w:color w:val="auto"/>
                <w:kern w:val="0"/>
                <w:vertAlign w:val="superscript"/>
              </w:rPr>
              <w:t>3</w:t>
            </w:r>
            <w:r>
              <w:rPr>
                <w:bCs/>
                <w:color w:val="auto"/>
                <w:kern w:val="0"/>
              </w:rPr>
              <w:t>天然气</w:t>
            </w:r>
            <w:r>
              <w:rPr>
                <w:rFonts w:hint="eastAsia"/>
                <w:bCs/>
                <w:color w:val="auto"/>
                <w:kern w:val="0"/>
              </w:rPr>
              <w:t>，产生烟尘1.4kg。</w:t>
            </w:r>
          </w:p>
          <w:p>
            <w:pPr>
              <w:pStyle w:val="52"/>
              <w:snapToGrid/>
              <w:spacing w:before="0" w:after="0" w:line="360" w:lineRule="auto"/>
              <w:ind w:firstLine="480"/>
              <w:rPr>
                <w:rFonts w:hint="eastAsia"/>
                <w:color w:val="auto"/>
              </w:rPr>
            </w:pPr>
            <w:r>
              <w:rPr>
                <w:rFonts w:hint="eastAsia"/>
                <w:color w:val="auto"/>
              </w:rPr>
              <w:t>根据《排污许可证申请与核发技术规范 锅炉》（HJ953-2018）表F.3中燃气工业锅炉中废气产排污系数，</w:t>
            </w:r>
            <w:bookmarkStart w:id="8" w:name="_Hlk5206735"/>
            <w:r>
              <w:rPr>
                <w:rFonts w:hint="eastAsia"/>
                <w:color w:val="auto"/>
              </w:rPr>
              <w:t>天然气燃气锅炉氮氧化物排污系数为</w:t>
            </w:r>
            <w:r>
              <w:rPr>
                <w:color w:val="auto"/>
              </w:rPr>
              <w:t>18.71</w:t>
            </w:r>
            <w:r>
              <w:rPr>
                <w:rFonts w:hint="eastAsia"/>
                <w:color w:val="auto"/>
              </w:rPr>
              <w:t>kg/万m</w:t>
            </w:r>
            <w:r>
              <w:rPr>
                <w:rFonts w:hint="eastAsia"/>
                <w:color w:val="auto"/>
                <w:vertAlign w:val="superscript"/>
              </w:rPr>
              <w:t>3</w:t>
            </w:r>
            <w:r>
              <w:rPr>
                <w:rFonts w:hint="eastAsia"/>
                <w:color w:val="auto"/>
              </w:rPr>
              <w:t>天然气，锅炉配套低氮燃烧器，氮氧化物削减效率取</w:t>
            </w:r>
            <w:r>
              <w:rPr>
                <w:color w:val="auto"/>
              </w:rPr>
              <w:t>75</w:t>
            </w:r>
            <w:r>
              <w:rPr>
                <w:rFonts w:hint="eastAsia"/>
                <w:color w:val="auto"/>
              </w:rPr>
              <w:t>%</w:t>
            </w:r>
            <w:bookmarkEnd w:id="8"/>
            <w:r>
              <w:rPr>
                <w:rFonts w:hint="eastAsia"/>
                <w:color w:val="auto"/>
              </w:rPr>
              <w:t>；二氧化硫产生系数为0</w:t>
            </w:r>
            <w:r>
              <w:rPr>
                <w:color w:val="auto"/>
              </w:rPr>
              <w:t>.02</w:t>
            </w:r>
            <w:r>
              <w:rPr>
                <w:rFonts w:hint="eastAsia"/>
                <w:color w:val="auto"/>
              </w:rPr>
              <w:t>Sk</w:t>
            </w:r>
            <w:r>
              <w:rPr>
                <w:color w:val="auto"/>
              </w:rPr>
              <w:t>g</w:t>
            </w:r>
            <w:r>
              <w:rPr>
                <w:rFonts w:hint="eastAsia"/>
                <w:color w:val="auto"/>
              </w:rPr>
              <w:t>/万立方米-燃料，其中S为燃气硫分含量，单位为mg</w:t>
            </w:r>
            <w:r>
              <w:rPr>
                <w:color w:val="auto"/>
              </w:rPr>
              <w:t>/m</w:t>
            </w:r>
            <w:r>
              <w:rPr>
                <w:color w:val="auto"/>
                <w:vertAlign w:val="superscript"/>
              </w:rPr>
              <w:t>3</w:t>
            </w:r>
            <w:r>
              <w:rPr>
                <w:rFonts w:hint="eastAsia"/>
                <w:color w:val="auto"/>
              </w:rPr>
              <w:t>，天然气燃料含硫量按2</w:t>
            </w:r>
            <w:r>
              <w:rPr>
                <w:color w:val="auto"/>
              </w:rPr>
              <w:t>0</w:t>
            </w:r>
            <w:r>
              <w:rPr>
                <w:rFonts w:hint="eastAsia"/>
                <w:color w:val="auto"/>
              </w:rPr>
              <w:t>mg</w:t>
            </w:r>
            <w:r>
              <w:rPr>
                <w:color w:val="auto"/>
              </w:rPr>
              <w:t>/m</w:t>
            </w:r>
            <w:r>
              <w:rPr>
                <w:color w:val="auto"/>
                <w:vertAlign w:val="superscript"/>
              </w:rPr>
              <w:t>3</w:t>
            </w:r>
            <w:r>
              <w:rPr>
                <w:rFonts w:hint="eastAsia"/>
                <w:color w:val="auto"/>
              </w:rPr>
              <w:t>计。</w:t>
            </w:r>
          </w:p>
          <w:p>
            <w:pPr>
              <w:pStyle w:val="52"/>
              <w:snapToGrid/>
              <w:spacing w:before="0" w:after="0" w:line="360" w:lineRule="auto"/>
              <w:ind w:firstLine="480"/>
              <w:rPr>
                <w:color w:val="auto"/>
              </w:rPr>
            </w:pPr>
            <w:r>
              <w:rPr>
                <w:rFonts w:hint="eastAsia"/>
                <w:color w:val="auto"/>
              </w:rPr>
              <w:t>经查阅资料分析，烟气中氮氧化物浓度控制在5</w:t>
            </w:r>
            <w:r>
              <w:rPr>
                <w:color w:val="auto"/>
              </w:rPr>
              <w:t>0</w:t>
            </w:r>
            <w:r>
              <w:rPr>
                <w:rFonts w:hint="eastAsia"/>
                <w:color w:val="auto"/>
              </w:rPr>
              <w:t>mg</w:t>
            </w:r>
            <w:r>
              <w:rPr>
                <w:color w:val="auto"/>
              </w:rPr>
              <w:t>/m</w:t>
            </w:r>
            <w:r>
              <w:rPr>
                <w:color w:val="auto"/>
                <w:vertAlign w:val="superscript"/>
              </w:rPr>
              <w:t>3</w:t>
            </w:r>
            <w:r>
              <w:rPr>
                <w:rFonts w:hint="eastAsia"/>
                <w:color w:val="auto"/>
              </w:rPr>
              <w:t>以下时，烟尘排放浓度能够协同控制在5mg</w:t>
            </w:r>
            <w:r>
              <w:rPr>
                <w:color w:val="auto"/>
              </w:rPr>
              <w:t>/m</w:t>
            </w:r>
            <w:r>
              <w:rPr>
                <w:color w:val="auto"/>
                <w:vertAlign w:val="superscript"/>
              </w:rPr>
              <w:t>3</w:t>
            </w:r>
            <w:r>
              <w:rPr>
                <w:rFonts w:hint="eastAsia"/>
                <w:color w:val="auto"/>
              </w:rPr>
              <w:t>以下，此次评价按照5mg</w:t>
            </w:r>
            <w:r>
              <w:rPr>
                <w:color w:val="auto"/>
              </w:rPr>
              <w:t>/m</w:t>
            </w:r>
            <w:r>
              <w:rPr>
                <w:color w:val="auto"/>
                <w:vertAlign w:val="superscript"/>
              </w:rPr>
              <w:t>3</w:t>
            </w:r>
            <w:r>
              <w:rPr>
                <w:rFonts w:hint="eastAsia"/>
                <w:color w:val="auto"/>
              </w:rPr>
              <w:t>计。</w:t>
            </w:r>
          </w:p>
          <w:p>
            <w:pPr>
              <w:pStyle w:val="52"/>
              <w:snapToGrid/>
              <w:spacing w:before="0" w:after="0" w:line="360" w:lineRule="auto"/>
              <w:ind w:firstLine="480"/>
              <w:rPr>
                <w:color w:val="auto"/>
              </w:rPr>
            </w:pPr>
            <w:r>
              <w:rPr>
                <w:rFonts w:hint="eastAsia"/>
                <w:color w:val="auto"/>
              </w:rPr>
              <w:t>可计算得到，项目投运后颗粒物、二氧化硫、氮氧化物污染物排放情况如下：</w:t>
            </w:r>
          </w:p>
          <w:p>
            <w:pPr>
              <w:pStyle w:val="64"/>
              <w:spacing w:before="72" w:after="72" w:line="240" w:lineRule="auto"/>
              <w:rPr>
                <w:rFonts w:hint="default"/>
                <w:b/>
                <w:color w:val="auto"/>
              </w:rPr>
            </w:pPr>
            <w:r>
              <w:rPr>
                <w:b/>
                <w:color w:val="auto"/>
              </w:rPr>
              <w:t>表2</w:t>
            </w:r>
            <w:r>
              <w:rPr>
                <w:rFonts w:hint="eastAsia"/>
                <w:b/>
                <w:color w:val="auto"/>
                <w:lang w:val="en-US" w:eastAsia="zh-CN"/>
              </w:rPr>
              <w:t>7</w:t>
            </w:r>
            <w:r>
              <w:rPr>
                <w:b/>
                <w:color w:val="auto"/>
              </w:rPr>
              <w:t>锅炉污染物排放情况一览表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981"/>
              <w:gridCol w:w="1548"/>
              <w:gridCol w:w="1762"/>
              <w:gridCol w:w="1820"/>
              <w:gridCol w:w="1589"/>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restart"/>
                  <w:vAlign w:val="center"/>
                </w:tcPr>
                <w:p>
                  <w:pPr>
                    <w:spacing w:before="24" w:beforeLines="10" w:after="24" w:afterLines="10" w:line="240" w:lineRule="auto"/>
                    <w:jc w:val="center"/>
                    <w:rPr>
                      <w:color w:val="auto"/>
                      <w:sz w:val="21"/>
                      <w:szCs w:val="21"/>
                    </w:rPr>
                  </w:pPr>
                  <w:r>
                    <w:rPr>
                      <w:rFonts w:hint="eastAsia"/>
                      <w:color w:val="auto"/>
                      <w:sz w:val="21"/>
                      <w:szCs w:val="21"/>
                    </w:rPr>
                    <w:t>燃气导热油炉</w:t>
                  </w:r>
                </w:p>
              </w:tc>
              <w:tc>
                <w:tcPr>
                  <w:tcW w:w="1005" w:type="pct"/>
                  <w:vAlign w:val="center"/>
                </w:tcPr>
                <w:p>
                  <w:pPr>
                    <w:spacing w:before="24" w:beforeLines="10" w:after="24" w:afterLines="10" w:line="240" w:lineRule="auto"/>
                    <w:jc w:val="center"/>
                    <w:rPr>
                      <w:color w:val="auto"/>
                      <w:sz w:val="21"/>
                      <w:szCs w:val="21"/>
                    </w:rPr>
                  </w:pPr>
                  <w:r>
                    <w:rPr>
                      <w:rFonts w:hAnsi="宋体"/>
                      <w:color w:val="auto"/>
                      <w:sz w:val="21"/>
                      <w:szCs w:val="21"/>
                    </w:rPr>
                    <w:t>烟气量（</w:t>
                  </w:r>
                  <w:r>
                    <w:rPr>
                      <w:color w:val="auto"/>
                      <w:sz w:val="21"/>
                      <w:szCs w:val="21"/>
                    </w:rPr>
                    <w:t>m</w:t>
                  </w:r>
                  <w:r>
                    <w:rPr>
                      <w:color w:val="auto"/>
                      <w:sz w:val="21"/>
                      <w:szCs w:val="21"/>
                      <w:vertAlign w:val="superscript"/>
                    </w:rPr>
                    <w:t>3</w:t>
                  </w:r>
                  <w:r>
                    <w:rPr>
                      <w:color w:val="auto"/>
                      <w:sz w:val="21"/>
                      <w:szCs w:val="21"/>
                    </w:rPr>
                    <w:t>/h</w:t>
                  </w:r>
                  <w:r>
                    <w:rPr>
                      <w:rFonts w:hAnsi="宋体"/>
                      <w:color w:val="auto"/>
                      <w:sz w:val="21"/>
                      <w:szCs w:val="21"/>
                    </w:rPr>
                    <w:t>）</w:t>
                  </w:r>
                </w:p>
              </w:tc>
              <w:tc>
                <w:tcPr>
                  <w:tcW w:w="3356" w:type="pct"/>
                  <w:gridSpan w:val="3"/>
                  <w:vAlign w:val="center"/>
                </w:tcPr>
                <w:p>
                  <w:pPr>
                    <w:spacing w:before="24" w:beforeLines="10" w:after="24" w:afterLines="10" w:line="240" w:lineRule="auto"/>
                    <w:jc w:val="center"/>
                    <w:rPr>
                      <w:color w:val="auto"/>
                      <w:sz w:val="21"/>
                      <w:szCs w:val="21"/>
                    </w:rPr>
                  </w:pPr>
                  <w:r>
                    <w:rPr>
                      <w:rFonts w:hint="eastAsia"/>
                      <w:color w:val="auto"/>
                      <w:sz w:val="21"/>
                      <w:szCs w:val="21"/>
                    </w:rPr>
                    <w:t>3360.4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rFonts w:hAnsi="宋体"/>
                      <w:color w:val="auto"/>
                      <w:sz w:val="21"/>
                      <w:szCs w:val="21"/>
                    </w:rPr>
                    <w:t>污染物</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Ansi="宋体"/>
                      <w:color w:val="auto"/>
                      <w:sz w:val="21"/>
                      <w:szCs w:val="21"/>
                    </w:rPr>
                    <w:t>产</w:t>
                  </w:r>
                  <w:r>
                    <w:rPr>
                      <w:rFonts w:hint="eastAsia" w:hAnsi="宋体"/>
                      <w:color w:val="auto"/>
                      <w:sz w:val="21"/>
                      <w:szCs w:val="21"/>
                    </w:rPr>
                    <w:t>生</w:t>
                  </w:r>
                  <w:r>
                    <w:rPr>
                      <w:rFonts w:hAnsi="宋体"/>
                      <w:color w:val="auto"/>
                      <w:sz w:val="21"/>
                      <w:szCs w:val="21"/>
                    </w:rPr>
                    <w:t>浓度</w:t>
                  </w:r>
                  <w:r>
                    <w:rPr>
                      <w:color w:val="auto"/>
                      <w:sz w:val="21"/>
                      <w:szCs w:val="21"/>
                    </w:rPr>
                    <w:t>mg/m</w:t>
                  </w:r>
                  <w:r>
                    <w:rPr>
                      <w:color w:val="auto"/>
                      <w:sz w:val="21"/>
                      <w:szCs w:val="21"/>
                      <w:vertAlign w:val="superscript"/>
                    </w:rPr>
                    <w:t>3</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产生速率</w:t>
                  </w:r>
                  <w:r>
                    <w:rPr>
                      <w:rFonts w:hAnsi="宋体"/>
                      <w:color w:val="auto"/>
                      <w:sz w:val="21"/>
                      <w:szCs w:val="21"/>
                    </w:rPr>
                    <w:t>（</w:t>
                  </w:r>
                  <w:r>
                    <w:rPr>
                      <w:rFonts w:hint="eastAsia"/>
                      <w:color w:val="auto"/>
                      <w:sz w:val="21"/>
                      <w:szCs w:val="21"/>
                    </w:rPr>
                    <w:t>kg</w:t>
                  </w:r>
                  <w:r>
                    <w:rPr>
                      <w:color w:val="auto"/>
                      <w:sz w:val="21"/>
                      <w:szCs w:val="21"/>
                    </w:rPr>
                    <w:t>/h</w:t>
                  </w:r>
                  <w:r>
                    <w:rPr>
                      <w:rFonts w:hAnsi="宋体"/>
                      <w:color w:val="auto"/>
                      <w:sz w:val="21"/>
                      <w:szCs w:val="21"/>
                    </w:rPr>
                    <w:t>）</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Ansi="宋体"/>
                      <w:color w:val="auto"/>
                      <w:sz w:val="21"/>
                      <w:szCs w:val="21"/>
                    </w:rPr>
                    <w:t>产</w:t>
                  </w:r>
                  <w:r>
                    <w:rPr>
                      <w:rFonts w:hint="eastAsia" w:hAnsi="宋体"/>
                      <w:color w:val="auto"/>
                      <w:sz w:val="21"/>
                      <w:szCs w:val="21"/>
                    </w:rPr>
                    <w:t>生</w:t>
                  </w:r>
                  <w:r>
                    <w:rPr>
                      <w:rFonts w:hAnsi="宋体"/>
                      <w:color w:val="auto"/>
                      <w:sz w:val="21"/>
                      <w:szCs w:val="21"/>
                    </w:rPr>
                    <w:t>量（</w:t>
                  </w:r>
                  <w:r>
                    <w:rPr>
                      <w:color w:val="auto"/>
                      <w:sz w:val="21"/>
                      <w:szCs w:val="21"/>
                    </w:rPr>
                    <w:t>t/a</w:t>
                  </w:r>
                  <w:r>
                    <w:rPr>
                      <w:rFonts w:hAnsi="宋体"/>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rFonts w:hint="eastAsia"/>
                      <w:color w:val="auto"/>
                      <w:sz w:val="21"/>
                      <w:szCs w:val="21"/>
                    </w:rPr>
                    <w:t>烟尘</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1</w:t>
                  </w:r>
                  <w:r>
                    <w:rPr>
                      <w:color w:val="auto"/>
                      <w:sz w:val="21"/>
                      <w:szCs w:val="21"/>
                    </w:rPr>
                    <w:t>3.82</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0.046</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0.331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rFonts w:hint="eastAsia"/>
                      <w:color w:val="auto"/>
                      <w:sz w:val="21"/>
                      <w:szCs w:val="21"/>
                    </w:rPr>
                    <w:t>SO</w:t>
                  </w:r>
                  <w:r>
                    <w:rPr>
                      <w:color w:val="auto"/>
                      <w:sz w:val="21"/>
                      <w:szCs w:val="21"/>
                      <w:vertAlign w:val="subscript"/>
                    </w:rPr>
                    <w:t>2</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3</w:t>
                  </w:r>
                  <w:r>
                    <w:rPr>
                      <w:color w:val="auto"/>
                      <w:sz w:val="21"/>
                      <w:szCs w:val="21"/>
                    </w:rPr>
                    <w:t>.95</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0.013</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0.096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color w:val="auto"/>
                      <w:sz w:val="21"/>
                      <w:szCs w:val="21"/>
                    </w:rPr>
                    <w:t>NO</w:t>
                  </w:r>
                  <w:r>
                    <w:rPr>
                      <w:rFonts w:hint="eastAsia"/>
                      <w:color w:val="auto"/>
                      <w:sz w:val="21"/>
                      <w:szCs w:val="21"/>
                    </w:rPr>
                    <w:t>x</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1</w:t>
                  </w:r>
                  <w:r>
                    <w:rPr>
                      <w:color w:val="auto"/>
                      <w:sz w:val="21"/>
                      <w:szCs w:val="21"/>
                    </w:rPr>
                    <w:t>84.7</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0.621</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4.471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rFonts w:hAnsi="宋体"/>
                      <w:color w:val="auto"/>
                      <w:sz w:val="21"/>
                      <w:szCs w:val="21"/>
                    </w:rPr>
                    <w:t>污染物</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hAnsi="宋体"/>
                      <w:color w:val="auto"/>
                      <w:sz w:val="21"/>
                      <w:szCs w:val="21"/>
                    </w:rPr>
                    <w:t>排放</w:t>
                  </w:r>
                  <w:r>
                    <w:rPr>
                      <w:rFonts w:hAnsi="宋体"/>
                      <w:color w:val="auto"/>
                      <w:sz w:val="21"/>
                      <w:szCs w:val="21"/>
                    </w:rPr>
                    <w:t>浓度</w:t>
                  </w:r>
                  <w:r>
                    <w:rPr>
                      <w:color w:val="auto"/>
                      <w:sz w:val="21"/>
                      <w:szCs w:val="21"/>
                    </w:rPr>
                    <w:t>mg/m</w:t>
                  </w:r>
                  <w:r>
                    <w:rPr>
                      <w:color w:val="auto"/>
                      <w:sz w:val="21"/>
                      <w:szCs w:val="21"/>
                      <w:vertAlign w:val="superscript"/>
                    </w:rPr>
                    <w:t>3</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hAnsi="宋体"/>
                      <w:color w:val="auto"/>
                      <w:sz w:val="21"/>
                      <w:szCs w:val="21"/>
                    </w:rPr>
                    <w:t>排放</w:t>
                  </w:r>
                  <w:r>
                    <w:rPr>
                      <w:rFonts w:hint="eastAsia"/>
                      <w:color w:val="auto"/>
                      <w:sz w:val="21"/>
                      <w:szCs w:val="21"/>
                    </w:rPr>
                    <w:t>速率</w:t>
                  </w:r>
                  <w:r>
                    <w:rPr>
                      <w:rFonts w:hAnsi="宋体"/>
                      <w:color w:val="auto"/>
                      <w:sz w:val="21"/>
                      <w:szCs w:val="21"/>
                    </w:rPr>
                    <w:t>（</w:t>
                  </w:r>
                  <w:r>
                    <w:rPr>
                      <w:rFonts w:hint="eastAsia"/>
                      <w:color w:val="auto"/>
                      <w:sz w:val="21"/>
                      <w:szCs w:val="21"/>
                    </w:rPr>
                    <w:t>kg</w:t>
                  </w:r>
                  <w:r>
                    <w:rPr>
                      <w:color w:val="auto"/>
                      <w:sz w:val="21"/>
                      <w:szCs w:val="21"/>
                    </w:rPr>
                    <w:t>/h</w:t>
                  </w:r>
                  <w:r>
                    <w:rPr>
                      <w:rFonts w:hAnsi="宋体"/>
                      <w:color w:val="auto"/>
                      <w:sz w:val="21"/>
                      <w:szCs w:val="21"/>
                    </w:rPr>
                    <w:t>）</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hAnsi="宋体"/>
                      <w:color w:val="auto"/>
                      <w:sz w:val="21"/>
                      <w:szCs w:val="21"/>
                    </w:rPr>
                    <w:t>排放</w:t>
                  </w:r>
                  <w:r>
                    <w:rPr>
                      <w:rFonts w:hAnsi="宋体"/>
                      <w:color w:val="auto"/>
                      <w:sz w:val="21"/>
                      <w:szCs w:val="21"/>
                    </w:rPr>
                    <w:t>量（</w:t>
                  </w:r>
                  <w:r>
                    <w:rPr>
                      <w:color w:val="auto"/>
                      <w:sz w:val="21"/>
                      <w:szCs w:val="21"/>
                    </w:rPr>
                    <w:t>t/a</w:t>
                  </w:r>
                  <w:r>
                    <w:rPr>
                      <w:rFonts w:hAnsi="宋体"/>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rFonts w:hint="eastAsia"/>
                      <w:color w:val="auto"/>
                      <w:sz w:val="21"/>
                      <w:szCs w:val="21"/>
                    </w:rPr>
                    <w:t>烟尘</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5</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0.017</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0.121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rFonts w:hint="eastAsia"/>
                      <w:color w:val="auto"/>
                      <w:sz w:val="21"/>
                      <w:szCs w:val="21"/>
                    </w:rPr>
                    <w:t>SO</w:t>
                  </w:r>
                  <w:r>
                    <w:rPr>
                      <w:color w:val="auto"/>
                      <w:sz w:val="21"/>
                      <w:szCs w:val="21"/>
                      <w:vertAlign w:val="subscript"/>
                    </w:rPr>
                    <w:t>2</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3</w:t>
                  </w:r>
                  <w:r>
                    <w:rPr>
                      <w:color w:val="auto"/>
                      <w:sz w:val="21"/>
                      <w:szCs w:val="21"/>
                    </w:rPr>
                    <w:t>.95</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0.013</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0.096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637" w:type="pct"/>
                  <w:vMerge w:val="continue"/>
                  <w:vAlign w:val="center"/>
                </w:tcPr>
                <w:p>
                  <w:pPr>
                    <w:spacing w:before="24" w:beforeLines="10" w:after="24" w:afterLines="10" w:line="240" w:lineRule="auto"/>
                    <w:jc w:val="center"/>
                    <w:rPr>
                      <w:color w:val="auto"/>
                      <w:sz w:val="21"/>
                      <w:szCs w:val="21"/>
                    </w:rPr>
                  </w:pPr>
                </w:p>
              </w:tc>
              <w:tc>
                <w:tcPr>
                  <w:tcW w:w="1005" w:type="pct"/>
                  <w:vAlign w:val="center"/>
                </w:tcPr>
                <w:p>
                  <w:pPr>
                    <w:spacing w:before="24" w:beforeLines="10" w:after="24" w:afterLines="10" w:line="240" w:lineRule="auto"/>
                    <w:jc w:val="center"/>
                    <w:rPr>
                      <w:color w:val="auto"/>
                      <w:sz w:val="21"/>
                      <w:szCs w:val="21"/>
                    </w:rPr>
                  </w:pPr>
                  <w:r>
                    <w:rPr>
                      <w:color w:val="auto"/>
                      <w:sz w:val="21"/>
                      <w:szCs w:val="21"/>
                    </w:rPr>
                    <w:t>NO</w:t>
                  </w:r>
                  <w:r>
                    <w:rPr>
                      <w:rFonts w:hint="eastAsia"/>
                      <w:color w:val="auto"/>
                      <w:sz w:val="21"/>
                      <w:szCs w:val="21"/>
                    </w:rPr>
                    <w:t>x</w:t>
                  </w:r>
                </w:p>
              </w:tc>
              <w:tc>
                <w:tcPr>
                  <w:tcW w:w="1144" w:type="pct"/>
                  <w:tcBorders>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4</w:t>
                  </w:r>
                  <w:r>
                    <w:rPr>
                      <w:color w:val="auto"/>
                      <w:sz w:val="21"/>
                      <w:szCs w:val="21"/>
                    </w:rPr>
                    <w:t>6.175</w:t>
                  </w:r>
                </w:p>
              </w:tc>
              <w:tc>
                <w:tcPr>
                  <w:tcW w:w="1181" w:type="pct"/>
                  <w:tcBorders>
                    <w:left w:val="single" w:color="auto" w:sz="4" w:space="0"/>
                    <w:righ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0.155</w:t>
                  </w:r>
                </w:p>
              </w:tc>
              <w:tc>
                <w:tcPr>
                  <w:tcW w:w="1031" w:type="pct"/>
                  <w:tcBorders>
                    <w:left w:val="single" w:color="auto" w:sz="4" w:space="0"/>
                  </w:tcBorders>
                  <w:vAlign w:val="center"/>
                </w:tcPr>
                <w:p>
                  <w:pPr>
                    <w:spacing w:before="24" w:beforeLines="10" w:after="24" w:afterLines="10" w:line="240" w:lineRule="auto"/>
                    <w:jc w:val="center"/>
                    <w:rPr>
                      <w:color w:val="auto"/>
                      <w:sz w:val="21"/>
                      <w:szCs w:val="21"/>
                    </w:rPr>
                  </w:pPr>
                  <w:r>
                    <w:rPr>
                      <w:rFonts w:hint="eastAsia"/>
                      <w:color w:val="auto"/>
                      <w:sz w:val="21"/>
                      <w:szCs w:val="21"/>
                    </w:rPr>
                    <w:t>1.117</w:t>
                  </w:r>
                </w:p>
              </w:tc>
            </w:tr>
          </w:tbl>
          <w:p>
            <w:pPr>
              <w:pStyle w:val="52"/>
              <w:keepNext w:val="0"/>
              <w:keepLines w:val="0"/>
              <w:pageBreakBefore w:val="0"/>
              <w:widowControl w:val="0"/>
              <w:kinsoku/>
              <w:wordWrap/>
              <w:overflowPunct/>
              <w:topLinePunct w:val="0"/>
              <w:autoSpaceDE/>
              <w:autoSpaceDN/>
              <w:bidi w:val="0"/>
              <w:adjustRightInd/>
              <w:spacing w:before="0" w:after="0" w:line="360" w:lineRule="auto"/>
              <w:ind w:firstLine="240" w:firstLineChars="100"/>
              <w:textAlignment w:val="auto"/>
              <w:rPr>
                <w:rFonts w:hint="eastAsia" w:eastAsia="宋体"/>
                <w:color w:val="auto"/>
                <w:lang w:eastAsia="zh-CN"/>
              </w:rPr>
            </w:pPr>
            <w:r>
              <w:rPr>
                <w:rFonts w:hint="eastAsia"/>
                <w:color w:val="auto"/>
              </w:rPr>
              <w:t>（2）石墨化过程污染物排放量计算过程</w:t>
            </w:r>
            <w:r>
              <w:rPr>
                <w:rFonts w:hint="eastAsia"/>
                <w:color w:val="auto"/>
                <w:lang w:eastAsia="zh-CN"/>
              </w:rPr>
              <w:t>（</w:t>
            </w:r>
            <w:r>
              <w:rPr>
                <w:rFonts w:hint="eastAsia"/>
                <w:color w:val="auto"/>
                <w:lang w:val="en-US" w:eastAsia="zh-CN"/>
              </w:rPr>
              <w:t>排放口DA024</w:t>
            </w:r>
            <w:r>
              <w:rPr>
                <w:rFonts w:hint="eastAsia"/>
                <w:color w:val="auto"/>
                <w:lang w:eastAsia="zh-CN"/>
              </w:rPr>
              <w:t>）</w:t>
            </w:r>
          </w:p>
          <w:p>
            <w:pPr>
              <w:pStyle w:val="52"/>
              <w:keepNext w:val="0"/>
              <w:keepLines w:val="0"/>
              <w:pageBreakBefore w:val="0"/>
              <w:widowControl w:val="0"/>
              <w:kinsoku/>
              <w:wordWrap/>
              <w:overflowPunct/>
              <w:topLinePunct w:val="0"/>
              <w:autoSpaceDE/>
              <w:autoSpaceDN/>
              <w:bidi w:val="0"/>
              <w:adjustRightInd/>
              <w:spacing w:before="0" w:after="0" w:line="360" w:lineRule="auto"/>
              <w:ind w:firstLine="480"/>
              <w:textAlignment w:val="auto"/>
              <w:rPr>
                <w:bCs/>
                <w:color w:val="auto"/>
              </w:rPr>
            </w:pPr>
            <w:r>
              <w:rPr>
                <w:bCs/>
                <w:color w:val="auto"/>
              </w:rPr>
              <w:t>电极毛坯石墨化过程中会有烟尘、SO</w:t>
            </w:r>
            <w:r>
              <w:rPr>
                <w:bCs/>
                <w:color w:val="auto"/>
                <w:vertAlign w:val="subscript"/>
              </w:rPr>
              <w:t>2</w:t>
            </w:r>
            <w:r>
              <w:rPr>
                <w:bCs/>
                <w:color w:val="auto"/>
              </w:rPr>
              <w:t>、NOx和CO产生。石墨化过程中两个石墨化炉串联通电后进行石墨化，可将石墨化工序认为是一个连续的工艺过程。</w:t>
            </w:r>
          </w:p>
          <w:p>
            <w:pPr>
              <w:pStyle w:val="52"/>
              <w:keepNext w:val="0"/>
              <w:keepLines w:val="0"/>
              <w:pageBreakBefore w:val="0"/>
              <w:widowControl w:val="0"/>
              <w:kinsoku/>
              <w:wordWrap/>
              <w:overflowPunct/>
              <w:topLinePunct w:val="0"/>
              <w:autoSpaceDE/>
              <w:autoSpaceDN/>
              <w:bidi w:val="0"/>
              <w:adjustRightInd/>
              <w:spacing w:before="0" w:after="0" w:line="360" w:lineRule="auto"/>
              <w:ind w:firstLine="480" w:firstLineChars="0"/>
              <w:textAlignment w:val="auto"/>
              <w:rPr>
                <w:bCs/>
                <w:color w:val="auto"/>
              </w:rPr>
            </w:pPr>
            <w:r>
              <w:rPr>
                <w:bCs/>
                <w:color w:val="auto"/>
              </w:rPr>
              <w:t>外购回来未使用过的冶金焦使用量为</w:t>
            </w:r>
            <w:r>
              <w:rPr>
                <w:rFonts w:hint="eastAsia"/>
                <w:bCs/>
                <w:color w:val="auto"/>
              </w:rPr>
              <w:t>6145</w:t>
            </w:r>
            <w:r>
              <w:rPr>
                <w:bCs/>
                <w:color w:val="auto"/>
              </w:rPr>
              <w:t>t/a。冶金焦经石墨化工序，再经冷却后出炉，出炉过程中经出料行车真空出炉系统吸料（出料行车配备有特有的布袋除尘系统），经出料行车出炉后的冶金焦，约有</w:t>
            </w:r>
            <w:r>
              <w:rPr>
                <w:rFonts w:hint="eastAsia"/>
                <w:bCs/>
                <w:color w:val="auto"/>
              </w:rPr>
              <w:t>3285</w:t>
            </w:r>
            <w:r>
              <w:rPr>
                <w:bCs/>
                <w:color w:val="auto"/>
              </w:rPr>
              <w:t>t/a的粉状冶金焦收集于出炉行车特有的布袋除尘系统收尘仓，该部分冶金焦不符合石墨化工艺要求，不能重复再次利用。因此，冶金焦的重复使用量为</w:t>
            </w:r>
            <w:r>
              <w:rPr>
                <w:rFonts w:hint="eastAsia"/>
                <w:bCs/>
                <w:color w:val="auto"/>
              </w:rPr>
              <w:t>6145</w:t>
            </w:r>
            <w:r>
              <w:rPr>
                <w:bCs/>
                <w:color w:val="auto"/>
              </w:rPr>
              <w:t>t/a，补充冶金焦为</w:t>
            </w:r>
            <w:r>
              <w:rPr>
                <w:rFonts w:hint="eastAsia"/>
                <w:bCs/>
                <w:color w:val="auto"/>
              </w:rPr>
              <w:t>3285</w:t>
            </w:r>
            <w:r>
              <w:rPr>
                <w:bCs/>
                <w:color w:val="auto"/>
              </w:rPr>
              <w:t>t/a。</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auto"/>
                <w:kern w:val="0"/>
                <w:sz w:val="24"/>
              </w:rPr>
            </w:pPr>
            <w:r>
              <w:rPr>
                <w:color w:val="auto"/>
                <w:sz w:val="24"/>
              </w:rPr>
              <w:t>参考《</w:t>
            </w:r>
            <w:r>
              <w:rPr>
                <w:rFonts w:hint="eastAsia"/>
                <w:color w:val="auto"/>
                <w:sz w:val="24"/>
              </w:rPr>
              <w:t>介休市瑞丰石墨加工有限公司年加工5万吨直径600m以上超高功率石墨电极石墨化生产线项目一期工程竣工验收监测报告</w:t>
            </w:r>
            <w:r>
              <w:rPr>
                <w:color w:val="auto"/>
                <w:sz w:val="24"/>
              </w:rPr>
              <w:t>》，确定项目污染物源强。</w:t>
            </w:r>
            <w:r>
              <w:rPr>
                <w:rFonts w:hint="eastAsia"/>
                <w:color w:val="auto"/>
                <w:sz w:val="24"/>
              </w:rPr>
              <w:t>烟尘产生浓度为200mg/m</w:t>
            </w:r>
            <w:r>
              <w:rPr>
                <w:rFonts w:hint="eastAsia"/>
                <w:color w:val="auto"/>
                <w:sz w:val="24"/>
                <w:vertAlign w:val="superscript"/>
              </w:rPr>
              <w:t>3</w:t>
            </w:r>
            <w:r>
              <w:rPr>
                <w:rFonts w:hint="eastAsia"/>
                <w:color w:val="auto"/>
                <w:sz w:val="24"/>
              </w:rPr>
              <w:t>。</w:t>
            </w:r>
          </w:p>
          <w:p>
            <w:pPr>
              <w:spacing w:line="360" w:lineRule="auto"/>
              <w:ind w:firstLine="480" w:firstLineChars="200"/>
              <w:rPr>
                <w:color w:val="auto"/>
                <w:kern w:val="0"/>
                <w:sz w:val="24"/>
              </w:rPr>
            </w:pPr>
            <w:r>
              <w:rPr>
                <w:color w:val="auto"/>
                <w:kern w:val="0"/>
                <w:sz w:val="24"/>
              </w:rPr>
              <w:t>超高功率石墨电极毛坯含硫率约为0.1%，石墨化结束后的石墨电极的含硫率</w:t>
            </w:r>
            <w:r>
              <w:rPr>
                <w:rFonts w:hint="eastAsia"/>
                <w:color w:val="auto"/>
                <w:kern w:val="0"/>
                <w:sz w:val="24"/>
              </w:rPr>
              <w:t>按0%计</w:t>
            </w:r>
            <w:r>
              <w:rPr>
                <w:color w:val="auto"/>
                <w:kern w:val="0"/>
                <w:sz w:val="24"/>
              </w:rPr>
              <w:t>，石墨化前冶金焦的含硫率为</w:t>
            </w:r>
            <w:r>
              <w:rPr>
                <w:rFonts w:hint="eastAsia"/>
                <w:color w:val="auto"/>
                <w:kern w:val="0"/>
                <w:sz w:val="24"/>
              </w:rPr>
              <w:t>1</w:t>
            </w:r>
            <w:r>
              <w:rPr>
                <w:color w:val="auto"/>
                <w:kern w:val="0"/>
                <w:sz w:val="24"/>
              </w:rPr>
              <w:t>%，石墨化后冶金焦含硫率为0.</w:t>
            </w:r>
            <w:r>
              <w:rPr>
                <w:rFonts w:hint="eastAsia"/>
                <w:color w:val="auto"/>
                <w:kern w:val="0"/>
                <w:sz w:val="24"/>
              </w:rPr>
              <w:t>5</w:t>
            </w:r>
            <w:r>
              <w:rPr>
                <w:color w:val="auto"/>
                <w:kern w:val="0"/>
                <w:sz w:val="24"/>
              </w:rPr>
              <w:t>%，可计算得到石墨化过程中SO</w:t>
            </w:r>
            <w:r>
              <w:rPr>
                <w:color w:val="auto"/>
                <w:kern w:val="0"/>
                <w:sz w:val="24"/>
                <w:vertAlign w:val="subscript"/>
              </w:rPr>
              <w:t>2</w:t>
            </w:r>
            <w:r>
              <w:rPr>
                <w:color w:val="auto"/>
                <w:kern w:val="0"/>
                <w:sz w:val="24"/>
              </w:rPr>
              <w:t>的产生量为：</w:t>
            </w:r>
          </w:p>
          <w:p>
            <w:pPr>
              <w:spacing w:line="360" w:lineRule="auto"/>
              <w:ind w:firstLine="480" w:firstLineChars="200"/>
              <w:rPr>
                <w:color w:val="auto"/>
                <w:kern w:val="0"/>
                <w:sz w:val="24"/>
              </w:rPr>
            </w:pPr>
            <w:r>
              <w:rPr>
                <w:color w:val="auto"/>
                <w:kern w:val="0"/>
                <w:sz w:val="24"/>
              </w:rPr>
              <w:t>mSO</w:t>
            </w:r>
            <w:r>
              <w:rPr>
                <w:color w:val="auto"/>
                <w:kern w:val="0"/>
                <w:sz w:val="24"/>
                <w:vertAlign w:val="subscript"/>
              </w:rPr>
              <w:t>2</w:t>
            </w:r>
            <w:r>
              <w:rPr>
                <w:color w:val="auto"/>
                <w:kern w:val="0"/>
                <w:sz w:val="24"/>
              </w:rPr>
              <w:t>=</w:t>
            </w:r>
            <w:r>
              <w:rPr>
                <w:rFonts w:hint="eastAsia"/>
                <w:color w:val="auto"/>
                <w:kern w:val="0"/>
                <w:sz w:val="24"/>
              </w:rPr>
              <w:t>2×30</w:t>
            </w:r>
            <w:r>
              <w:rPr>
                <w:color w:val="auto"/>
                <w:kern w:val="0"/>
                <w:sz w:val="24"/>
              </w:rPr>
              <w:t>000t/a×0.1%+</w:t>
            </w:r>
            <w:r>
              <w:rPr>
                <w:rFonts w:hint="eastAsia"/>
                <w:color w:val="auto"/>
                <w:kern w:val="0"/>
                <w:sz w:val="24"/>
              </w:rPr>
              <w:t>2×3285</w:t>
            </w:r>
            <w:r>
              <w:rPr>
                <w:color w:val="auto"/>
                <w:kern w:val="0"/>
                <w:sz w:val="24"/>
              </w:rPr>
              <w:t>t/a×（</w:t>
            </w:r>
            <w:r>
              <w:rPr>
                <w:rFonts w:hint="eastAsia"/>
                <w:color w:val="auto"/>
                <w:kern w:val="0"/>
                <w:sz w:val="24"/>
              </w:rPr>
              <w:t>1</w:t>
            </w:r>
            <w:r>
              <w:rPr>
                <w:color w:val="auto"/>
                <w:kern w:val="0"/>
                <w:sz w:val="24"/>
              </w:rPr>
              <w:t>%-0.</w:t>
            </w:r>
            <w:r>
              <w:rPr>
                <w:rFonts w:hint="eastAsia"/>
                <w:color w:val="auto"/>
                <w:kern w:val="0"/>
                <w:sz w:val="24"/>
              </w:rPr>
              <w:t>5</w:t>
            </w:r>
            <w:r>
              <w:rPr>
                <w:color w:val="auto"/>
                <w:kern w:val="0"/>
                <w:sz w:val="24"/>
              </w:rPr>
              <w:t>%）=</w:t>
            </w:r>
            <w:r>
              <w:rPr>
                <w:rFonts w:hint="eastAsia"/>
                <w:color w:val="auto"/>
                <w:kern w:val="0"/>
                <w:sz w:val="24"/>
              </w:rPr>
              <w:t>92.85</w:t>
            </w:r>
            <w:r>
              <w:rPr>
                <w:color w:val="auto"/>
                <w:kern w:val="0"/>
                <w:sz w:val="24"/>
              </w:rPr>
              <w:t>t/a。</w:t>
            </w:r>
          </w:p>
          <w:p>
            <w:pPr>
              <w:overflowPunct w:val="0"/>
              <w:spacing w:line="360" w:lineRule="auto"/>
              <w:ind w:firstLine="480" w:firstLineChars="200"/>
              <w:rPr>
                <w:color w:val="auto"/>
                <w:sz w:val="24"/>
              </w:rPr>
            </w:pPr>
            <w:r>
              <w:rPr>
                <w:color w:val="auto"/>
                <w:sz w:val="24"/>
              </w:rPr>
              <w:t>氮氧化物主要考虑原料中氮转变为氮氧化物，主要来源于冶金焦，根据建设单位提供的资料，氮含量按0.3%计，则原料中氮含量为</w:t>
            </w:r>
            <w:r>
              <w:rPr>
                <w:rFonts w:hint="eastAsia"/>
                <w:color w:val="auto"/>
                <w:sz w:val="24"/>
              </w:rPr>
              <w:t>9.855</w:t>
            </w:r>
            <w:r>
              <w:rPr>
                <w:color w:val="auto"/>
                <w:sz w:val="24"/>
              </w:rPr>
              <w:t>t/a，根据《大气污染控制工程》（高等教育出版社）等资料，按10%的氮转变为氮氧化物计，烟气NO</w:t>
            </w:r>
            <w:r>
              <w:rPr>
                <w:color w:val="auto"/>
                <w:sz w:val="24"/>
                <w:vertAlign w:val="subscript"/>
              </w:rPr>
              <w:t>x</w:t>
            </w:r>
            <w:r>
              <w:rPr>
                <w:rFonts w:hint="eastAsia"/>
                <w:color w:val="auto"/>
                <w:sz w:val="24"/>
              </w:rPr>
              <w:t>的产生量</w:t>
            </w:r>
            <w:r>
              <w:rPr>
                <w:color w:val="auto"/>
                <w:sz w:val="24"/>
              </w:rPr>
              <w:t>为</w:t>
            </w:r>
            <w:r>
              <w:rPr>
                <w:rFonts w:hint="eastAsia"/>
                <w:color w:val="auto"/>
                <w:sz w:val="24"/>
              </w:rPr>
              <w:t>2.84</w:t>
            </w:r>
            <w:r>
              <w:rPr>
                <w:color w:val="auto"/>
                <w:sz w:val="24"/>
              </w:rPr>
              <w:t>t/a（以NO</w:t>
            </w:r>
            <w:r>
              <w:rPr>
                <w:color w:val="auto"/>
                <w:sz w:val="24"/>
                <w:vertAlign w:val="subscript"/>
              </w:rPr>
              <w:t>2</w:t>
            </w:r>
            <w:r>
              <w:rPr>
                <w:color w:val="auto"/>
                <w:sz w:val="24"/>
              </w:rPr>
              <w:t>计）。石墨炉保温层厚度在500mm左右，且保温层为≤10mm的焦丁，进空气的量极少，固能与碳发生反应的氧主要来自于填料过程中炉内少量的残留空气，仅有很少量氧气可与冶金焦反应生成一氧化碳。参考同类工程经验，项目按</w:t>
            </w:r>
            <w:r>
              <w:rPr>
                <w:rFonts w:hint="eastAsia"/>
                <w:color w:val="auto"/>
                <w:sz w:val="24"/>
              </w:rPr>
              <w:t>0.1</w:t>
            </w:r>
            <w:r>
              <w:rPr>
                <w:color w:val="auto"/>
                <w:sz w:val="24"/>
              </w:rPr>
              <w:t>%冶金焦与氧气反应生成一氧化碳计算，年产生量为</w:t>
            </w:r>
            <w:r>
              <w:rPr>
                <w:rFonts w:hint="eastAsia"/>
                <w:color w:val="auto"/>
                <w:sz w:val="24"/>
              </w:rPr>
              <w:t>7.67</w:t>
            </w:r>
            <w:r>
              <w:rPr>
                <w:color w:val="auto"/>
                <w:sz w:val="24"/>
              </w:rPr>
              <w:t>t/a。</w:t>
            </w:r>
          </w:p>
          <w:p>
            <w:pPr>
              <w:overflowPunct w:val="0"/>
              <w:spacing w:line="360" w:lineRule="auto"/>
              <w:ind w:firstLine="480" w:firstLineChars="200"/>
              <w:rPr>
                <w:rFonts w:hint="default"/>
                <w:color w:val="auto"/>
                <w:sz w:val="24"/>
                <w:lang w:val="en-US" w:eastAsia="zh-CN"/>
              </w:rPr>
            </w:pPr>
            <w:r>
              <w:rPr>
                <w:color w:val="auto"/>
                <w:sz w:val="24"/>
              </w:rPr>
              <w:t>建设单位拟设一套密闭集气+</w:t>
            </w:r>
            <w:r>
              <w:rPr>
                <w:rFonts w:hint="eastAsia"/>
                <w:color w:val="auto"/>
                <w:sz w:val="24"/>
              </w:rPr>
              <w:t>“石灰石膏法湿法脱硫”+二级除雾废气处理系统</w:t>
            </w:r>
            <w:r>
              <w:rPr>
                <w:color w:val="auto"/>
                <w:sz w:val="24"/>
              </w:rPr>
              <w:t>（风机风量</w:t>
            </w:r>
            <w:r>
              <w:rPr>
                <w:rFonts w:hint="eastAsia"/>
                <w:color w:val="auto"/>
                <w:sz w:val="24"/>
              </w:rPr>
              <w:t>90000</w:t>
            </w:r>
            <w:r>
              <w:rPr>
                <w:color w:val="auto"/>
                <w:sz w:val="24"/>
              </w:rPr>
              <w:t>m</w:t>
            </w:r>
            <w:r>
              <w:rPr>
                <w:color w:val="auto"/>
                <w:sz w:val="24"/>
                <w:vertAlign w:val="superscript"/>
              </w:rPr>
              <w:t>3</w:t>
            </w:r>
            <w:r>
              <w:rPr>
                <w:color w:val="auto"/>
                <w:sz w:val="24"/>
              </w:rPr>
              <w:t>/h</w:t>
            </w:r>
            <w:r>
              <w:rPr>
                <w:rFonts w:hint="eastAsia"/>
                <w:color w:val="auto"/>
                <w:sz w:val="24"/>
                <w:lang w:eastAsia="zh-CN"/>
              </w:rPr>
              <w:t>—</w:t>
            </w:r>
            <w:r>
              <w:rPr>
                <w:rFonts w:hint="eastAsia"/>
                <w:color w:val="auto"/>
                <w:sz w:val="24"/>
                <w:lang w:val="en-US" w:eastAsia="zh-CN"/>
              </w:rPr>
              <w:t>集气罩面积50m</w:t>
            </w:r>
            <w:r>
              <w:rPr>
                <w:rFonts w:hint="eastAsia"/>
                <w:color w:val="auto"/>
                <w:sz w:val="24"/>
                <w:vertAlign w:val="superscript"/>
                <w:lang w:val="en-US" w:eastAsia="zh-CN"/>
              </w:rPr>
              <w:t>2</w:t>
            </w:r>
            <w:r>
              <w:rPr>
                <w:color w:val="auto"/>
                <w:sz w:val="24"/>
              </w:rPr>
              <w:t>）对石墨化过程中产生的废气进行处理，尾气经处理后由</w:t>
            </w:r>
            <w:r>
              <w:rPr>
                <w:rFonts w:hint="eastAsia"/>
                <w:color w:val="auto"/>
                <w:sz w:val="24"/>
              </w:rPr>
              <w:t>40</w:t>
            </w:r>
            <w:r>
              <w:rPr>
                <w:color w:val="auto"/>
                <w:sz w:val="24"/>
              </w:rPr>
              <w:t>m高排气筒高空排放。</w:t>
            </w:r>
            <w:r>
              <w:rPr>
                <w:rFonts w:hint="eastAsia"/>
                <w:color w:val="auto"/>
                <w:sz w:val="24"/>
                <w:lang w:val="en-US" w:eastAsia="zh-CN"/>
              </w:rPr>
              <w:t>要求：脱硫用石灰石中碳酸钙含量宜不小于90%，细度宜不低于250目90%过筛率；吸收塔设计满足如下要求：吸收塔设计正压应不小于最大运行正压的1.2倍，设计负压为最大运行负压的1.2倍；吸收塔烟气区空塔截面积尺寸宜保证最不利设计条件下空塔流速不大于3.8m/s；采用石灰石作为吸收剂时，吸收塔浆液的pH值宜控制在5.2~5.8之间；吸收系统钙硫比不宜超过1.03。设计</w:t>
            </w:r>
            <w:r>
              <w:rPr>
                <w:rFonts w:hint="eastAsia"/>
                <w:color w:val="auto"/>
                <w:sz w:val="24"/>
              </w:rPr>
              <w:t>颗粒物排放浓度为10mg/m</w:t>
            </w:r>
            <w:r>
              <w:rPr>
                <w:rFonts w:hint="eastAsia"/>
                <w:color w:val="auto"/>
                <w:sz w:val="24"/>
                <w:vertAlign w:val="superscript"/>
              </w:rPr>
              <w:t>3</w:t>
            </w:r>
            <w:r>
              <w:rPr>
                <w:rFonts w:hint="eastAsia"/>
                <w:color w:val="auto"/>
                <w:sz w:val="24"/>
              </w:rPr>
              <w:t>，二氧化硫排放浓度＜35mg/m</w:t>
            </w:r>
            <w:r>
              <w:rPr>
                <w:rFonts w:hint="eastAsia"/>
                <w:color w:val="auto"/>
                <w:sz w:val="24"/>
                <w:vertAlign w:val="superscript"/>
              </w:rPr>
              <w:t>3</w:t>
            </w:r>
            <w:r>
              <w:rPr>
                <w:rFonts w:hint="eastAsia"/>
                <w:color w:val="auto"/>
                <w:sz w:val="24"/>
              </w:rPr>
              <w:t>。</w:t>
            </w:r>
          </w:p>
          <w:p>
            <w:pPr>
              <w:spacing w:line="360" w:lineRule="auto"/>
              <w:ind w:firstLine="240" w:firstLineChars="100"/>
              <w:rPr>
                <w:rFonts w:hint="eastAsia"/>
                <w:color w:val="auto"/>
                <w:sz w:val="24"/>
              </w:rPr>
            </w:pPr>
            <w:r>
              <w:rPr>
                <w:rFonts w:hint="eastAsia"/>
                <w:color w:val="auto"/>
                <w:sz w:val="24"/>
              </w:rPr>
              <w:t xml:space="preserve">  可计算得到石墨化炉颗粒物排放量为6.48t/a，二氧化硫排放量为22.68t/a；氮氧化物排放量为2.84t/a；一氧化碳排放量为7.67t/a。</w:t>
            </w:r>
          </w:p>
          <w:p>
            <w:pPr>
              <w:pStyle w:val="2"/>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textAlignment w:val="auto"/>
              <w:rPr>
                <w:rFonts w:hint="eastAsia"/>
                <w:color w:val="auto"/>
                <w:sz w:val="24"/>
                <w:lang w:val="en-US" w:eastAsia="zh-CN"/>
              </w:rPr>
            </w:pPr>
            <w:r>
              <w:rPr>
                <w:rFonts w:hint="eastAsia"/>
                <w:color w:val="auto"/>
                <w:sz w:val="24"/>
                <w:lang w:val="en-US" w:eastAsia="zh-CN"/>
              </w:rPr>
              <w:t xml:space="preserve">  </w:t>
            </w:r>
            <w:r>
              <w:rPr>
                <w:rFonts w:hint="eastAsia"/>
                <w:b/>
                <w:bCs/>
                <w:color w:val="auto"/>
                <w:sz w:val="24"/>
                <w:lang w:val="en-US" w:eastAsia="zh-CN"/>
              </w:rPr>
              <w:t xml:space="preserve"> （3）其余排放口污染物核算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项目其余排放口污染因子包括颗粒物，沥青烟和苯并芘（DA019和DA020两个污染源排放）。项目颗粒物采取废气污染防治措施布袋除尘器设计过滤风速均≤0.6m/min，经该除尘器处理后，颗粒物排放浓度均能够控制在10mg/m</w:t>
            </w:r>
            <w:r>
              <w:rPr>
                <w:rFonts w:hint="eastAsia"/>
                <w:color w:val="auto"/>
                <w:sz w:val="24"/>
                <w:vertAlign w:val="superscript"/>
                <w:lang w:val="en-US" w:eastAsia="zh-CN"/>
              </w:rPr>
              <w:t>3</w:t>
            </w:r>
            <w:r>
              <w:rPr>
                <w:rFonts w:hint="eastAsia"/>
                <w:color w:val="auto"/>
                <w:sz w:val="24"/>
                <w:lang w:val="en-US" w:eastAsia="zh-CN"/>
              </w:rPr>
              <w:t>以下，此次评价按照10mg/m</w:t>
            </w:r>
            <w:r>
              <w:rPr>
                <w:rFonts w:hint="eastAsia"/>
                <w:color w:val="auto"/>
                <w:sz w:val="24"/>
                <w:vertAlign w:val="superscript"/>
                <w:lang w:val="en-US" w:eastAsia="zh-CN"/>
              </w:rPr>
              <w:t>3</w:t>
            </w:r>
            <w:r>
              <w:rPr>
                <w:rFonts w:hint="eastAsia"/>
                <w:color w:val="auto"/>
                <w:sz w:val="24"/>
                <w:lang w:val="en-US" w:eastAsia="zh-CN"/>
              </w:rPr>
              <w:t>计算。DA019、DA020废气排放口中沥青烟和苯并芘经“黑法”吸附系统处理后，沥青烟排放浓度能够控制在10mg/m</w:t>
            </w:r>
            <w:r>
              <w:rPr>
                <w:rFonts w:hint="eastAsia"/>
                <w:color w:val="auto"/>
                <w:sz w:val="24"/>
                <w:vertAlign w:val="superscript"/>
                <w:lang w:val="en-US" w:eastAsia="zh-CN"/>
              </w:rPr>
              <w:t>3</w:t>
            </w:r>
            <w:r>
              <w:rPr>
                <w:rFonts w:hint="eastAsia"/>
                <w:color w:val="auto"/>
                <w:sz w:val="24"/>
                <w:lang w:val="en-US" w:eastAsia="zh-CN"/>
              </w:rPr>
              <w:t>以下；苯并芘排放浓度能够控制在1.6×10</w:t>
            </w:r>
            <w:r>
              <w:rPr>
                <w:rFonts w:hint="eastAsia"/>
                <w:color w:val="auto"/>
                <w:sz w:val="24"/>
                <w:vertAlign w:val="superscript"/>
                <w:lang w:val="en-US" w:eastAsia="zh-CN"/>
              </w:rPr>
              <w:t>-4</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lang w:val="en-US" w:eastAsia="zh-CN"/>
              </w:rPr>
              <w:t>以下。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color w:val="auto"/>
                <w:lang w:val="en-US" w:eastAsia="zh-CN"/>
              </w:rPr>
            </w:pPr>
            <w:r>
              <w:rPr>
                <w:rFonts w:hint="eastAsia"/>
                <w:color w:val="auto"/>
                <w:lang w:val="en-US" w:eastAsia="zh-CN"/>
              </w:rPr>
              <w:t xml:space="preserve">     </w:t>
            </w:r>
            <w:r>
              <w:rPr>
                <w:rFonts w:hint="eastAsia" w:ascii="Times New Roman" w:hAnsi="Times New Roman" w:eastAsia="宋体" w:cs="Times New Roman"/>
                <w:color w:val="auto"/>
                <w:kern w:val="2"/>
                <w:sz w:val="24"/>
                <w:szCs w:val="24"/>
                <w:lang w:val="en-US" w:eastAsia="zh-CN" w:bidi="ar-SA"/>
              </w:rPr>
              <w:t>项目其余各污染源污染物排放量计算公式如下：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排放速率k=设计排放浓度C×废气处理设施设计风量Q；</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color w:val="auto"/>
                <w:kern w:val="2"/>
                <w:sz w:val="24"/>
                <w:szCs w:val="24"/>
                <w:lang w:val="en-US" w:eastAsia="zh-CN" w:bidi="ar-SA"/>
              </w:rPr>
              <w:t>排放量m=排放速率k×废气处理设施运行时间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eastAsia="宋体"/>
                <w:color w:val="auto"/>
                <w:sz w:val="24"/>
                <w:lang w:val="en-US" w:eastAsia="zh-CN"/>
              </w:rPr>
            </w:pPr>
            <w:r>
              <w:rPr>
                <w:rFonts w:hint="eastAsia"/>
                <w:color w:val="auto"/>
                <w:sz w:val="24"/>
                <w:lang w:val="en-US" w:eastAsia="zh-CN"/>
              </w:rPr>
              <w:t xml:space="preserve">    根据各废气处理设施设计污染物排放浓度、运行时间、设计风量，按上述计算公式，得出各污染源污染物排放情况，如表26所示。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b/>
                <w:bCs/>
                <w:color w:val="auto"/>
                <w:sz w:val="24"/>
              </w:rPr>
            </w:pPr>
            <w:r>
              <w:rPr>
                <w:rFonts w:hint="eastAsia"/>
                <w:b/>
                <w:bCs/>
                <w:color w:val="auto"/>
                <w:sz w:val="24"/>
              </w:rPr>
              <w:t xml:space="preserve">  （</w:t>
            </w:r>
            <w:r>
              <w:rPr>
                <w:rFonts w:hint="eastAsia"/>
                <w:b/>
                <w:bCs/>
                <w:color w:val="auto"/>
                <w:sz w:val="24"/>
                <w:lang w:val="en-US" w:eastAsia="zh-CN"/>
              </w:rPr>
              <w:t>4</w:t>
            </w:r>
            <w:r>
              <w:rPr>
                <w:rFonts w:hint="eastAsia"/>
                <w:b/>
                <w:bCs/>
                <w:color w:val="auto"/>
                <w:sz w:val="24"/>
              </w:rPr>
              <w:t>）无组织排放源强核算</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rPr>
              <w:t xml:space="preserve">   项目废气无组织排放情况如下：</w:t>
            </w:r>
          </w:p>
          <w:p>
            <w:pPr>
              <w:pStyle w:val="2"/>
              <w:spacing w:after="0"/>
              <w:ind w:left="0" w:leftChars="0" w:firstLine="0" w:firstLineChars="0"/>
              <w:jc w:val="center"/>
              <w:rPr>
                <w:b/>
                <w:bCs/>
                <w:color w:val="auto"/>
                <w:sz w:val="24"/>
              </w:rPr>
            </w:pPr>
            <w:r>
              <w:rPr>
                <w:rFonts w:hint="eastAsia"/>
                <w:b/>
                <w:bCs/>
                <w:color w:val="auto"/>
                <w:sz w:val="24"/>
              </w:rPr>
              <w:t>表2</w:t>
            </w:r>
            <w:r>
              <w:rPr>
                <w:rFonts w:hint="eastAsia"/>
                <w:b/>
                <w:bCs/>
                <w:color w:val="auto"/>
                <w:sz w:val="24"/>
                <w:lang w:val="en-US" w:eastAsia="zh-CN"/>
              </w:rPr>
              <w:t>8</w:t>
            </w:r>
            <w:r>
              <w:rPr>
                <w:rFonts w:hint="eastAsia"/>
                <w:b/>
                <w:bCs/>
                <w:color w:val="auto"/>
                <w:sz w:val="24"/>
              </w:rPr>
              <w:t xml:space="preserve"> 项目废气无组织排放情况一览表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427"/>
              <w:gridCol w:w="1720"/>
              <w:gridCol w:w="1481"/>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pPr>
                    <w:pStyle w:val="2"/>
                    <w:spacing w:after="0" w:line="0" w:lineRule="atLeast"/>
                    <w:ind w:left="0" w:leftChars="0" w:firstLine="0" w:firstLineChars="0"/>
                    <w:jc w:val="center"/>
                    <w:rPr>
                      <w:color w:val="auto"/>
                      <w:szCs w:val="21"/>
                    </w:rPr>
                  </w:pPr>
                  <w:r>
                    <w:rPr>
                      <w:rFonts w:hint="eastAsia"/>
                      <w:color w:val="auto"/>
                      <w:szCs w:val="21"/>
                    </w:rPr>
                    <w:t>污染源点</w:t>
                  </w: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污染物名称</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无组织排放量</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核算方法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工程/期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pPr>
                    <w:pStyle w:val="2"/>
                    <w:spacing w:after="0" w:line="0" w:lineRule="atLeast"/>
                    <w:ind w:left="0" w:leftChars="0" w:firstLine="0" w:firstLineChars="0"/>
                    <w:jc w:val="center"/>
                    <w:rPr>
                      <w:color w:val="auto"/>
                      <w:szCs w:val="21"/>
                    </w:rPr>
                  </w:pPr>
                  <w:r>
                    <w:rPr>
                      <w:rFonts w:hint="eastAsia"/>
                      <w:color w:val="auto"/>
                      <w:szCs w:val="21"/>
                    </w:rPr>
                    <w:t>原来转运车间</w:t>
                  </w: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颗粒物</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3.448t/a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747" w:type="dxa"/>
                  <w:vMerge w:val="restart"/>
                  <w:vAlign w:val="center"/>
                </w:tcPr>
                <w:p>
                  <w:pPr>
                    <w:pStyle w:val="2"/>
                    <w:spacing w:after="0" w:line="0" w:lineRule="atLeast"/>
                    <w:ind w:left="0" w:leftChars="0" w:firstLine="0" w:firstLineChars="0"/>
                    <w:jc w:val="center"/>
                    <w:rPr>
                      <w:color w:val="auto"/>
                      <w:szCs w:val="21"/>
                    </w:rPr>
                  </w:pPr>
                  <w:r>
                    <w:rPr>
                      <w:rFonts w:hint="eastAsia"/>
                      <w:color w:val="auto"/>
                      <w:szCs w:val="21"/>
                    </w:rPr>
                    <w:t>中碎/混捏车间</w:t>
                  </w: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颗粒物</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2.346t/a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沥青烟</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1.018t/a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苯并芘</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0.008t/a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vAlign w:val="center"/>
                </w:tcPr>
                <w:p>
                  <w:pPr>
                    <w:pStyle w:val="2"/>
                    <w:spacing w:after="0" w:line="0" w:lineRule="atLeast"/>
                    <w:ind w:left="0" w:leftChars="0" w:firstLine="0" w:firstLineChars="0"/>
                    <w:jc w:val="center"/>
                    <w:rPr>
                      <w:color w:val="auto"/>
                      <w:szCs w:val="21"/>
                    </w:rPr>
                  </w:pPr>
                  <w:r>
                    <w:rPr>
                      <w:rFonts w:hint="eastAsia"/>
                      <w:color w:val="auto"/>
                      <w:szCs w:val="21"/>
                    </w:rPr>
                    <w:t>成型车间</w:t>
                  </w: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颗粒物</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2.199t/a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沥青烟</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0.954t/a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苯并芘</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0.0075t/a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vAlign w:val="center"/>
                </w:tcPr>
                <w:p>
                  <w:pPr>
                    <w:pStyle w:val="2"/>
                    <w:spacing w:after="0" w:line="0" w:lineRule="atLeast"/>
                    <w:ind w:left="0" w:leftChars="0" w:firstLine="0" w:firstLineChars="0"/>
                    <w:jc w:val="center"/>
                    <w:rPr>
                      <w:color w:val="auto"/>
                      <w:szCs w:val="21"/>
                    </w:rPr>
                  </w:pPr>
                  <w:r>
                    <w:rPr>
                      <w:rFonts w:hint="eastAsia"/>
                      <w:color w:val="auto"/>
                      <w:szCs w:val="21"/>
                    </w:rPr>
                    <w:t>石墨化车间</w:t>
                  </w: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颗粒物</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3.852t/a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Merge w:val="restart"/>
                  <w:vAlign w:val="center"/>
                </w:tcPr>
                <w:p>
                  <w:pPr>
                    <w:pStyle w:val="2"/>
                    <w:spacing w:after="0" w:line="0" w:lineRule="atLeast"/>
                    <w:ind w:left="0" w:leftChars="0" w:firstLine="0" w:firstLineChars="0"/>
                    <w:jc w:val="center"/>
                    <w:rPr>
                      <w:color w:val="auto"/>
                      <w:szCs w:val="21"/>
                    </w:rPr>
                  </w:pPr>
                  <w:r>
                    <w:rPr>
                      <w:rFonts w:hint="eastAsia"/>
                      <w:color w:val="auto"/>
                      <w:szCs w:val="21"/>
                    </w:rPr>
                    <w:t>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二氧化硫</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0.929t/a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物料衡算法</w:t>
                  </w:r>
                </w:p>
              </w:tc>
              <w:tc>
                <w:tcPr>
                  <w:tcW w:w="1325" w:type="dxa"/>
                  <w:vMerge w:val="continue"/>
                  <w:vAlign w:val="center"/>
                </w:tcPr>
                <w:p>
                  <w:pPr>
                    <w:pStyle w:val="2"/>
                    <w:spacing w:after="0" w:line="0" w:lineRule="atLeast"/>
                    <w:ind w:left="0" w:leftChars="0" w:firstLine="0" w:firstLineChars="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氮氧化物</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0.028t/a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物料衡算法</w:t>
                  </w:r>
                </w:p>
              </w:tc>
              <w:tc>
                <w:tcPr>
                  <w:tcW w:w="1325" w:type="dxa"/>
                  <w:vMerge w:val="continue"/>
                  <w:vAlign w:val="center"/>
                </w:tcPr>
                <w:p>
                  <w:pPr>
                    <w:pStyle w:val="2"/>
                    <w:spacing w:after="0" w:line="0" w:lineRule="atLeast"/>
                    <w:ind w:left="0" w:leftChars="0" w:firstLine="0" w:firstLineChars="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vAlign w:val="center"/>
                </w:tcPr>
                <w:p>
                  <w:pPr>
                    <w:pStyle w:val="2"/>
                    <w:spacing w:after="0" w:line="0" w:lineRule="atLeast"/>
                    <w:ind w:left="0" w:leftChars="0" w:firstLine="0" w:firstLineChars="0"/>
                    <w:jc w:val="center"/>
                    <w:rPr>
                      <w:color w:val="auto"/>
                      <w:szCs w:val="21"/>
                    </w:rPr>
                  </w:pP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CO</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0.078t/a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Merge w:val="continue"/>
                  <w:vAlign w:val="center"/>
                </w:tcPr>
                <w:p>
                  <w:pPr>
                    <w:pStyle w:val="2"/>
                    <w:spacing w:after="0" w:line="0" w:lineRule="atLeast"/>
                    <w:ind w:left="0" w:leftChars="0" w:firstLine="0" w:firstLineChars="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Align w:val="center"/>
                </w:tcPr>
                <w:p>
                  <w:pPr>
                    <w:pStyle w:val="2"/>
                    <w:spacing w:after="0" w:line="0" w:lineRule="atLeast"/>
                    <w:ind w:left="0" w:leftChars="0" w:firstLine="0" w:firstLineChars="0"/>
                    <w:jc w:val="center"/>
                    <w:rPr>
                      <w:color w:val="auto"/>
                      <w:szCs w:val="21"/>
                    </w:rPr>
                  </w:pPr>
                  <w:r>
                    <w:rPr>
                      <w:rFonts w:hint="eastAsia"/>
                      <w:color w:val="auto"/>
                      <w:szCs w:val="21"/>
                    </w:rPr>
                    <w:t>机加工车间</w:t>
                  </w:r>
                </w:p>
              </w:tc>
              <w:tc>
                <w:tcPr>
                  <w:tcW w:w="1427" w:type="dxa"/>
                  <w:vAlign w:val="center"/>
                </w:tcPr>
                <w:p>
                  <w:pPr>
                    <w:pStyle w:val="2"/>
                    <w:spacing w:after="0" w:line="0" w:lineRule="atLeast"/>
                    <w:ind w:left="0" w:leftChars="0" w:firstLine="0" w:firstLineChars="0"/>
                    <w:jc w:val="center"/>
                    <w:rPr>
                      <w:color w:val="auto"/>
                      <w:szCs w:val="21"/>
                    </w:rPr>
                  </w:pPr>
                  <w:r>
                    <w:rPr>
                      <w:rFonts w:hint="eastAsia"/>
                      <w:color w:val="auto"/>
                      <w:szCs w:val="21"/>
                    </w:rPr>
                    <w:t>颗粒物</w:t>
                  </w:r>
                </w:p>
              </w:tc>
              <w:tc>
                <w:tcPr>
                  <w:tcW w:w="1720" w:type="dxa"/>
                  <w:vAlign w:val="center"/>
                </w:tcPr>
                <w:p>
                  <w:pPr>
                    <w:pStyle w:val="2"/>
                    <w:spacing w:after="0" w:line="0" w:lineRule="atLeast"/>
                    <w:ind w:left="0" w:leftChars="0" w:firstLine="0" w:firstLineChars="0"/>
                    <w:jc w:val="center"/>
                    <w:rPr>
                      <w:color w:val="auto"/>
                      <w:szCs w:val="21"/>
                    </w:rPr>
                  </w:pPr>
                  <w:r>
                    <w:rPr>
                      <w:rFonts w:hint="eastAsia"/>
                      <w:color w:val="auto"/>
                      <w:szCs w:val="21"/>
                    </w:rPr>
                    <w:t>2.233t/a</w:t>
                  </w:r>
                </w:p>
              </w:tc>
              <w:tc>
                <w:tcPr>
                  <w:tcW w:w="1481" w:type="dxa"/>
                  <w:vAlign w:val="center"/>
                </w:tcPr>
                <w:p>
                  <w:pPr>
                    <w:pStyle w:val="2"/>
                    <w:spacing w:after="0" w:line="0" w:lineRule="atLeast"/>
                    <w:ind w:left="0" w:leftChars="0" w:firstLine="0" w:firstLineChars="0"/>
                    <w:jc w:val="center"/>
                    <w:rPr>
                      <w:color w:val="auto"/>
                      <w:szCs w:val="21"/>
                    </w:rPr>
                  </w:pPr>
                  <w:r>
                    <w:rPr>
                      <w:rFonts w:hint="eastAsia"/>
                      <w:color w:val="auto"/>
                      <w:szCs w:val="21"/>
                    </w:rPr>
                    <w:t>类比法</w:t>
                  </w:r>
                </w:p>
              </w:tc>
              <w:tc>
                <w:tcPr>
                  <w:tcW w:w="1325" w:type="dxa"/>
                  <w:vAlign w:val="center"/>
                </w:tcPr>
                <w:p>
                  <w:pPr>
                    <w:pStyle w:val="2"/>
                    <w:spacing w:after="0" w:line="0" w:lineRule="atLeast"/>
                    <w:ind w:left="0" w:leftChars="0" w:firstLine="0" w:firstLineChars="0"/>
                    <w:jc w:val="center"/>
                    <w:rPr>
                      <w:color w:val="auto"/>
                      <w:szCs w:val="21"/>
                    </w:rPr>
                  </w:pPr>
                  <w:r>
                    <w:rPr>
                      <w:rFonts w:hint="eastAsia"/>
                      <w:color w:val="auto"/>
                      <w:szCs w:val="21"/>
                    </w:rPr>
                    <w:t>二期工程</w:t>
                  </w:r>
                </w:p>
              </w:tc>
            </w:tr>
          </w:tbl>
          <w:p>
            <w:pPr>
              <w:pStyle w:val="7"/>
              <w:spacing w:line="360" w:lineRule="auto"/>
              <w:rPr>
                <w:b/>
                <w:bCs/>
                <w:color w:val="auto"/>
                <w:sz w:val="24"/>
              </w:rPr>
            </w:pPr>
            <w:r>
              <w:rPr>
                <w:rFonts w:hint="eastAsia"/>
                <w:b/>
                <w:bCs/>
                <w:color w:val="auto"/>
                <w:sz w:val="24"/>
              </w:rPr>
              <w:t>污染物防治措施可行性论证：</w:t>
            </w:r>
          </w:p>
          <w:p>
            <w:pPr>
              <w:snapToGrid w:val="0"/>
              <w:spacing w:line="360" w:lineRule="auto"/>
              <w:ind w:firstLine="240" w:firstLineChars="100"/>
              <w:jc w:val="left"/>
              <w:rPr>
                <w:color w:val="auto"/>
                <w:sz w:val="24"/>
              </w:rPr>
            </w:pPr>
            <w:bookmarkStart w:id="9" w:name="_Toc21493"/>
            <w:bookmarkStart w:id="10" w:name="_Toc7709"/>
            <w:bookmarkStart w:id="11" w:name="_Toc3114"/>
            <w:bookmarkStart w:id="12" w:name="_Toc9038"/>
            <w:bookmarkStart w:id="13" w:name="_Toc30153"/>
            <w:r>
              <w:rPr>
                <w:rFonts w:hint="eastAsia"/>
                <w:color w:val="auto"/>
                <w:sz w:val="24"/>
              </w:rPr>
              <w:t xml:space="preserve">  此次评价对照《排污许可申请与核发技术规范 石墨及其他非金属矿物制品制造》（HJ1119-2020）中附录表A.1 石墨、碳素制品生产排污单位废气污染防治措施可行性技术参考表以及《排污许可证申请与核发技术规范 锅炉》（HJ953-2018）中表3中污染防治措施一览表对比分析项目污染防治措施技术可行性。</w:t>
            </w:r>
          </w:p>
          <w:p>
            <w:pPr>
              <w:snapToGrid w:val="0"/>
              <w:jc w:val="center"/>
              <w:rPr>
                <w:b/>
                <w:bCs/>
                <w:color w:val="auto"/>
                <w:sz w:val="24"/>
              </w:rPr>
            </w:pPr>
            <w:r>
              <w:rPr>
                <w:rFonts w:hint="eastAsia"/>
                <w:b/>
                <w:bCs/>
                <w:color w:val="auto"/>
                <w:sz w:val="24"/>
              </w:rPr>
              <w:t>表2</w:t>
            </w:r>
            <w:r>
              <w:rPr>
                <w:rFonts w:hint="eastAsia"/>
                <w:b/>
                <w:bCs/>
                <w:color w:val="auto"/>
                <w:sz w:val="24"/>
                <w:lang w:val="en-US" w:eastAsia="zh-CN"/>
              </w:rPr>
              <w:t>9</w:t>
            </w:r>
            <w:r>
              <w:rPr>
                <w:rFonts w:hint="eastAsia"/>
                <w:b/>
                <w:bCs/>
                <w:color w:val="auto"/>
                <w:sz w:val="24"/>
              </w:rPr>
              <w:t>项目污染防治可行性分析一览表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1532"/>
              <w:gridCol w:w="1663"/>
              <w:gridCol w:w="1499"/>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pStyle w:val="2"/>
                    <w:spacing w:after="0"/>
                    <w:ind w:left="0" w:leftChars="0" w:firstLine="0" w:firstLineChars="0"/>
                    <w:jc w:val="center"/>
                    <w:rPr>
                      <w:color w:val="auto"/>
                    </w:rPr>
                  </w:pPr>
                  <w:r>
                    <w:rPr>
                      <w:rFonts w:hint="eastAsia"/>
                      <w:color w:val="auto"/>
                    </w:rPr>
                    <w:t>废气类别</w:t>
                  </w:r>
                </w:p>
              </w:tc>
              <w:tc>
                <w:tcPr>
                  <w:tcW w:w="1532" w:type="dxa"/>
                  <w:vAlign w:val="center"/>
                </w:tcPr>
                <w:p>
                  <w:pPr>
                    <w:pStyle w:val="2"/>
                    <w:spacing w:after="0"/>
                    <w:ind w:left="0" w:leftChars="0" w:firstLine="0" w:firstLineChars="0"/>
                    <w:jc w:val="center"/>
                    <w:rPr>
                      <w:color w:val="auto"/>
                    </w:rPr>
                  </w:pPr>
                  <w:r>
                    <w:rPr>
                      <w:rFonts w:hint="eastAsia"/>
                      <w:color w:val="auto"/>
                    </w:rPr>
                    <w:t>主要</w:t>
                  </w:r>
                </w:p>
                <w:p>
                  <w:pPr>
                    <w:pStyle w:val="2"/>
                    <w:spacing w:after="0"/>
                    <w:ind w:left="0" w:leftChars="0" w:firstLine="0" w:firstLineChars="0"/>
                    <w:jc w:val="center"/>
                    <w:rPr>
                      <w:color w:val="auto"/>
                    </w:rPr>
                  </w:pPr>
                  <w:r>
                    <w:rPr>
                      <w:rFonts w:hint="eastAsia"/>
                      <w:color w:val="auto"/>
                    </w:rPr>
                    <w:t>污染物</w:t>
                  </w:r>
                </w:p>
              </w:tc>
              <w:tc>
                <w:tcPr>
                  <w:tcW w:w="1663" w:type="dxa"/>
                  <w:vAlign w:val="center"/>
                </w:tcPr>
                <w:p>
                  <w:pPr>
                    <w:pStyle w:val="2"/>
                    <w:spacing w:after="0"/>
                    <w:ind w:left="0" w:leftChars="0" w:firstLine="0" w:firstLineChars="0"/>
                    <w:jc w:val="center"/>
                    <w:rPr>
                      <w:color w:val="auto"/>
                    </w:rPr>
                  </w:pPr>
                  <w:r>
                    <w:rPr>
                      <w:rFonts w:hint="eastAsia"/>
                      <w:color w:val="auto"/>
                    </w:rPr>
                    <w:t>可行技术</w:t>
                  </w:r>
                </w:p>
              </w:tc>
              <w:tc>
                <w:tcPr>
                  <w:tcW w:w="1499" w:type="dxa"/>
                  <w:vAlign w:val="center"/>
                </w:tcPr>
                <w:p>
                  <w:pPr>
                    <w:pStyle w:val="2"/>
                    <w:spacing w:after="0"/>
                    <w:ind w:left="0" w:leftChars="0" w:firstLine="0" w:firstLineChars="0"/>
                    <w:jc w:val="center"/>
                    <w:rPr>
                      <w:color w:val="auto"/>
                    </w:rPr>
                  </w:pPr>
                  <w:r>
                    <w:rPr>
                      <w:rFonts w:hint="eastAsia"/>
                      <w:color w:val="auto"/>
                    </w:rPr>
                    <w:t>项目污染防治设施</w:t>
                  </w:r>
                </w:p>
              </w:tc>
              <w:tc>
                <w:tcPr>
                  <w:tcW w:w="1033" w:type="dxa"/>
                  <w:vAlign w:val="center"/>
                </w:tcPr>
                <w:p>
                  <w:pPr>
                    <w:pStyle w:val="2"/>
                    <w:spacing w:after="0"/>
                    <w:ind w:left="0" w:leftChars="0" w:firstLine="0" w:firstLineChars="0"/>
                    <w:jc w:val="center"/>
                    <w:rPr>
                      <w:color w:val="auto"/>
                    </w:rPr>
                  </w:pPr>
                  <w:r>
                    <w:rPr>
                      <w:rFonts w:hint="eastAsia"/>
                      <w:color w:val="auto"/>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restart"/>
                  <w:vAlign w:val="center"/>
                </w:tcPr>
                <w:p>
                  <w:pPr>
                    <w:pStyle w:val="2"/>
                    <w:spacing w:after="0"/>
                    <w:ind w:left="0" w:leftChars="0" w:firstLine="0" w:firstLineChars="0"/>
                    <w:jc w:val="center"/>
                    <w:rPr>
                      <w:color w:val="auto"/>
                    </w:rPr>
                  </w:pPr>
                  <w:r>
                    <w:rPr>
                      <w:rFonts w:hint="eastAsia"/>
                      <w:color w:val="auto"/>
                    </w:rPr>
                    <w:t>石墨化炉</w:t>
                  </w:r>
                </w:p>
                <w:p>
                  <w:pPr>
                    <w:pStyle w:val="2"/>
                    <w:spacing w:after="0"/>
                    <w:ind w:left="0" w:leftChars="0" w:firstLine="0" w:firstLineChars="0"/>
                    <w:jc w:val="center"/>
                    <w:rPr>
                      <w:color w:val="auto"/>
                    </w:rPr>
                  </w:pPr>
                  <w:r>
                    <w:rPr>
                      <w:rFonts w:hint="eastAsia"/>
                      <w:color w:val="auto"/>
                    </w:rPr>
                    <w:t>废气</w:t>
                  </w:r>
                </w:p>
              </w:tc>
              <w:tc>
                <w:tcPr>
                  <w:tcW w:w="1532" w:type="dxa"/>
                  <w:vAlign w:val="center"/>
                </w:tcPr>
                <w:p>
                  <w:pPr>
                    <w:pStyle w:val="2"/>
                    <w:spacing w:after="0"/>
                    <w:ind w:left="0" w:leftChars="0" w:firstLine="0" w:firstLineChars="0"/>
                    <w:jc w:val="center"/>
                    <w:rPr>
                      <w:color w:val="auto"/>
                    </w:rPr>
                  </w:pPr>
                  <w:r>
                    <w:rPr>
                      <w:rFonts w:hint="eastAsia"/>
                      <w:color w:val="auto"/>
                    </w:rPr>
                    <w:t>颗粒物</w:t>
                  </w:r>
                </w:p>
              </w:tc>
              <w:tc>
                <w:tcPr>
                  <w:tcW w:w="1663" w:type="dxa"/>
                  <w:vAlign w:val="center"/>
                </w:tcPr>
                <w:p>
                  <w:pPr>
                    <w:pStyle w:val="2"/>
                    <w:spacing w:after="0"/>
                    <w:ind w:left="0" w:leftChars="0" w:firstLine="0" w:firstLineChars="0"/>
                    <w:jc w:val="center"/>
                    <w:rPr>
                      <w:color w:val="auto"/>
                    </w:rPr>
                  </w:pPr>
                  <w:r>
                    <w:rPr>
                      <w:rFonts w:hint="eastAsia"/>
                      <w:color w:val="auto"/>
                    </w:rPr>
                    <w:t>带式除尘法（如已采取湿法脱硫、半干法脱硫措施，可不再专门采取除尘措施）</w:t>
                  </w:r>
                </w:p>
              </w:tc>
              <w:tc>
                <w:tcPr>
                  <w:tcW w:w="1499" w:type="dxa"/>
                  <w:vAlign w:val="center"/>
                </w:tcPr>
                <w:p>
                  <w:pPr>
                    <w:pStyle w:val="2"/>
                    <w:spacing w:after="0"/>
                    <w:ind w:left="0" w:leftChars="0" w:firstLine="0" w:firstLineChars="0"/>
                    <w:jc w:val="center"/>
                    <w:rPr>
                      <w:color w:val="auto"/>
                    </w:rPr>
                  </w:pPr>
                  <w:r>
                    <w:rPr>
                      <w:rFonts w:hint="eastAsia"/>
                      <w:color w:val="auto"/>
                    </w:rPr>
                    <w:t>项目采取了湿法脱硫+二级除雾设施</w:t>
                  </w:r>
                </w:p>
              </w:tc>
              <w:tc>
                <w:tcPr>
                  <w:tcW w:w="1033" w:type="dxa"/>
                  <w:vAlign w:val="center"/>
                </w:tcPr>
                <w:p>
                  <w:pPr>
                    <w:pStyle w:val="2"/>
                    <w:spacing w:after="0"/>
                    <w:ind w:left="0" w:leftChars="0" w:firstLine="0" w:firstLineChars="0"/>
                    <w:jc w:val="center"/>
                    <w:rPr>
                      <w:color w:val="auto"/>
                    </w:rPr>
                  </w:pPr>
                  <w:r>
                    <w:rPr>
                      <w:rFonts w:hint="eastAsia"/>
                      <w:color w:val="auto"/>
                    </w:rPr>
                    <w:t>是</w:t>
                  </w:r>
                  <w:r>
                    <w:rPr>
                      <w:rFonts w:hint="eastAsia"/>
                      <w:color w:val="auto"/>
                    </w:rPr>
                    <w:sym w:font="Wingdings 2" w:char="0052"/>
                  </w:r>
                </w:p>
                <w:p>
                  <w:pPr>
                    <w:jc w:val="center"/>
                    <w:rPr>
                      <w:color w:val="auto"/>
                    </w:rPr>
                  </w:pPr>
                  <w:r>
                    <w:rPr>
                      <w:rFonts w:hint="eastAsia"/>
                      <w:color w:val="auto"/>
                    </w:rPr>
                    <w:t>否</w:t>
                  </w:r>
                  <w:r>
                    <w:rPr>
                      <w:rFonts w:hint="eastAsia"/>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976" w:type="dxa"/>
                  <w:vMerge w:val="continue"/>
                  <w:vAlign w:val="center"/>
                </w:tcPr>
                <w:p>
                  <w:pPr>
                    <w:pStyle w:val="2"/>
                    <w:spacing w:after="0"/>
                    <w:ind w:left="0" w:leftChars="0" w:firstLine="0" w:firstLineChars="0"/>
                    <w:jc w:val="center"/>
                    <w:rPr>
                      <w:color w:val="auto"/>
                    </w:rPr>
                  </w:pPr>
                </w:p>
              </w:tc>
              <w:tc>
                <w:tcPr>
                  <w:tcW w:w="1532" w:type="dxa"/>
                  <w:vAlign w:val="center"/>
                </w:tcPr>
                <w:p>
                  <w:pPr>
                    <w:pStyle w:val="2"/>
                    <w:spacing w:after="0"/>
                    <w:ind w:left="0" w:leftChars="0" w:firstLine="0" w:firstLineChars="0"/>
                    <w:jc w:val="center"/>
                    <w:rPr>
                      <w:color w:val="auto"/>
                    </w:rPr>
                  </w:pPr>
                  <w:r>
                    <w:rPr>
                      <w:rFonts w:hint="eastAsia"/>
                      <w:color w:val="auto"/>
                    </w:rPr>
                    <w:t>二氧化硫</w:t>
                  </w:r>
                </w:p>
              </w:tc>
              <w:tc>
                <w:tcPr>
                  <w:tcW w:w="1663" w:type="dxa"/>
                  <w:vAlign w:val="center"/>
                </w:tcPr>
                <w:p>
                  <w:pPr>
                    <w:pStyle w:val="2"/>
                    <w:spacing w:after="0"/>
                    <w:ind w:left="0" w:leftChars="0" w:firstLine="0" w:firstLineChars="0"/>
                    <w:jc w:val="center"/>
                    <w:rPr>
                      <w:color w:val="auto"/>
                    </w:rPr>
                  </w:pPr>
                  <w:r>
                    <w:rPr>
                      <w:rFonts w:hint="eastAsia"/>
                      <w:color w:val="auto"/>
                    </w:rPr>
                    <w:t>湿法脱硫、半干法脱硫</w:t>
                  </w:r>
                </w:p>
              </w:tc>
              <w:tc>
                <w:tcPr>
                  <w:tcW w:w="1499" w:type="dxa"/>
                  <w:vAlign w:val="center"/>
                </w:tcPr>
                <w:p>
                  <w:pPr>
                    <w:pStyle w:val="2"/>
                    <w:spacing w:after="0"/>
                    <w:ind w:left="0" w:leftChars="0" w:firstLine="0" w:firstLineChars="0"/>
                    <w:jc w:val="center"/>
                    <w:rPr>
                      <w:color w:val="auto"/>
                    </w:rPr>
                  </w:pPr>
                  <w:r>
                    <w:rPr>
                      <w:rFonts w:hint="eastAsia"/>
                      <w:color w:val="auto"/>
                    </w:rPr>
                    <w:t>石灰石膏法湿法脱硫</w:t>
                  </w:r>
                </w:p>
              </w:tc>
              <w:tc>
                <w:tcPr>
                  <w:tcW w:w="1033" w:type="dxa"/>
                  <w:vAlign w:val="center"/>
                </w:tcPr>
                <w:p>
                  <w:pPr>
                    <w:pStyle w:val="2"/>
                    <w:spacing w:after="0"/>
                    <w:ind w:left="0" w:leftChars="0" w:firstLine="0" w:firstLineChars="0"/>
                    <w:jc w:val="center"/>
                    <w:rPr>
                      <w:color w:val="auto"/>
                    </w:rPr>
                  </w:pPr>
                  <w:r>
                    <w:rPr>
                      <w:rFonts w:hint="eastAsia"/>
                      <w:color w:val="auto"/>
                    </w:rPr>
                    <w:t>是</w:t>
                  </w:r>
                  <w:r>
                    <w:rPr>
                      <w:rFonts w:hint="eastAsia"/>
                      <w:color w:val="auto"/>
                    </w:rPr>
                    <w:sym w:font="Wingdings 2" w:char="0052"/>
                  </w:r>
                </w:p>
                <w:p>
                  <w:pPr>
                    <w:pStyle w:val="2"/>
                    <w:spacing w:after="0"/>
                    <w:ind w:left="0" w:leftChars="0" w:firstLine="0" w:firstLineChars="0"/>
                    <w:jc w:val="center"/>
                    <w:rPr>
                      <w:color w:val="auto"/>
                    </w:rPr>
                  </w:pPr>
                  <w:r>
                    <w:rPr>
                      <w:rFonts w:hint="eastAsia"/>
                      <w:color w:val="auto"/>
                    </w:rPr>
                    <w:t>否</w:t>
                  </w:r>
                  <w:r>
                    <w:rPr>
                      <w:rFonts w:hint="eastAsia"/>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restart"/>
                  <w:vAlign w:val="center"/>
                </w:tcPr>
                <w:p>
                  <w:pPr>
                    <w:pStyle w:val="2"/>
                    <w:spacing w:after="0"/>
                    <w:ind w:left="0" w:leftChars="0" w:firstLine="0" w:firstLineChars="0"/>
                    <w:jc w:val="center"/>
                    <w:rPr>
                      <w:color w:val="auto"/>
                    </w:rPr>
                  </w:pPr>
                  <w:r>
                    <w:rPr>
                      <w:rFonts w:hint="eastAsia"/>
                      <w:color w:val="auto"/>
                    </w:rPr>
                    <w:t>混捏成型车间废气</w:t>
                  </w:r>
                </w:p>
              </w:tc>
              <w:tc>
                <w:tcPr>
                  <w:tcW w:w="1532" w:type="dxa"/>
                  <w:vAlign w:val="center"/>
                </w:tcPr>
                <w:p>
                  <w:pPr>
                    <w:pStyle w:val="2"/>
                    <w:spacing w:after="0"/>
                    <w:ind w:left="0" w:leftChars="0" w:firstLine="0" w:firstLineChars="0"/>
                    <w:jc w:val="center"/>
                    <w:rPr>
                      <w:color w:val="auto"/>
                    </w:rPr>
                  </w:pPr>
                  <w:r>
                    <w:rPr>
                      <w:rFonts w:hint="eastAsia"/>
                      <w:color w:val="auto"/>
                    </w:rPr>
                    <w:t>颗粒物</w:t>
                  </w:r>
                </w:p>
              </w:tc>
              <w:tc>
                <w:tcPr>
                  <w:tcW w:w="1663" w:type="dxa"/>
                  <w:vMerge w:val="restart"/>
                  <w:vAlign w:val="center"/>
                </w:tcPr>
                <w:p>
                  <w:pPr>
                    <w:pStyle w:val="2"/>
                    <w:spacing w:after="0"/>
                    <w:ind w:left="0" w:leftChars="0" w:firstLine="0" w:firstLineChars="0"/>
                    <w:jc w:val="center"/>
                    <w:rPr>
                      <w:color w:val="auto"/>
                    </w:rPr>
                  </w:pPr>
                  <w:r>
                    <w:rPr>
                      <w:rFonts w:hint="eastAsia"/>
                      <w:color w:val="auto"/>
                    </w:rPr>
                    <w:t>碳粉吸附法、焚烧法</w:t>
                  </w:r>
                </w:p>
              </w:tc>
              <w:tc>
                <w:tcPr>
                  <w:tcW w:w="1499" w:type="dxa"/>
                  <w:vMerge w:val="restart"/>
                  <w:vAlign w:val="center"/>
                </w:tcPr>
                <w:p>
                  <w:pPr>
                    <w:pStyle w:val="2"/>
                    <w:spacing w:after="0"/>
                    <w:ind w:left="0" w:leftChars="0" w:firstLine="0" w:firstLineChars="0"/>
                    <w:jc w:val="center"/>
                    <w:rPr>
                      <w:color w:val="auto"/>
                    </w:rPr>
                  </w:pPr>
                  <w:r>
                    <w:rPr>
                      <w:rFonts w:hint="eastAsia"/>
                      <w:color w:val="auto"/>
                    </w:rPr>
                    <w:t>碳粉吸附法</w:t>
                  </w:r>
                </w:p>
              </w:tc>
              <w:tc>
                <w:tcPr>
                  <w:tcW w:w="1033" w:type="dxa"/>
                  <w:vMerge w:val="restart"/>
                  <w:vAlign w:val="center"/>
                </w:tcPr>
                <w:p>
                  <w:pPr>
                    <w:pStyle w:val="2"/>
                    <w:spacing w:after="0"/>
                    <w:ind w:left="0" w:leftChars="0" w:firstLine="0" w:firstLineChars="0"/>
                    <w:jc w:val="center"/>
                    <w:rPr>
                      <w:color w:val="auto"/>
                    </w:rPr>
                  </w:pPr>
                  <w:r>
                    <w:rPr>
                      <w:rFonts w:hint="eastAsia"/>
                      <w:color w:val="auto"/>
                    </w:rPr>
                    <w:t>是</w:t>
                  </w:r>
                  <w:r>
                    <w:rPr>
                      <w:rFonts w:hint="eastAsia"/>
                      <w:color w:val="auto"/>
                    </w:rPr>
                    <w:sym w:font="Wingdings 2" w:char="0052"/>
                  </w:r>
                </w:p>
                <w:p>
                  <w:pPr>
                    <w:pStyle w:val="2"/>
                    <w:spacing w:after="0"/>
                    <w:ind w:left="0" w:leftChars="0" w:firstLine="0" w:firstLineChars="0"/>
                    <w:jc w:val="center"/>
                    <w:rPr>
                      <w:color w:val="auto"/>
                    </w:rPr>
                  </w:pPr>
                  <w:r>
                    <w:rPr>
                      <w:rFonts w:hint="eastAsia"/>
                      <w:color w:val="auto"/>
                    </w:rPr>
                    <w:t>否</w:t>
                  </w:r>
                  <w:r>
                    <w:rPr>
                      <w:rFonts w:hint="eastAsia"/>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pPr>
                    <w:pStyle w:val="2"/>
                    <w:spacing w:after="0"/>
                    <w:ind w:left="0" w:leftChars="0" w:firstLine="0" w:firstLineChars="0"/>
                    <w:jc w:val="center"/>
                    <w:rPr>
                      <w:color w:val="auto"/>
                    </w:rPr>
                  </w:pPr>
                </w:p>
              </w:tc>
              <w:tc>
                <w:tcPr>
                  <w:tcW w:w="1532" w:type="dxa"/>
                  <w:vAlign w:val="center"/>
                </w:tcPr>
                <w:p>
                  <w:pPr>
                    <w:pStyle w:val="2"/>
                    <w:spacing w:after="0"/>
                    <w:ind w:left="0" w:leftChars="0" w:firstLine="0" w:firstLineChars="0"/>
                    <w:jc w:val="center"/>
                    <w:rPr>
                      <w:rFonts w:hint="eastAsia"/>
                      <w:color w:val="auto"/>
                    </w:rPr>
                  </w:pPr>
                  <w:r>
                    <w:rPr>
                      <w:rFonts w:hint="eastAsia"/>
                      <w:color w:val="auto"/>
                    </w:rPr>
                    <w:t>沥青烟、</w:t>
                  </w:r>
                </w:p>
                <w:p>
                  <w:pPr>
                    <w:pStyle w:val="2"/>
                    <w:spacing w:after="0"/>
                    <w:ind w:left="0" w:leftChars="0" w:firstLine="0" w:firstLineChars="0"/>
                    <w:jc w:val="center"/>
                    <w:rPr>
                      <w:color w:val="auto"/>
                    </w:rPr>
                  </w:pPr>
                  <w:r>
                    <w:rPr>
                      <w:rFonts w:hint="eastAsia"/>
                      <w:color w:val="auto"/>
                    </w:rPr>
                    <w:t>苯并芘</w:t>
                  </w:r>
                </w:p>
              </w:tc>
              <w:tc>
                <w:tcPr>
                  <w:tcW w:w="1663" w:type="dxa"/>
                  <w:vMerge w:val="continue"/>
                  <w:vAlign w:val="center"/>
                </w:tcPr>
                <w:p>
                  <w:pPr>
                    <w:pStyle w:val="2"/>
                    <w:spacing w:after="0"/>
                    <w:ind w:left="0" w:leftChars="0" w:firstLine="0" w:firstLineChars="0"/>
                    <w:jc w:val="center"/>
                    <w:rPr>
                      <w:color w:val="auto"/>
                    </w:rPr>
                  </w:pPr>
                </w:p>
              </w:tc>
              <w:tc>
                <w:tcPr>
                  <w:tcW w:w="1499" w:type="dxa"/>
                  <w:vMerge w:val="continue"/>
                  <w:vAlign w:val="center"/>
                </w:tcPr>
                <w:p>
                  <w:pPr>
                    <w:pStyle w:val="2"/>
                    <w:spacing w:after="0"/>
                    <w:ind w:left="0" w:leftChars="0" w:firstLine="0" w:firstLineChars="0"/>
                    <w:jc w:val="center"/>
                    <w:rPr>
                      <w:color w:val="auto"/>
                    </w:rPr>
                  </w:pPr>
                </w:p>
              </w:tc>
              <w:tc>
                <w:tcPr>
                  <w:tcW w:w="1033" w:type="dxa"/>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pStyle w:val="2"/>
                    <w:spacing w:after="0"/>
                    <w:ind w:left="0" w:leftChars="0" w:firstLine="0" w:firstLineChars="0"/>
                    <w:jc w:val="center"/>
                    <w:rPr>
                      <w:color w:val="auto"/>
                    </w:rPr>
                  </w:pPr>
                  <w:r>
                    <w:rPr>
                      <w:rFonts w:hint="eastAsia"/>
                      <w:color w:val="auto"/>
                    </w:rPr>
                    <w:t>沥青转运及融化</w:t>
                  </w:r>
                </w:p>
              </w:tc>
              <w:tc>
                <w:tcPr>
                  <w:tcW w:w="1532" w:type="dxa"/>
                  <w:vAlign w:val="center"/>
                </w:tcPr>
                <w:p>
                  <w:pPr>
                    <w:pStyle w:val="2"/>
                    <w:spacing w:after="0"/>
                    <w:ind w:left="0" w:leftChars="0" w:firstLine="0" w:firstLineChars="0"/>
                    <w:jc w:val="center"/>
                    <w:rPr>
                      <w:color w:val="auto"/>
                    </w:rPr>
                  </w:pPr>
                  <w:r>
                    <w:rPr>
                      <w:rFonts w:hint="eastAsia"/>
                      <w:color w:val="auto"/>
                    </w:rPr>
                    <w:t>沥青烟、苯并芘</w:t>
                  </w:r>
                </w:p>
              </w:tc>
              <w:tc>
                <w:tcPr>
                  <w:tcW w:w="1663" w:type="dxa"/>
                  <w:vAlign w:val="center"/>
                </w:tcPr>
                <w:p>
                  <w:pPr>
                    <w:pStyle w:val="2"/>
                    <w:spacing w:after="0"/>
                    <w:ind w:left="0" w:leftChars="0" w:firstLine="0" w:firstLineChars="0"/>
                    <w:jc w:val="center"/>
                    <w:rPr>
                      <w:color w:val="auto"/>
                    </w:rPr>
                  </w:pPr>
                  <w:r>
                    <w:rPr>
                      <w:rFonts w:hint="eastAsia"/>
                      <w:color w:val="auto"/>
                    </w:rPr>
                    <w:t>电捕焦油器、焚烧法、电捕焦油器+活性炭吸附，碳粉吸附法</w:t>
                  </w:r>
                </w:p>
              </w:tc>
              <w:tc>
                <w:tcPr>
                  <w:tcW w:w="1499" w:type="dxa"/>
                  <w:vAlign w:val="center"/>
                </w:tcPr>
                <w:p>
                  <w:pPr>
                    <w:pStyle w:val="2"/>
                    <w:spacing w:after="0"/>
                    <w:ind w:left="0" w:leftChars="0" w:firstLine="0" w:firstLineChars="0"/>
                    <w:jc w:val="center"/>
                    <w:rPr>
                      <w:rFonts w:hint="eastAsia" w:eastAsia="宋体"/>
                      <w:color w:val="auto"/>
                      <w:lang w:val="en-US" w:eastAsia="zh-CN"/>
                    </w:rPr>
                  </w:pPr>
                  <w:r>
                    <w:rPr>
                      <w:rFonts w:hint="eastAsia"/>
                      <w:color w:val="auto"/>
                    </w:rPr>
                    <w:t>电捕焦油器+碳粉吸附法</w:t>
                  </w:r>
                  <w:r>
                    <w:rPr>
                      <w:rFonts w:hint="eastAsia"/>
                      <w:color w:val="auto"/>
                      <w:lang w:val="en-US" w:eastAsia="zh-CN"/>
                    </w:rPr>
                    <w:t>*</w:t>
                  </w:r>
                </w:p>
              </w:tc>
              <w:tc>
                <w:tcPr>
                  <w:tcW w:w="1033" w:type="dxa"/>
                  <w:vAlign w:val="center"/>
                </w:tcPr>
                <w:p>
                  <w:pPr>
                    <w:pStyle w:val="2"/>
                    <w:spacing w:after="0"/>
                    <w:ind w:left="0" w:leftChars="0" w:firstLine="0" w:firstLineChars="0"/>
                    <w:jc w:val="center"/>
                    <w:rPr>
                      <w:color w:val="auto"/>
                    </w:rPr>
                  </w:pPr>
                  <w:r>
                    <w:rPr>
                      <w:rFonts w:hint="eastAsia"/>
                      <w:color w:val="auto"/>
                    </w:rPr>
                    <w:t>是</w:t>
                  </w:r>
                  <w:r>
                    <w:rPr>
                      <w:rFonts w:hint="eastAsia"/>
                      <w:color w:val="auto"/>
                    </w:rPr>
                    <w:sym w:font="Wingdings 2" w:char="0052"/>
                  </w:r>
                </w:p>
                <w:p>
                  <w:pPr>
                    <w:pStyle w:val="2"/>
                    <w:spacing w:after="0"/>
                    <w:ind w:left="0" w:leftChars="0" w:firstLine="0" w:firstLineChars="0"/>
                    <w:jc w:val="center"/>
                    <w:rPr>
                      <w:color w:val="auto"/>
                    </w:rPr>
                  </w:pPr>
                  <w:r>
                    <w:rPr>
                      <w:rFonts w:hint="eastAsia"/>
                      <w:color w:val="auto"/>
                    </w:rPr>
                    <w:t>否</w:t>
                  </w:r>
                  <w:r>
                    <w:rPr>
                      <w:rFonts w:hint="eastAsia"/>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76" w:type="dxa"/>
                  <w:vAlign w:val="center"/>
                </w:tcPr>
                <w:p>
                  <w:pPr>
                    <w:pStyle w:val="2"/>
                    <w:spacing w:after="0"/>
                    <w:ind w:left="0" w:leftChars="0" w:firstLine="0" w:firstLineChars="0"/>
                    <w:jc w:val="center"/>
                    <w:rPr>
                      <w:color w:val="auto"/>
                    </w:rPr>
                  </w:pPr>
                  <w:r>
                    <w:rPr>
                      <w:rFonts w:hint="eastAsia"/>
                      <w:color w:val="auto"/>
                    </w:rPr>
                    <w:t>原料准备环节、返回料处理环节、机加工环节、磨机、破碎机、震动筛、给料机、吸料天车等</w:t>
                  </w:r>
                </w:p>
              </w:tc>
              <w:tc>
                <w:tcPr>
                  <w:tcW w:w="1532" w:type="dxa"/>
                  <w:vAlign w:val="center"/>
                </w:tcPr>
                <w:p>
                  <w:pPr>
                    <w:pStyle w:val="2"/>
                    <w:spacing w:after="0"/>
                    <w:ind w:left="0" w:leftChars="0" w:firstLine="0" w:firstLineChars="0"/>
                    <w:jc w:val="center"/>
                    <w:rPr>
                      <w:color w:val="auto"/>
                    </w:rPr>
                  </w:pPr>
                  <w:r>
                    <w:rPr>
                      <w:rFonts w:hint="eastAsia"/>
                      <w:color w:val="auto"/>
                    </w:rPr>
                    <w:t>颗粒物</w:t>
                  </w:r>
                </w:p>
              </w:tc>
              <w:tc>
                <w:tcPr>
                  <w:tcW w:w="1663" w:type="dxa"/>
                  <w:vAlign w:val="center"/>
                </w:tcPr>
                <w:p>
                  <w:pPr>
                    <w:pStyle w:val="2"/>
                    <w:spacing w:after="0"/>
                    <w:ind w:left="0" w:leftChars="0" w:firstLine="0" w:firstLineChars="0"/>
                    <w:jc w:val="center"/>
                    <w:rPr>
                      <w:color w:val="auto"/>
                    </w:rPr>
                  </w:pPr>
                  <w:r>
                    <w:rPr>
                      <w:rFonts w:hint="eastAsia"/>
                      <w:color w:val="auto"/>
                    </w:rPr>
                    <w:t>布袋除尘器</w:t>
                  </w:r>
                </w:p>
              </w:tc>
              <w:tc>
                <w:tcPr>
                  <w:tcW w:w="1499" w:type="dxa"/>
                  <w:vAlign w:val="center"/>
                </w:tcPr>
                <w:p>
                  <w:pPr>
                    <w:pStyle w:val="2"/>
                    <w:spacing w:after="0"/>
                    <w:ind w:left="0" w:leftChars="0" w:firstLine="0" w:firstLineChars="0"/>
                    <w:jc w:val="center"/>
                    <w:rPr>
                      <w:color w:val="auto"/>
                    </w:rPr>
                  </w:pPr>
                  <w:r>
                    <w:rPr>
                      <w:rFonts w:hint="eastAsia"/>
                      <w:color w:val="auto"/>
                    </w:rPr>
                    <w:t>布袋除尘器</w:t>
                  </w:r>
                </w:p>
              </w:tc>
              <w:tc>
                <w:tcPr>
                  <w:tcW w:w="1033" w:type="dxa"/>
                  <w:vAlign w:val="center"/>
                </w:tcPr>
                <w:p>
                  <w:pPr>
                    <w:pStyle w:val="2"/>
                    <w:spacing w:after="0"/>
                    <w:ind w:left="0" w:leftChars="0" w:firstLine="0" w:firstLineChars="0"/>
                    <w:jc w:val="center"/>
                    <w:rPr>
                      <w:color w:val="auto"/>
                    </w:rPr>
                  </w:pPr>
                  <w:r>
                    <w:rPr>
                      <w:rFonts w:hint="eastAsia"/>
                      <w:color w:val="auto"/>
                    </w:rPr>
                    <w:t>是</w:t>
                  </w:r>
                  <w:r>
                    <w:rPr>
                      <w:rFonts w:hint="eastAsia"/>
                      <w:color w:val="auto"/>
                    </w:rPr>
                    <w:sym w:font="Wingdings 2" w:char="0052"/>
                  </w:r>
                </w:p>
                <w:p>
                  <w:pPr>
                    <w:pStyle w:val="2"/>
                    <w:spacing w:after="0"/>
                    <w:ind w:left="0" w:leftChars="0" w:firstLine="0" w:firstLineChars="0"/>
                    <w:jc w:val="center"/>
                    <w:rPr>
                      <w:color w:val="auto"/>
                    </w:rPr>
                  </w:pPr>
                  <w:r>
                    <w:rPr>
                      <w:rFonts w:hint="eastAsia"/>
                      <w:color w:val="auto"/>
                    </w:rPr>
                    <w:t>否</w:t>
                  </w:r>
                  <w:r>
                    <w:rPr>
                      <w:rFonts w:hint="eastAsia"/>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pStyle w:val="2"/>
                    <w:spacing w:after="0"/>
                    <w:ind w:left="0" w:leftChars="0" w:firstLine="0" w:firstLineChars="0"/>
                    <w:jc w:val="center"/>
                    <w:rPr>
                      <w:color w:val="auto"/>
                    </w:rPr>
                  </w:pPr>
                  <w:r>
                    <w:rPr>
                      <w:rFonts w:hint="eastAsia"/>
                      <w:color w:val="auto"/>
                    </w:rPr>
                    <w:t>燃气锅炉</w:t>
                  </w:r>
                </w:p>
              </w:tc>
              <w:tc>
                <w:tcPr>
                  <w:tcW w:w="1532" w:type="dxa"/>
                  <w:vAlign w:val="center"/>
                </w:tcPr>
                <w:p>
                  <w:pPr>
                    <w:pStyle w:val="2"/>
                    <w:spacing w:after="0"/>
                    <w:ind w:left="0" w:leftChars="0" w:firstLine="0" w:firstLineChars="0"/>
                    <w:jc w:val="center"/>
                    <w:rPr>
                      <w:color w:val="auto"/>
                    </w:rPr>
                  </w:pPr>
                  <w:r>
                    <w:rPr>
                      <w:rFonts w:hint="eastAsia"/>
                      <w:color w:val="auto"/>
                    </w:rPr>
                    <w:t>氮氧化物</w:t>
                  </w:r>
                </w:p>
              </w:tc>
              <w:tc>
                <w:tcPr>
                  <w:tcW w:w="1663" w:type="dxa"/>
                  <w:vAlign w:val="center"/>
                </w:tcPr>
                <w:p>
                  <w:pPr>
                    <w:pStyle w:val="2"/>
                    <w:spacing w:after="0"/>
                    <w:ind w:left="0" w:leftChars="0" w:firstLine="0" w:firstLineChars="0"/>
                    <w:jc w:val="center"/>
                    <w:rPr>
                      <w:color w:val="auto"/>
                    </w:rPr>
                  </w:pPr>
                  <w:r>
                    <w:rPr>
                      <w:rFonts w:hint="eastAsia"/>
                      <w:color w:val="auto"/>
                    </w:rPr>
                    <w:t>低氮燃烧、SCR法、低氮燃烧+SCR法、其他</w:t>
                  </w:r>
                </w:p>
              </w:tc>
              <w:tc>
                <w:tcPr>
                  <w:tcW w:w="1499" w:type="dxa"/>
                  <w:vAlign w:val="center"/>
                </w:tcPr>
                <w:p>
                  <w:pPr>
                    <w:pStyle w:val="2"/>
                    <w:spacing w:after="0"/>
                    <w:ind w:left="0" w:leftChars="0" w:firstLine="0" w:firstLineChars="0"/>
                    <w:jc w:val="center"/>
                    <w:rPr>
                      <w:color w:val="auto"/>
                    </w:rPr>
                  </w:pPr>
                  <w:r>
                    <w:rPr>
                      <w:rFonts w:hint="eastAsia"/>
                      <w:color w:val="auto"/>
                    </w:rPr>
                    <w:t>低氮燃烧</w:t>
                  </w:r>
                </w:p>
              </w:tc>
              <w:tc>
                <w:tcPr>
                  <w:tcW w:w="1033" w:type="dxa"/>
                  <w:vAlign w:val="center"/>
                </w:tcPr>
                <w:p>
                  <w:pPr>
                    <w:pStyle w:val="2"/>
                    <w:spacing w:after="0"/>
                    <w:ind w:left="0" w:leftChars="0" w:firstLine="0" w:firstLineChars="0"/>
                    <w:jc w:val="center"/>
                    <w:rPr>
                      <w:color w:val="auto"/>
                    </w:rPr>
                  </w:pPr>
                  <w:r>
                    <w:rPr>
                      <w:rFonts w:hint="eastAsia"/>
                      <w:color w:val="auto"/>
                    </w:rPr>
                    <w:t>是</w:t>
                  </w:r>
                  <w:r>
                    <w:rPr>
                      <w:rFonts w:hint="eastAsia"/>
                      <w:color w:val="auto"/>
                    </w:rPr>
                    <w:sym w:font="Wingdings 2" w:char="0052"/>
                  </w:r>
                </w:p>
                <w:p>
                  <w:pPr>
                    <w:pStyle w:val="2"/>
                    <w:spacing w:after="0"/>
                    <w:ind w:left="0" w:leftChars="0" w:firstLine="0" w:firstLineChars="0"/>
                    <w:jc w:val="center"/>
                    <w:rPr>
                      <w:color w:val="auto"/>
                    </w:rPr>
                  </w:pPr>
                  <w:r>
                    <w:rPr>
                      <w:rFonts w:hint="eastAsia"/>
                      <w:color w:val="auto"/>
                    </w:rPr>
                    <w:t>否</w:t>
                  </w:r>
                  <w:r>
                    <w:rPr>
                      <w:rFonts w:hint="eastAsia"/>
                      <w:color w:val="auto"/>
                    </w:rPr>
                    <w:sym w:font="Wingdings 2" w:char="00A3"/>
                  </w:r>
                </w:p>
              </w:tc>
            </w:tr>
          </w:tbl>
          <w:p>
            <w:pPr>
              <w:pStyle w:val="2"/>
              <w:spacing w:after="0" w:line="360" w:lineRule="auto"/>
              <w:ind w:left="0" w:leftChars="0" w:firstLine="450" w:firstLineChars="0"/>
              <w:rPr>
                <w:rFonts w:hint="eastAsia"/>
                <w:color w:val="auto"/>
                <w:sz w:val="24"/>
              </w:rPr>
            </w:pPr>
            <w:r>
              <w:rPr>
                <w:rFonts w:hint="eastAsia"/>
                <w:color w:val="auto"/>
                <w:sz w:val="24"/>
              </w:rPr>
              <w:t>对比分析可知，项目采取污染防治措施均为排污许可技术指南中明确的可行技术。</w:t>
            </w:r>
          </w:p>
          <w:p>
            <w:pPr>
              <w:pStyle w:val="2"/>
              <w:spacing w:after="0" w:line="360" w:lineRule="auto"/>
              <w:ind w:left="0" w:leftChars="0" w:firstLine="450" w:firstLineChars="0"/>
              <w:rPr>
                <w:rFonts w:hint="eastAsia"/>
                <w:color w:val="auto"/>
                <w:sz w:val="24"/>
                <w:lang w:val="en-US" w:eastAsia="zh-CN"/>
              </w:rPr>
            </w:pPr>
            <w:r>
              <w:rPr>
                <w:rFonts w:hint="eastAsia"/>
                <w:color w:val="auto"/>
                <w:sz w:val="24"/>
                <w:lang w:val="en-US" w:eastAsia="zh-CN"/>
              </w:rPr>
              <w:t>*：电捕集法是一种高压电场净化技术，其原理为通过电晕极高压放电使通过电场的粒子荷电，带电粒子在重力、洛仑磁力及在气体中的悬浮力的作用下，使其运行方向发生改变，在各种力的综合作用下，部分较大尺寸的粒子被捕集到静电除尘器的阳极极板上，但较小粒径的粒子或未荷电的粒子会随着气体被带出电场。</w:t>
            </w:r>
          </w:p>
          <w:p>
            <w:pPr>
              <w:pStyle w:val="2"/>
              <w:spacing w:after="0" w:line="360" w:lineRule="auto"/>
              <w:ind w:left="0" w:leftChars="0" w:firstLine="450" w:firstLineChars="0"/>
              <w:rPr>
                <w:rFonts w:hint="eastAsia"/>
                <w:color w:val="auto"/>
                <w:sz w:val="24"/>
                <w:lang w:val="en-US" w:eastAsia="zh-CN"/>
              </w:rPr>
            </w:pPr>
            <w:r>
              <w:rPr>
                <w:rFonts w:hint="eastAsia"/>
                <w:color w:val="auto"/>
                <w:sz w:val="24"/>
                <w:lang w:val="en-US" w:eastAsia="zh-CN"/>
              </w:rPr>
              <w:t>电捕集法主要净化设备为电捕焦油器，有3种结构形式，同心圆式电捕焦油器、管式电捕焦油器、卧式电捕焦油器和蜂窝状电捕焦油器。</w:t>
            </w:r>
          </w:p>
          <w:p>
            <w:pPr>
              <w:pStyle w:val="2"/>
              <w:spacing w:after="0" w:line="360" w:lineRule="auto"/>
              <w:ind w:left="0" w:leftChars="0" w:firstLine="450" w:firstLineChars="0"/>
              <w:rPr>
                <w:rFonts w:hint="eastAsia"/>
                <w:color w:val="auto"/>
                <w:sz w:val="24"/>
                <w:lang w:val="en-US" w:eastAsia="zh-CN"/>
              </w:rPr>
            </w:pPr>
            <w:r>
              <w:rPr>
                <w:rFonts w:hint="eastAsia"/>
                <w:color w:val="auto"/>
                <w:sz w:val="24"/>
                <w:lang w:val="en-US" w:eastAsia="zh-CN"/>
              </w:rPr>
              <w:t>电捕法是碳素行业采用最多的沥青烟气净化方法。电捕法可净化烟气中的沥青烟、苯并[a]芘和烟尘，对沥青烟、苯并[a]芘净化效率可达90%以上，对烟尘净化效率在99%以上。</w:t>
            </w:r>
          </w:p>
          <w:p>
            <w:pPr>
              <w:pStyle w:val="2"/>
              <w:spacing w:after="0" w:line="360" w:lineRule="auto"/>
              <w:ind w:left="0" w:leftChars="0" w:firstLine="450" w:firstLineChars="0"/>
              <w:rPr>
                <w:rFonts w:hint="eastAsia"/>
                <w:color w:val="auto"/>
                <w:sz w:val="24"/>
                <w:lang w:val="en-US" w:eastAsia="zh-CN"/>
              </w:rPr>
            </w:pPr>
            <w:r>
              <w:rPr>
                <w:rFonts w:hint="eastAsia"/>
                <w:color w:val="auto"/>
                <w:sz w:val="24"/>
                <w:lang w:val="en-US" w:eastAsia="zh-CN"/>
              </w:rPr>
              <w:t>黑法吸附即干法吸附，吸附法的原理为利用生产过程中的原料本身的表面活性，完成对沥青烟的吸附，吸附后的吸附剂再返回生产系统。该技术是用生产原料细颗粒炭粉做吸附剂，通过计量设备定量加于沥青烟干管中，使其充分与沥青烟混合接触，由于炭粉比表面积大，达</w:t>
            </w:r>
            <w:r>
              <w:rPr>
                <w:rFonts w:hint="default"/>
                <w:color w:val="auto"/>
                <w:sz w:val="24"/>
                <w:lang w:val="en-US" w:eastAsia="zh-CN"/>
              </w:rPr>
              <w:t>8-10cm</w:t>
            </w:r>
            <w:r>
              <w:rPr>
                <w:rFonts w:hint="default"/>
                <w:color w:val="auto"/>
                <w:sz w:val="24"/>
                <w:vertAlign w:val="superscript"/>
                <w:lang w:val="en-US" w:eastAsia="zh-CN"/>
              </w:rPr>
              <w:t>2</w:t>
            </w:r>
            <w:r>
              <w:rPr>
                <w:rFonts w:hint="default"/>
                <w:color w:val="auto"/>
                <w:sz w:val="24"/>
                <w:lang w:val="en-US" w:eastAsia="zh-CN"/>
              </w:rPr>
              <w:t>/g</w:t>
            </w:r>
            <w:r>
              <w:rPr>
                <w:rFonts w:hint="eastAsia"/>
                <w:color w:val="auto"/>
                <w:sz w:val="24"/>
                <w:lang w:val="en-US" w:eastAsia="zh-CN"/>
              </w:rPr>
              <w:t>，具有良好的吸附性，能充分吸收沥青烟和焦油，达到净化烟气的效果，加料后的沥青烟气首先进入旋风除尘器一级除尘分离，再进入布袋除尘器过滤，收集下来的炭粉重新返回生产工艺中。黑法净化技术特点是净化效率高、无二次污染，投资省、运行费用低，操作方便，吸附剂无需再生，可以直接返回生产系统，但是吸附管道较长，占地面积大，一般适应于烟气中含粉尘量较大，加料及回料方便，场地不受限制的净化系统，如混捏、成型设备的排烟净化。</w:t>
            </w:r>
          </w:p>
          <w:p>
            <w:pPr>
              <w:pStyle w:val="2"/>
              <w:spacing w:line="360" w:lineRule="auto"/>
              <w:ind w:left="0" w:leftChars="0" w:firstLine="0" w:firstLineChars="0"/>
              <w:rPr>
                <w:color w:val="auto"/>
                <w:sz w:val="24"/>
              </w:rPr>
            </w:pPr>
            <w:r>
              <w:rPr>
                <w:rFonts w:hint="eastAsia"/>
                <w:color w:val="auto"/>
                <w:sz w:val="24"/>
                <w:lang w:val="en-US" w:eastAsia="zh-CN"/>
              </w:rPr>
              <w:t xml:space="preserve">   </w:t>
            </w:r>
            <w:r>
              <w:rPr>
                <w:color w:val="auto"/>
                <w:sz w:val="24"/>
              </w:rPr>
              <w:t>4、排污口基本情况</w:t>
            </w:r>
          </w:p>
          <w:p>
            <w:pPr>
              <w:spacing w:line="360" w:lineRule="auto"/>
              <w:ind w:firstLine="480" w:firstLineChars="200"/>
              <w:rPr>
                <w:color w:val="auto"/>
                <w:sz w:val="24"/>
              </w:rPr>
            </w:pPr>
            <w:r>
              <w:rPr>
                <w:color w:val="auto"/>
                <w:sz w:val="24"/>
              </w:rPr>
              <w:t>项目有组织点源排放口基本情况见表</w:t>
            </w:r>
            <w:r>
              <w:rPr>
                <w:rFonts w:hint="eastAsia"/>
                <w:color w:val="auto"/>
                <w:sz w:val="24"/>
                <w:lang w:val="en-US" w:eastAsia="zh-CN"/>
              </w:rPr>
              <w:t>30</w:t>
            </w:r>
            <w:r>
              <w:rPr>
                <w:color w:val="auto"/>
                <w:sz w:val="24"/>
              </w:rPr>
              <w:t>。</w:t>
            </w:r>
          </w:p>
          <w:p>
            <w:pPr>
              <w:jc w:val="center"/>
              <w:rPr>
                <w:color w:val="auto"/>
              </w:rPr>
            </w:pPr>
            <w:r>
              <w:rPr>
                <w:b/>
                <w:bCs/>
                <w:color w:val="auto"/>
                <w:sz w:val="24"/>
              </w:rPr>
              <w:t>表</w:t>
            </w:r>
            <w:r>
              <w:rPr>
                <w:rFonts w:hint="eastAsia"/>
                <w:b/>
                <w:bCs/>
                <w:color w:val="auto"/>
                <w:sz w:val="24"/>
                <w:lang w:val="en-US" w:eastAsia="zh-CN"/>
              </w:rPr>
              <w:t>30</w:t>
            </w:r>
            <w:r>
              <w:rPr>
                <w:b/>
                <w:bCs/>
                <w:color w:val="auto"/>
                <w:sz w:val="24"/>
              </w:rPr>
              <w:t>项目排放口基本情况</w:t>
            </w:r>
          </w:p>
          <w:tbl>
            <w:tblPr>
              <w:tblStyle w:val="22"/>
              <w:tblW w:w="4994"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80"/>
              <w:gridCol w:w="2014"/>
              <w:gridCol w:w="524"/>
              <w:gridCol w:w="1382"/>
              <w:gridCol w:w="1331"/>
              <w:gridCol w:w="572"/>
              <w:gridCol w:w="572"/>
              <w:gridCol w:w="6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Merge w:val="restart"/>
                  <w:tcBorders>
                    <w:tl2br w:val="nil"/>
                    <w:tr2bl w:val="nil"/>
                  </w:tcBorders>
                  <w:vAlign w:val="center"/>
                </w:tcPr>
                <w:p>
                  <w:pPr>
                    <w:jc w:val="center"/>
                    <w:rPr>
                      <w:color w:val="auto"/>
                      <w:sz w:val="18"/>
                      <w:szCs w:val="18"/>
                    </w:rPr>
                  </w:pPr>
                  <w:r>
                    <w:rPr>
                      <w:color w:val="auto"/>
                      <w:sz w:val="18"/>
                      <w:szCs w:val="18"/>
                    </w:rPr>
                    <w:t>编号</w:t>
                  </w:r>
                </w:p>
              </w:tc>
              <w:tc>
                <w:tcPr>
                  <w:tcW w:w="1307" w:type="pct"/>
                  <w:vMerge w:val="restart"/>
                  <w:tcBorders>
                    <w:tl2br w:val="nil"/>
                    <w:tr2bl w:val="nil"/>
                  </w:tcBorders>
                  <w:vAlign w:val="center"/>
                </w:tcPr>
                <w:p>
                  <w:pPr>
                    <w:jc w:val="center"/>
                    <w:rPr>
                      <w:color w:val="auto"/>
                      <w:sz w:val="18"/>
                      <w:szCs w:val="18"/>
                    </w:rPr>
                  </w:pPr>
                  <w:r>
                    <w:rPr>
                      <w:color w:val="auto"/>
                      <w:sz w:val="18"/>
                      <w:szCs w:val="18"/>
                    </w:rPr>
                    <w:t>名称</w:t>
                  </w:r>
                </w:p>
              </w:tc>
              <w:tc>
                <w:tcPr>
                  <w:tcW w:w="340" w:type="pct"/>
                  <w:vMerge w:val="restart"/>
                  <w:tcBorders>
                    <w:tl2br w:val="nil"/>
                    <w:tr2bl w:val="nil"/>
                  </w:tcBorders>
                  <w:vAlign w:val="center"/>
                </w:tcPr>
                <w:p>
                  <w:pPr>
                    <w:jc w:val="center"/>
                    <w:rPr>
                      <w:color w:val="auto"/>
                      <w:sz w:val="18"/>
                      <w:szCs w:val="18"/>
                    </w:rPr>
                  </w:pPr>
                  <w:r>
                    <w:rPr>
                      <w:color w:val="auto"/>
                      <w:sz w:val="18"/>
                      <w:szCs w:val="18"/>
                    </w:rPr>
                    <w:t>排放口类型</w:t>
                  </w:r>
                </w:p>
              </w:tc>
              <w:tc>
                <w:tcPr>
                  <w:tcW w:w="1761" w:type="pct"/>
                  <w:gridSpan w:val="2"/>
                  <w:tcBorders>
                    <w:tl2br w:val="nil"/>
                    <w:tr2bl w:val="nil"/>
                  </w:tcBorders>
                  <w:vAlign w:val="center"/>
                </w:tcPr>
                <w:p>
                  <w:pPr>
                    <w:jc w:val="center"/>
                    <w:rPr>
                      <w:color w:val="auto"/>
                      <w:sz w:val="18"/>
                      <w:szCs w:val="18"/>
                    </w:rPr>
                  </w:pPr>
                  <w:r>
                    <w:rPr>
                      <w:color w:val="auto"/>
                      <w:sz w:val="18"/>
                      <w:szCs w:val="18"/>
                    </w:rPr>
                    <w:t>排气筒底部中心坐标(°)</w:t>
                  </w:r>
                </w:p>
              </w:tc>
              <w:tc>
                <w:tcPr>
                  <w:tcW w:w="371" w:type="pct"/>
                  <w:vMerge w:val="restart"/>
                  <w:tcBorders>
                    <w:tl2br w:val="nil"/>
                    <w:tr2bl w:val="nil"/>
                  </w:tcBorders>
                  <w:vAlign w:val="center"/>
                </w:tcPr>
                <w:p>
                  <w:pPr>
                    <w:jc w:val="center"/>
                    <w:rPr>
                      <w:color w:val="auto"/>
                      <w:sz w:val="18"/>
                      <w:szCs w:val="18"/>
                    </w:rPr>
                  </w:pPr>
                  <w:r>
                    <w:rPr>
                      <w:color w:val="auto"/>
                      <w:sz w:val="18"/>
                      <w:szCs w:val="18"/>
                    </w:rPr>
                    <w:t>排气筒高度m</w:t>
                  </w:r>
                </w:p>
              </w:tc>
              <w:tc>
                <w:tcPr>
                  <w:tcW w:w="371" w:type="pct"/>
                  <w:vMerge w:val="restart"/>
                  <w:tcBorders>
                    <w:tl2br w:val="nil"/>
                    <w:tr2bl w:val="nil"/>
                  </w:tcBorders>
                  <w:vAlign w:val="center"/>
                </w:tcPr>
                <w:p>
                  <w:pPr>
                    <w:jc w:val="center"/>
                    <w:rPr>
                      <w:color w:val="auto"/>
                      <w:sz w:val="18"/>
                      <w:szCs w:val="18"/>
                    </w:rPr>
                  </w:pPr>
                  <w:r>
                    <w:rPr>
                      <w:color w:val="auto"/>
                      <w:sz w:val="18"/>
                      <w:szCs w:val="18"/>
                    </w:rPr>
                    <w:t>排气筒出口内径m</w:t>
                  </w:r>
                </w:p>
              </w:tc>
              <w:tc>
                <w:tcPr>
                  <w:tcW w:w="405" w:type="pct"/>
                  <w:vMerge w:val="restart"/>
                  <w:tcBorders>
                    <w:tl2br w:val="nil"/>
                    <w:tr2bl w:val="nil"/>
                  </w:tcBorders>
                  <w:vAlign w:val="center"/>
                </w:tcPr>
                <w:p>
                  <w:pPr>
                    <w:jc w:val="center"/>
                    <w:rPr>
                      <w:color w:val="auto"/>
                      <w:sz w:val="18"/>
                      <w:szCs w:val="18"/>
                    </w:rPr>
                  </w:pPr>
                  <w:r>
                    <w:rPr>
                      <w:color w:val="auto"/>
                      <w:sz w:val="18"/>
                      <w:szCs w:val="18"/>
                    </w:rPr>
                    <w:t>烟气温度℃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Merge w:val="continue"/>
                  <w:tcBorders>
                    <w:tl2br w:val="nil"/>
                    <w:tr2bl w:val="nil"/>
                  </w:tcBorders>
                  <w:vAlign w:val="center"/>
                </w:tcPr>
                <w:p>
                  <w:pPr>
                    <w:jc w:val="center"/>
                    <w:rPr>
                      <w:color w:val="auto"/>
                      <w:sz w:val="18"/>
                      <w:szCs w:val="18"/>
                    </w:rPr>
                  </w:pPr>
                </w:p>
              </w:tc>
              <w:tc>
                <w:tcPr>
                  <w:tcW w:w="1307" w:type="pct"/>
                  <w:vMerge w:val="continue"/>
                  <w:tcBorders>
                    <w:tl2br w:val="nil"/>
                    <w:tr2bl w:val="nil"/>
                  </w:tcBorders>
                  <w:vAlign w:val="center"/>
                </w:tcPr>
                <w:p>
                  <w:pPr>
                    <w:jc w:val="center"/>
                    <w:rPr>
                      <w:color w:val="auto"/>
                      <w:sz w:val="18"/>
                      <w:szCs w:val="18"/>
                    </w:rPr>
                  </w:pP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color w:val="auto"/>
                      <w:sz w:val="18"/>
                      <w:szCs w:val="18"/>
                    </w:rPr>
                    <w:t>经度</w:t>
                  </w:r>
                </w:p>
              </w:tc>
              <w:tc>
                <w:tcPr>
                  <w:tcW w:w="864" w:type="pct"/>
                  <w:tcBorders>
                    <w:tl2br w:val="nil"/>
                    <w:tr2bl w:val="nil"/>
                  </w:tcBorders>
                  <w:vAlign w:val="center"/>
                </w:tcPr>
                <w:p>
                  <w:pPr>
                    <w:jc w:val="center"/>
                    <w:rPr>
                      <w:color w:val="auto"/>
                      <w:sz w:val="18"/>
                      <w:szCs w:val="18"/>
                    </w:rPr>
                  </w:pPr>
                  <w:r>
                    <w:rPr>
                      <w:color w:val="auto"/>
                      <w:sz w:val="18"/>
                      <w:szCs w:val="18"/>
                    </w:rPr>
                    <w:t>纬度</w:t>
                  </w:r>
                </w:p>
              </w:tc>
              <w:tc>
                <w:tcPr>
                  <w:tcW w:w="371" w:type="pct"/>
                  <w:vMerge w:val="continue"/>
                  <w:tcBorders>
                    <w:tl2br w:val="nil"/>
                    <w:tr2bl w:val="nil"/>
                  </w:tcBorders>
                  <w:vAlign w:val="center"/>
                </w:tcPr>
                <w:p>
                  <w:pPr>
                    <w:jc w:val="center"/>
                    <w:rPr>
                      <w:color w:val="auto"/>
                      <w:sz w:val="18"/>
                      <w:szCs w:val="18"/>
                    </w:rPr>
                  </w:pPr>
                </w:p>
              </w:tc>
              <w:tc>
                <w:tcPr>
                  <w:tcW w:w="371" w:type="pct"/>
                  <w:vMerge w:val="continue"/>
                  <w:tcBorders>
                    <w:tl2br w:val="nil"/>
                    <w:tr2bl w:val="nil"/>
                  </w:tcBorders>
                  <w:vAlign w:val="center"/>
                </w:tcPr>
                <w:p>
                  <w:pPr>
                    <w:jc w:val="center"/>
                    <w:rPr>
                      <w:color w:val="auto"/>
                      <w:sz w:val="18"/>
                      <w:szCs w:val="18"/>
                    </w:rPr>
                  </w:pPr>
                </w:p>
              </w:tc>
              <w:tc>
                <w:tcPr>
                  <w:tcW w:w="405" w:type="pct"/>
                  <w:vMerge w:val="continue"/>
                  <w:tcBorders>
                    <w:tl2br w:val="nil"/>
                    <w:tr2bl w:val="nil"/>
                  </w:tcBorders>
                  <w:vAlign w:val="center"/>
                </w:tcPr>
                <w:p>
                  <w:pPr>
                    <w:jc w:val="center"/>
                    <w:rPr>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DA001</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原料处理系统废气处理设施排放口</w:t>
                  </w:r>
                </w:p>
              </w:tc>
              <w:tc>
                <w:tcPr>
                  <w:tcW w:w="340" w:type="pct"/>
                  <w:vMerge w:val="restart"/>
                  <w:tcBorders>
                    <w:tl2br w:val="nil"/>
                    <w:tr2bl w:val="nil"/>
                  </w:tcBorders>
                  <w:vAlign w:val="center"/>
                </w:tcPr>
                <w:p>
                  <w:pPr>
                    <w:jc w:val="center"/>
                    <w:rPr>
                      <w:color w:val="auto"/>
                      <w:sz w:val="18"/>
                      <w:szCs w:val="18"/>
                    </w:rPr>
                  </w:pPr>
                  <w:r>
                    <w:rPr>
                      <w:color w:val="auto"/>
                      <w:sz w:val="18"/>
                      <w:szCs w:val="18"/>
                    </w:rPr>
                    <w:t>一</w:t>
                  </w:r>
                </w:p>
                <w:p>
                  <w:pPr>
                    <w:jc w:val="center"/>
                    <w:rPr>
                      <w:color w:val="auto"/>
                      <w:sz w:val="18"/>
                      <w:szCs w:val="18"/>
                    </w:rPr>
                  </w:pPr>
                  <w:r>
                    <w:rPr>
                      <w:color w:val="auto"/>
                      <w:sz w:val="18"/>
                      <w:szCs w:val="18"/>
                    </w:rPr>
                    <w:t>般</w:t>
                  </w:r>
                </w:p>
                <w:p>
                  <w:pPr>
                    <w:jc w:val="center"/>
                    <w:rPr>
                      <w:color w:val="auto"/>
                      <w:sz w:val="18"/>
                      <w:szCs w:val="18"/>
                    </w:rPr>
                  </w:pPr>
                  <w:r>
                    <w:rPr>
                      <w:color w:val="auto"/>
                      <w:sz w:val="18"/>
                      <w:szCs w:val="18"/>
                    </w:rPr>
                    <w:t>排</w:t>
                  </w:r>
                </w:p>
                <w:p>
                  <w:pPr>
                    <w:jc w:val="center"/>
                    <w:rPr>
                      <w:color w:val="auto"/>
                      <w:sz w:val="18"/>
                      <w:szCs w:val="18"/>
                    </w:rPr>
                  </w:pPr>
                  <w:r>
                    <w:rPr>
                      <w:color w:val="auto"/>
                      <w:sz w:val="18"/>
                      <w:szCs w:val="18"/>
                    </w:rPr>
                    <w:t>放</w:t>
                  </w:r>
                </w:p>
                <w:p>
                  <w:pPr>
                    <w:jc w:val="center"/>
                    <w:rPr>
                      <w:color w:val="auto"/>
                      <w:sz w:val="18"/>
                      <w:szCs w:val="18"/>
                    </w:rPr>
                  </w:pPr>
                  <w:r>
                    <w:rPr>
                      <w:color w:val="auto"/>
                      <w:sz w:val="18"/>
                      <w:szCs w:val="18"/>
                    </w:rPr>
                    <w:t>口</w:t>
                  </w:r>
                </w:p>
              </w:tc>
              <w:tc>
                <w:tcPr>
                  <w:tcW w:w="897" w:type="pct"/>
                  <w:tcBorders>
                    <w:tl2br w:val="nil"/>
                    <w:tr2bl w:val="nil"/>
                  </w:tcBorders>
                  <w:vAlign w:val="center"/>
                </w:tcPr>
                <w:p>
                  <w:pPr>
                    <w:jc w:val="center"/>
                    <w:rPr>
                      <w:color w:val="auto"/>
                      <w:sz w:val="18"/>
                      <w:szCs w:val="18"/>
                    </w:rPr>
                  </w:pPr>
                  <w:r>
                    <w:rPr>
                      <w:rFonts w:hint="eastAsia"/>
                      <w:color w:val="auto"/>
                      <w:sz w:val="18"/>
                      <w:szCs w:val="18"/>
                    </w:rPr>
                    <w:t>113.462505E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39.884697N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DA002</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原料转运系统废气处理设施排放口（1#）</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113.462364E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39.884661N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0.60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DA003</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原料转运系统废气处理设施排放口（2#）</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113.462236E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39.884634N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DA004</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原料转运系统废气处理设施排放口（3#）</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113.462283E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39.884553N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DA005</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原料转运系统废气处理设施排放口（4#）</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113.462446E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39.884598N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1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DA006</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原料转运系统废气处理设施排放口（5#）</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113.462575E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39.884643N</w:t>
                  </w:r>
                </w:p>
              </w:tc>
              <w:tc>
                <w:tcPr>
                  <w:tcW w:w="371"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1.00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71"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DA007</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原料转运系统废气处理设施排放口（6#）</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113.462353E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39.884445N</w:t>
                  </w:r>
                </w:p>
              </w:tc>
              <w:tc>
                <w:tcPr>
                  <w:tcW w:w="371"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0.30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DA008</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返回料处理系统废气处理设施排放口（1#）</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113.462516E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39.884508N</w:t>
                  </w:r>
                </w:p>
              </w:tc>
              <w:tc>
                <w:tcPr>
                  <w:tcW w:w="371"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DA009</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返回料处理系统废气处理设施排放口（2#）</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113.462657E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39.884544N</w:t>
                  </w:r>
                </w:p>
              </w:tc>
              <w:tc>
                <w:tcPr>
                  <w:tcW w:w="371"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15</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0.50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DA010</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返回料中碎筛分系统废气处理设施排放口</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113.462961E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39.884373N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46</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DA011</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针状焦中碎筛分系统废气处理设施排放口（1#）</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113.463125E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39.884418N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46</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DA012</w:t>
                  </w:r>
                </w:p>
              </w:tc>
              <w:tc>
                <w:tcPr>
                  <w:tcW w:w="1307" w:type="pct"/>
                  <w:tcBorders>
                    <w:tl2br w:val="nil"/>
                    <w:tr2bl w:val="nil"/>
                  </w:tcBorders>
                  <w:vAlign w:val="center"/>
                </w:tcPr>
                <w:p>
                  <w:pPr>
                    <w:spacing w:line="0" w:lineRule="atLeast"/>
                    <w:jc w:val="center"/>
                    <w:rPr>
                      <w:color w:val="auto"/>
                      <w:sz w:val="18"/>
                      <w:szCs w:val="18"/>
                    </w:rPr>
                  </w:pPr>
                  <w:r>
                    <w:rPr>
                      <w:rFonts w:hint="eastAsia"/>
                      <w:color w:val="auto"/>
                      <w:sz w:val="18"/>
                      <w:szCs w:val="18"/>
                    </w:rPr>
                    <w:t>针状焦中碎筛分系统废气处理设施排放口（2#）</w:t>
                  </w:r>
                </w:p>
              </w:tc>
              <w:tc>
                <w:tcPr>
                  <w:tcW w:w="340" w:type="pct"/>
                  <w:vMerge w:val="continue"/>
                  <w:tcBorders>
                    <w:tl2br w:val="nil"/>
                    <w:tr2bl w:val="nil"/>
                  </w:tcBorders>
                  <w:vAlign w:val="center"/>
                </w:tcPr>
                <w:p>
                  <w:pPr>
                    <w:jc w:val="center"/>
                    <w:rPr>
                      <w:color w:val="auto"/>
                      <w:sz w:val="18"/>
                      <w:szCs w:val="18"/>
                    </w:rPr>
                  </w:pPr>
                </w:p>
              </w:tc>
              <w:tc>
                <w:tcPr>
                  <w:tcW w:w="897" w:type="pct"/>
                  <w:tcBorders>
                    <w:tl2br w:val="nil"/>
                    <w:tr2bl w:val="nil"/>
                  </w:tcBorders>
                  <w:vAlign w:val="center"/>
                </w:tcPr>
                <w:p>
                  <w:pPr>
                    <w:jc w:val="center"/>
                    <w:rPr>
                      <w:color w:val="auto"/>
                      <w:sz w:val="18"/>
                      <w:szCs w:val="18"/>
                    </w:rPr>
                  </w:pPr>
                  <w:r>
                    <w:rPr>
                      <w:rFonts w:hint="eastAsia"/>
                      <w:color w:val="auto"/>
                      <w:sz w:val="18"/>
                      <w:szCs w:val="18"/>
                    </w:rPr>
                    <w:t>113.463242E</w:t>
                  </w:r>
                </w:p>
              </w:tc>
              <w:tc>
                <w:tcPr>
                  <w:tcW w:w="864" w:type="pct"/>
                  <w:tcBorders>
                    <w:tl2br w:val="nil"/>
                    <w:tr2bl w:val="nil"/>
                  </w:tcBorders>
                  <w:vAlign w:val="center"/>
                </w:tcPr>
                <w:p>
                  <w:pPr>
                    <w:jc w:val="center"/>
                    <w:rPr>
                      <w:color w:val="auto"/>
                      <w:sz w:val="18"/>
                      <w:szCs w:val="18"/>
                    </w:rPr>
                  </w:pPr>
                  <w:r>
                    <w:rPr>
                      <w:rFonts w:hint="eastAsia"/>
                      <w:color w:val="auto"/>
                      <w:sz w:val="18"/>
                      <w:szCs w:val="18"/>
                    </w:rPr>
                    <w:t>39.884418N</w:t>
                  </w:r>
                </w:p>
              </w:tc>
              <w:tc>
                <w:tcPr>
                  <w:tcW w:w="371" w:type="pct"/>
                  <w:tcBorders>
                    <w:tl2br w:val="nil"/>
                    <w:tr2bl w:val="nil"/>
                  </w:tcBorders>
                  <w:vAlign w:val="center"/>
                </w:tcPr>
                <w:p>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46</w:t>
                  </w:r>
                </w:p>
              </w:tc>
              <w:tc>
                <w:tcPr>
                  <w:tcW w:w="371" w:type="pct"/>
                  <w:tcBorders>
                    <w:tl2br w:val="nil"/>
                    <w:tr2bl w:val="nil"/>
                  </w:tcBorders>
                  <w:vAlign w:val="center"/>
                </w:tcPr>
                <w:p>
                  <w:pPr>
                    <w:widowControl/>
                    <w:jc w:val="center"/>
                    <w:textAlignment w:val="center"/>
                    <w:rPr>
                      <w:color w:val="auto"/>
                      <w:sz w:val="18"/>
                      <w:szCs w:val="18"/>
                    </w:rPr>
                  </w:pPr>
                  <w:r>
                    <w:rPr>
                      <w:rFonts w:hint="eastAsia"/>
                      <w:color w:val="auto"/>
                      <w:sz w:val="18"/>
                      <w:szCs w:val="18"/>
                    </w:rPr>
                    <w:t>0.70</w:t>
                  </w:r>
                </w:p>
              </w:tc>
              <w:tc>
                <w:tcPr>
                  <w:tcW w:w="405" w:type="pct"/>
                  <w:tcBorders>
                    <w:tl2br w:val="nil"/>
                    <w:tr2bl w:val="nil"/>
                  </w:tcBorders>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DA013</w:t>
                  </w:r>
                </w:p>
              </w:tc>
              <w:tc>
                <w:tcPr>
                  <w:tcW w:w="1307" w:type="pct"/>
                  <w:vAlign w:val="center"/>
                </w:tcPr>
                <w:p>
                  <w:pPr>
                    <w:spacing w:line="0" w:lineRule="atLeast"/>
                    <w:jc w:val="center"/>
                    <w:rPr>
                      <w:color w:val="auto"/>
                      <w:sz w:val="18"/>
                      <w:szCs w:val="18"/>
                    </w:rPr>
                  </w:pPr>
                  <w:r>
                    <w:rPr>
                      <w:rFonts w:hint="eastAsia"/>
                      <w:color w:val="auto"/>
                      <w:sz w:val="18"/>
                      <w:szCs w:val="18"/>
                    </w:rPr>
                    <w:t>石油焦中碎筛分系统废气处理设施排放口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113.462844E</w:t>
                  </w:r>
                </w:p>
              </w:tc>
              <w:tc>
                <w:tcPr>
                  <w:tcW w:w="864" w:type="pct"/>
                  <w:vAlign w:val="center"/>
                </w:tcPr>
                <w:p>
                  <w:pPr>
                    <w:jc w:val="center"/>
                    <w:rPr>
                      <w:color w:val="auto"/>
                      <w:sz w:val="18"/>
                      <w:szCs w:val="18"/>
                    </w:rPr>
                  </w:pPr>
                  <w:r>
                    <w:rPr>
                      <w:rFonts w:hint="eastAsia"/>
                      <w:color w:val="auto"/>
                      <w:sz w:val="18"/>
                      <w:szCs w:val="18"/>
                    </w:rPr>
                    <w:t>39.884219N</w:t>
                  </w:r>
                </w:p>
              </w:tc>
              <w:tc>
                <w:tcPr>
                  <w:tcW w:w="371" w:type="pct"/>
                  <w:vAlign w:val="center"/>
                </w:tcPr>
                <w:p>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4</w:t>
                  </w:r>
                  <w:r>
                    <w:rPr>
                      <w:rFonts w:hint="eastAsia"/>
                      <w:color w:val="auto"/>
                      <w:kern w:val="0"/>
                      <w:sz w:val="18"/>
                      <w:szCs w:val="18"/>
                      <w:highlight w:val="none"/>
                      <w:lang w:val="en-US" w:eastAsia="zh-CN" w:bidi="ar"/>
                    </w:rPr>
                    <w:t>6</w:t>
                  </w:r>
                </w:p>
              </w:tc>
              <w:tc>
                <w:tcPr>
                  <w:tcW w:w="371" w:type="pct"/>
                  <w:vAlign w:val="center"/>
                </w:tcPr>
                <w:p>
                  <w:pPr>
                    <w:widowControl/>
                    <w:jc w:val="center"/>
                    <w:textAlignment w:val="center"/>
                    <w:rPr>
                      <w:color w:val="auto"/>
                      <w:sz w:val="18"/>
                      <w:szCs w:val="18"/>
                    </w:rPr>
                  </w:pPr>
                  <w:r>
                    <w:rPr>
                      <w:rFonts w:hint="eastAsia"/>
                      <w:color w:val="auto"/>
                      <w:sz w:val="18"/>
                      <w:szCs w:val="18"/>
                    </w:rPr>
                    <w:t>0.70</w:t>
                  </w:r>
                </w:p>
              </w:tc>
              <w:tc>
                <w:tcPr>
                  <w:tcW w:w="405" w:type="pct"/>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DA014</w:t>
                  </w:r>
                </w:p>
              </w:tc>
              <w:tc>
                <w:tcPr>
                  <w:tcW w:w="1307" w:type="pct"/>
                  <w:vAlign w:val="center"/>
                </w:tcPr>
                <w:p>
                  <w:pPr>
                    <w:spacing w:line="0" w:lineRule="atLeast"/>
                    <w:jc w:val="center"/>
                    <w:rPr>
                      <w:color w:val="auto"/>
                      <w:sz w:val="18"/>
                      <w:szCs w:val="18"/>
                    </w:rPr>
                  </w:pPr>
                  <w:r>
                    <w:rPr>
                      <w:rFonts w:hint="eastAsia"/>
                      <w:color w:val="auto"/>
                      <w:sz w:val="18"/>
                      <w:szCs w:val="18"/>
                    </w:rPr>
                    <w:t>磨粉机废气排放口（1#）</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113.463054E</w:t>
                  </w:r>
                </w:p>
              </w:tc>
              <w:tc>
                <w:tcPr>
                  <w:tcW w:w="864" w:type="pct"/>
                  <w:vAlign w:val="center"/>
                </w:tcPr>
                <w:p>
                  <w:pPr>
                    <w:jc w:val="center"/>
                    <w:rPr>
                      <w:color w:val="auto"/>
                      <w:sz w:val="18"/>
                      <w:szCs w:val="18"/>
                    </w:rPr>
                  </w:pPr>
                  <w:r>
                    <w:rPr>
                      <w:rFonts w:hint="eastAsia"/>
                      <w:color w:val="auto"/>
                      <w:sz w:val="18"/>
                      <w:szCs w:val="18"/>
                    </w:rPr>
                    <w:t>39.884273N</w:t>
                  </w:r>
                </w:p>
              </w:tc>
              <w:tc>
                <w:tcPr>
                  <w:tcW w:w="371" w:type="pct"/>
                  <w:vAlign w:val="center"/>
                </w:tcPr>
                <w:p>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4</w:t>
                  </w:r>
                  <w:r>
                    <w:rPr>
                      <w:rFonts w:hint="eastAsia"/>
                      <w:color w:val="auto"/>
                      <w:kern w:val="0"/>
                      <w:sz w:val="18"/>
                      <w:szCs w:val="18"/>
                      <w:highlight w:val="none"/>
                      <w:lang w:val="en-US" w:eastAsia="zh-CN" w:bidi="ar"/>
                    </w:rPr>
                    <w:t>6</w:t>
                  </w:r>
                </w:p>
              </w:tc>
              <w:tc>
                <w:tcPr>
                  <w:tcW w:w="371" w:type="pct"/>
                  <w:vAlign w:val="center"/>
                </w:tcPr>
                <w:p>
                  <w:pPr>
                    <w:widowControl/>
                    <w:jc w:val="center"/>
                    <w:textAlignment w:val="center"/>
                    <w:rPr>
                      <w:color w:val="auto"/>
                      <w:sz w:val="18"/>
                      <w:szCs w:val="18"/>
                    </w:rPr>
                  </w:pPr>
                  <w:r>
                    <w:rPr>
                      <w:rFonts w:hint="eastAsia"/>
                      <w:color w:val="auto"/>
                      <w:sz w:val="18"/>
                      <w:szCs w:val="18"/>
                    </w:rPr>
                    <w:t>0.70</w:t>
                  </w:r>
                </w:p>
              </w:tc>
              <w:tc>
                <w:tcPr>
                  <w:tcW w:w="405" w:type="pct"/>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DA015</w:t>
                  </w:r>
                </w:p>
              </w:tc>
              <w:tc>
                <w:tcPr>
                  <w:tcW w:w="1307" w:type="pct"/>
                  <w:vAlign w:val="center"/>
                </w:tcPr>
                <w:p>
                  <w:pPr>
                    <w:spacing w:line="0" w:lineRule="atLeast"/>
                    <w:jc w:val="center"/>
                    <w:rPr>
                      <w:color w:val="auto"/>
                      <w:sz w:val="18"/>
                      <w:szCs w:val="18"/>
                    </w:rPr>
                  </w:pPr>
                  <w:r>
                    <w:rPr>
                      <w:rFonts w:hint="eastAsia"/>
                      <w:color w:val="auto"/>
                      <w:sz w:val="18"/>
                      <w:szCs w:val="18"/>
                    </w:rPr>
                    <w:t>磨粉机废气排放口（2#）</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113.463218E</w:t>
                  </w:r>
                </w:p>
              </w:tc>
              <w:tc>
                <w:tcPr>
                  <w:tcW w:w="864" w:type="pct"/>
                  <w:vAlign w:val="center"/>
                </w:tcPr>
                <w:p>
                  <w:pPr>
                    <w:jc w:val="center"/>
                    <w:rPr>
                      <w:color w:val="auto"/>
                      <w:sz w:val="18"/>
                      <w:szCs w:val="18"/>
                    </w:rPr>
                  </w:pPr>
                  <w:r>
                    <w:rPr>
                      <w:rFonts w:hint="eastAsia"/>
                      <w:color w:val="auto"/>
                      <w:sz w:val="18"/>
                      <w:szCs w:val="18"/>
                    </w:rPr>
                    <w:t>39.884328N</w:t>
                  </w:r>
                </w:p>
              </w:tc>
              <w:tc>
                <w:tcPr>
                  <w:tcW w:w="371" w:type="pct"/>
                  <w:vAlign w:val="center"/>
                </w:tcPr>
                <w:p>
                  <w:pPr>
                    <w:widowControl/>
                    <w:jc w:val="center"/>
                    <w:textAlignment w:val="center"/>
                    <w:rPr>
                      <w:rFonts w:hint="eastAsia" w:eastAsia="宋体"/>
                      <w:color w:val="auto"/>
                      <w:sz w:val="18"/>
                      <w:szCs w:val="18"/>
                      <w:highlight w:val="none"/>
                      <w:lang w:eastAsia="zh-CN"/>
                    </w:rPr>
                  </w:pPr>
                  <w:r>
                    <w:rPr>
                      <w:color w:val="auto"/>
                      <w:kern w:val="0"/>
                      <w:sz w:val="18"/>
                      <w:szCs w:val="18"/>
                      <w:highlight w:val="none"/>
                      <w:lang w:bidi="ar"/>
                    </w:rPr>
                    <w:t>4</w:t>
                  </w:r>
                  <w:r>
                    <w:rPr>
                      <w:rFonts w:hint="eastAsia"/>
                      <w:color w:val="auto"/>
                      <w:kern w:val="0"/>
                      <w:sz w:val="18"/>
                      <w:szCs w:val="18"/>
                      <w:highlight w:val="none"/>
                      <w:lang w:val="en-US" w:eastAsia="zh-CN" w:bidi="ar"/>
                    </w:rPr>
                    <w:t>6</w:t>
                  </w:r>
                </w:p>
              </w:tc>
              <w:tc>
                <w:tcPr>
                  <w:tcW w:w="371" w:type="pct"/>
                  <w:vAlign w:val="center"/>
                </w:tcPr>
                <w:p>
                  <w:pPr>
                    <w:widowControl/>
                    <w:jc w:val="center"/>
                    <w:textAlignment w:val="center"/>
                    <w:rPr>
                      <w:color w:val="auto"/>
                      <w:sz w:val="18"/>
                      <w:szCs w:val="18"/>
                    </w:rPr>
                  </w:pPr>
                  <w:r>
                    <w:rPr>
                      <w:rFonts w:hint="eastAsia"/>
                      <w:color w:val="auto"/>
                      <w:sz w:val="18"/>
                      <w:szCs w:val="18"/>
                    </w:rPr>
                    <w:t>0.70</w:t>
                  </w:r>
                </w:p>
              </w:tc>
              <w:tc>
                <w:tcPr>
                  <w:tcW w:w="405" w:type="pct"/>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DA016</w:t>
                  </w:r>
                </w:p>
              </w:tc>
              <w:tc>
                <w:tcPr>
                  <w:tcW w:w="1307" w:type="pct"/>
                  <w:vAlign w:val="center"/>
                </w:tcPr>
                <w:p>
                  <w:pPr>
                    <w:spacing w:line="0" w:lineRule="atLeast"/>
                    <w:jc w:val="center"/>
                    <w:rPr>
                      <w:color w:val="auto"/>
                      <w:sz w:val="18"/>
                      <w:szCs w:val="18"/>
                    </w:rPr>
                  </w:pPr>
                  <w:r>
                    <w:rPr>
                      <w:rFonts w:hint="eastAsia"/>
                      <w:color w:val="auto"/>
                      <w:sz w:val="18"/>
                      <w:szCs w:val="18"/>
                    </w:rPr>
                    <w:t>磨粉机废气排放口（3#）</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113.463440E</w:t>
                  </w:r>
                </w:p>
              </w:tc>
              <w:tc>
                <w:tcPr>
                  <w:tcW w:w="864" w:type="pct"/>
                  <w:vAlign w:val="center"/>
                </w:tcPr>
                <w:p>
                  <w:pPr>
                    <w:jc w:val="center"/>
                    <w:rPr>
                      <w:color w:val="auto"/>
                      <w:sz w:val="18"/>
                      <w:szCs w:val="18"/>
                    </w:rPr>
                  </w:pPr>
                  <w:r>
                    <w:rPr>
                      <w:rFonts w:hint="eastAsia"/>
                      <w:color w:val="auto"/>
                      <w:sz w:val="18"/>
                      <w:szCs w:val="18"/>
                    </w:rPr>
                    <w:t>39.884174N</w:t>
                  </w:r>
                </w:p>
              </w:tc>
              <w:tc>
                <w:tcPr>
                  <w:tcW w:w="371" w:type="pct"/>
                  <w:vAlign w:val="center"/>
                </w:tcPr>
                <w:p>
                  <w:pPr>
                    <w:widowControl/>
                    <w:jc w:val="center"/>
                    <w:textAlignment w:val="center"/>
                    <w:rPr>
                      <w:rFonts w:hint="eastAsia" w:eastAsia="宋体"/>
                      <w:color w:val="auto"/>
                      <w:sz w:val="18"/>
                      <w:szCs w:val="18"/>
                      <w:lang w:eastAsia="zh-CN"/>
                    </w:rPr>
                  </w:pPr>
                  <w:r>
                    <w:rPr>
                      <w:color w:val="auto"/>
                      <w:kern w:val="0"/>
                      <w:sz w:val="18"/>
                      <w:szCs w:val="18"/>
                      <w:lang w:bidi="ar"/>
                    </w:rPr>
                    <w:t>4</w:t>
                  </w:r>
                  <w:r>
                    <w:rPr>
                      <w:rFonts w:hint="eastAsia"/>
                      <w:color w:val="auto"/>
                      <w:kern w:val="0"/>
                      <w:sz w:val="18"/>
                      <w:szCs w:val="18"/>
                      <w:lang w:val="en-US" w:eastAsia="zh-CN" w:bidi="ar"/>
                    </w:rPr>
                    <w:t>6</w:t>
                  </w:r>
                </w:p>
              </w:tc>
              <w:tc>
                <w:tcPr>
                  <w:tcW w:w="371" w:type="pct"/>
                  <w:vAlign w:val="center"/>
                </w:tcPr>
                <w:p>
                  <w:pPr>
                    <w:widowControl/>
                    <w:jc w:val="center"/>
                    <w:textAlignment w:val="center"/>
                    <w:rPr>
                      <w:color w:val="auto"/>
                      <w:sz w:val="18"/>
                      <w:szCs w:val="18"/>
                    </w:rPr>
                  </w:pPr>
                  <w:r>
                    <w:rPr>
                      <w:rFonts w:hint="eastAsia"/>
                      <w:color w:val="auto"/>
                      <w:sz w:val="18"/>
                      <w:szCs w:val="18"/>
                    </w:rPr>
                    <w:t>0.70</w:t>
                  </w:r>
                </w:p>
              </w:tc>
              <w:tc>
                <w:tcPr>
                  <w:tcW w:w="405" w:type="pct"/>
                  <w:vAlign w:val="center"/>
                </w:tcPr>
                <w:p>
                  <w:pPr>
                    <w:widowControl/>
                    <w:jc w:val="center"/>
                    <w:textAlignment w:val="center"/>
                    <w:rPr>
                      <w:color w:val="auto"/>
                      <w:sz w:val="18"/>
                      <w:szCs w:val="18"/>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DA017</w:t>
                  </w:r>
                </w:p>
              </w:tc>
              <w:tc>
                <w:tcPr>
                  <w:tcW w:w="1307" w:type="pct"/>
                  <w:vAlign w:val="center"/>
                </w:tcPr>
                <w:p>
                  <w:pPr>
                    <w:spacing w:line="0" w:lineRule="atLeast"/>
                    <w:jc w:val="center"/>
                    <w:rPr>
                      <w:color w:val="auto"/>
                      <w:sz w:val="18"/>
                      <w:szCs w:val="18"/>
                    </w:rPr>
                  </w:pPr>
                  <w:r>
                    <w:rPr>
                      <w:rFonts w:hint="eastAsia"/>
                      <w:color w:val="auto"/>
                      <w:sz w:val="18"/>
                      <w:szCs w:val="18"/>
                    </w:rPr>
                    <w:t>混捏工序配料系统废气排放口（1#）</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113.462891E</w:t>
                  </w:r>
                </w:p>
              </w:tc>
              <w:tc>
                <w:tcPr>
                  <w:tcW w:w="864" w:type="pct"/>
                  <w:vAlign w:val="center"/>
                </w:tcPr>
                <w:p>
                  <w:pPr>
                    <w:jc w:val="center"/>
                    <w:rPr>
                      <w:color w:val="auto"/>
                      <w:sz w:val="18"/>
                      <w:szCs w:val="18"/>
                    </w:rPr>
                  </w:pPr>
                  <w:r>
                    <w:rPr>
                      <w:rFonts w:hint="eastAsia"/>
                      <w:color w:val="auto"/>
                      <w:sz w:val="18"/>
                      <w:szCs w:val="18"/>
                    </w:rPr>
                    <w:t>39.883769N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30</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0.40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DA018</w:t>
                  </w:r>
                </w:p>
              </w:tc>
              <w:tc>
                <w:tcPr>
                  <w:tcW w:w="1307" w:type="pct"/>
                  <w:vAlign w:val="center"/>
                </w:tcPr>
                <w:p>
                  <w:pPr>
                    <w:spacing w:line="0" w:lineRule="atLeast"/>
                    <w:jc w:val="center"/>
                    <w:rPr>
                      <w:color w:val="auto"/>
                      <w:sz w:val="18"/>
                      <w:szCs w:val="18"/>
                    </w:rPr>
                  </w:pPr>
                  <w:r>
                    <w:rPr>
                      <w:rFonts w:hint="eastAsia"/>
                      <w:color w:val="auto"/>
                      <w:sz w:val="18"/>
                      <w:szCs w:val="18"/>
                    </w:rPr>
                    <w:t>混捏工序配料系统废气排放口（2#）</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113.463171E</w:t>
                  </w:r>
                </w:p>
              </w:tc>
              <w:tc>
                <w:tcPr>
                  <w:tcW w:w="864" w:type="pct"/>
                  <w:vAlign w:val="center"/>
                </w:tcPr>
                <w:p>
                  <w:pPr>
                    <w:jc w:val="center"/>
                    <w:rPr>
                      <w:color w:val="auto"/>
                      <w:sz w:val="18"/>
                      <w:szCs w:val="18"/>
                    </w:rPr>
                  </w:pPr>
                  <w:r>
                    <w:rPr>
                      <w:rFonts w:hint="eastAsia"/>
                      <w:color w:val="auto"/>
                      <w:sz w:val="18"/>
                      <w:szCs w:val="18"/>
                    </w:rPr>
                    <w:t>39.883868N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30</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0.40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DA019</w:t>
                  </w:r>
                </w:p>
              </w:tc>
              <w:tc>
                <w:tcPr>
                  <w:tcW w:w="1307" w:type="pct"/>
                  <w:vAlign w:val="center"/>
                </w:tcPr>
                <w:p>
                  <w:pPr>
                    <w:spacing w:line="0" w:lineRule="atLeast"/>
                    <w:jc w:val="center"/>
                    <w:rPr>
                      <w:color w:val="auto"/>
                      <w:sz w:val="18"/>
                      <w:szCs w:val="18"/>
                    </w:rPr>
                  </w:pPr>
                  <w:r>
                    <w:rPr>
                      <w:rFonts w:hint="eastAsia"/>
                      <w:color w:val="auto"/>
                      <w:sz w:val="18"/>
                      <w:szCs w:val="18"/>
                    </w:rPr>
                    <w:t>混捏预热系统废气排放口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113.463569E</w:t>
                  </w:r>
                </w:p>
              </w:tc>
              <w:tc>
                <w:tcPr>
                  <w:tcW w:w="864" w:type="pct"/>
                  <w:vAlign w:val="center"/>
                </w:tcPr>
                <w:p>
                  <w:pPr>
                    <w:jc w:val="center"/>
                    <w:rPr>
                      <w:color w:val="auto"/>
                      <w:sz w:val="18"/>
                      <w:szCs w:val="18"/>
                    </w:rPr>
                  </w:pPr>
                  <w:r>
                    <w:rPr>
                      <w:rFonts w:hint="eastAsia"/>
                      <w:color w:val="auto"/>
                      <w:sz w:val="18"/>
                      <w:szCs w:val="18"/>
                    </w:rPr>
                    <w:t>39.883994N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30</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0.80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DA020</w:t>
                  </w:r>
                </w:p>
              </w:tc>
              <w:tc>
                <w:tcPr>
                  <w:tcW w:w="1307" w:type="pct"/>
                  <w:vAlign w:val="center"/>
                </w:tcPr>
                <w:p>
                  <w:pPr>
                    <w:spacing w:line="0" w:lineRule="atLeast"/>
                    <w:jc w:val="center"/>
                    <w:rPr>
                      <w:color w:val="auto"/>
                      <w:sz w:val="18"/>
                      <w:szCs w:val="18"/>
                    </w:rPr>
                  </w:pPr>
                  <w:r>
                    <w:rPr>
                      <w:rFonts w:hint="eastAsia"/>
                      <w:color w:val="auto"/>
                      <w:sz w:val="18"/>
                      <w:szCs w:val="18"/>
                    </w:rPr>
                    <w:t>混捏成型废气排放口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113.463908E</w:t>
                  </w:r>
                </w:p>
              </w:tc>
              <w:tc>
                <w:tcPr>
                  <w:tcW w:w="864" w:type="pct"/>
                  <w:vAlign w:val="center"/>
                </w:tcPr>
                <w:p>
                  <w:pPr>
                    <w:jc w:val="center"/>
                    <w:rPr>
                      <w:color w:val="auto"/>
                      <w:sz w:val="18"/>
                      <w:szCs w:val="18"/>
                    </w:rPr>
                  </w:pPr>
                  <w:r>
                    <w:rPr>
                      <w:rFonts w:hint="eastAsia"/>
                      <w:color w:val="auto"/>
                      <w:sz w:val="18"/>
                      <w:szCs w:val="18"/>
                    </w:rPr>
                    <w:t>39.884111N</w:t>
                  </w:r>
                </w:p>
              </w:tc>
              <w:tc>
                <w:tcPr>
                  <w:tcW w:w="371" w:type="pct"/>
                  <w:vAlign w:val="center"/>
                </w:tcPr>
                <w:p>
                  <w:pPr>
                    <w:widowControl/>
                    <w:jc w:val="center"/>
                    <w:textAlignment w:val="center"/>
                    <w:rPr>
                      <w:color w:val="auto"/>
                      <w:sz w:val="18"/>
                      <w:szCs w:val="18"/>
                    </w:rPr>
                  </w:pPr>
                  <w:r>
                    <w:rPr>
                      <w:color w:val="auto"/>
                      <w:kern w:val="0"/>
                      <w:sz w:val="18"/>
                      <w:szCs w:val="18"/>
                      <w:lang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0.80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DA021</w:t>
                  </w:r>
                </w:p>
              </w:tc>
              <w:tc>
                <w:tcPr>
                  <w:tcW w:w="1307" w:type="pct"/>
                  <w:vAlign w:val="center"/>
                </w:tcPr>
                <w:p>
                  <w:pPr>
                    <w:spacing w:line="0" w:lineRule="atLeast"/>
                    <w:jc w:val="center"/>
                    <w:rPr>
                      <w:color w:val="auto"/>
                      <w:sz w:val="18"/>
                      <w:szCs w:val="18"/>
                    </w:rPr>
                  </w:pPr>
                  <w:r>
                    <w:rPr>
                      <w:rFonts w:hint="eastAsia"/>
                      <w:color w:val="auto"/>
                      <w:sz w:val="18"/>
                      <w:szCs w:val="18"/>
                    </w:rPr>
                    <w:t>导热油炉废气排放口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113.463651E</w:t>
                  </w:r>
                </w:p>
              </w:tc>
              <w:tc>
                <w:tcPr>
                  <w:tcW w:w="864" w:type="pct"/>
                  <w:vAlign w:val="center"/>
                </w:tcPr>
                <w:p>
                  <w:pPr>
                    <w:jc w:val="center"/>
                    <w:rPr>
                      <w:color w:val="auto"/>
                      <w:sz w:val="18"/>
                      <w:szCs w:val="18"/>
                    </w:rPr>
                  </w:pPr>
                  <w:r>
                    <w:rPr>
                      <w:rFonts w:hint="eastAsia"/>
                      <w:color w:val="auto"/>
                      <w:sz w:val="18"/>
                      <w:szCs w:val="18"/>
                    </w:rPr>
                    <w:t>39.885391N</w:t>
                  </w:r>
                </w:p>
              </w:tc>
              <w:tc>
                <w:tcPr>
                  <w:tcW w:w="371" w:type="pct"/>
                  <w:vAlign w:val="center"/>
                </w:tcPr>
                <w:p>
                  <w:pPr>
                    <w:widowControl/>
                    <w:jc w:val="center"/>
                    <w:textAlignment w:val="center"/>
                    <w:rPr>
                      <w:color w:val="auto"/>
                      <w:sz w:val="18"/>
                      <w:szCs w:val="18"/>
                    </w:rPr>
                  </w:pPr>
                  <w:r>
                    <w:rPr>
                      <w:color w:val="auto"/>
                      <w:kern w:val="0"/>
                      <w:sz w:val="18"/>
                      <w:szCs w:val="18"/>
                      <w:lang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0.30</w:t>
                  </w:r>
                </w:p>
              </w:tc>
              <w:tc>
                <w:tcPr>
                  <w:tcW w:w="405"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DA022</w:t>
                  </w:r>
                </w:p>
              </w:tc>
              <w:tc>
                <w:tcPr>
                  <w:tcW w:w="1307" w:type="pct"/>
                  <w:vAlign w:val="center"/>
                </w:tcPr>
                <w:p>
                  <w:pPr>
                    <w:spacing w:line="0" w:lineRule="atLeast"/>
                    <w:jc w:val="center"/>
                    <w:rPr>
                      <w:color w:val="auto"/>
                      <w:sz w:val="18"/>
                      <w:szCs w:val="18"/>
                    </w:rPr>
                  </w:pPr>
                  <w:r>
                    <w:rPr>
                      <w:rFonts w:hint="eastAsia"/>
                      <w:color w:val="auto"/>
                      <w:sz w:val="18"/>
                      <w:szCs w:val="18"/>
                    </w:rPr>
                    <w:t>冶金焦筛分系统废气处理设施排放阔（1#）</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113.462142E</w:t>
                  </w:r>
                </w:p>
              </w:tc>
              <w:tc>
                <w:tcPr>
                  <w:tcW w:w="864" w:type="pct"/>
                  <w:vAlign w:val="center"/>
                </w:tcPr>
                <w:p>
                  <w:pPr>
                    <w:jc w:val="center"/>
                    <w:rPr>
                      <w:color w:val="auto"/>
                      <w:sz w:val="18"/>
                      <w:szCs w:val="18"/>
                    </w:rPr>
                  </w:pPr>
                  <w:r>
                    <w:rPr>
                      <w:rFonts w:hint="eastAsia"/>
                      <w:color w:val="auto"/>
                      <w:sz w:val="18"/>
                      <w:szCs w:val="18"/>
                    </w:rPr>
                    <w:t>39.884841N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25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0.70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DA023</w:t>
                  </w:r>
                </w:p>
              </w:tc>
              <w:tc>
                <w:tcPr>
                  <w:tcW w:w="1307" w:type="pct"/>
                  <w:vAlign w:val="center"/>
                </w:tcPr>
                <w:p>
                  <w:pPr>
                    <w:spacing w:line="0" w:lineRule="atLeast"/>
                    <w:jc w:val="center"/>
                    <w:rPr>
                      <w:color w:val="auto"/>
                      <w:sz w:val="18"/>
                      <w:szCs w:val="18"/>
                    </w:rPr>
                  </w:pPr>
                  <w:r>
                    <w:rPr>
                      <w:rFonts w:hint="eastAsia"/>
                      <w:color w:val="auto"/>
                      <w:sz w:val="18"/>
                      <w:szCs w:val="18"/>
                    </w:rPr>
                    <w:t>冶金焦筛分系统废气处理设施排放阔（2#）</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113.462961E</w:t>
                  </w:r>
                </w:p>
              </w:tc>
              <w:tc>
                <w:tcPr>
                  <w:tcW w:w="864" w:type="pct"/>
                  <w:vAlign w:val="center"/>
                </w:tcPr>
                <w:p>
                  <w:pPr>
                    <w:jc w:val="center"/>
                    <w:rPr>
                      <w:color w:val="auto"/>
                      <w:sz w:val="18"/>
                      <w:szCs w:val="18"/>
                    </w:rPr>
                  </w:pPr>
                  <w:r>
                    <w:rPr>
                      <w:rFonts w:hint="eastAsia"/>
                      <w:color w:val="auto"/>
                      <w:sz w:val="18"/>
                      <w:szCs w:val="18"/>
                    </w:rPr>
                    <w:t>39.885165N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25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0.70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DA024</w:t>
                  </w:r>
                </w:p>
              </w:tc>
              <w:tc>
                <w:tcPr>
                  <w:tcW w:w="1307" w:type="pct"/>
                  <w:vAlign w:val="center"/>
                </w:tcPr>
                <w:p>
                  <w:pPr>
                    <w:spacing w:line="0" w:lineRule="atLeast"/>
                    <w:jc w:val="center"/>
                    <w:rPr>
                      <w:color w:val="auto"/>
                      <w:sz w:val="18"/>
                      <w:szCs w:val="18"/>
                    </w:rPr>
                  </w:pPr>
                  <w:r>
                    <w:rPr>
                      <w:rFonts w:hint="eastAsia"/>
                      <w:color w:val="auto"/>
                      <w:sz w:val="18"/>
                      <w:szCs w:val="18"/>
                    </w:rPr>
                    <w:t>石墨化废气排放口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113.463195E</w:t>
                  </w:r>
                </w:p>
              </w:tc>
              <w:tc>
                <w:tcPr>
                  <w:tcW w:w="864" w:type="pct"/>
                  <w:vAlign w:val="center"/>
                </w:tcPr>
                <w:p>
                  <w:pPr>
                    <w:jc w:val="center"/>
                    <w:rPr>
                      <w:color w:val="auto"/>
                      <w:sz w:val="18"/>
                      <w:szCs w:val="18"/>
                    </w:rPr>
                  </w:pPr>
                  <w:r>
                    <w:rPr>
                      <w:rFonts w:hint="eastAsia"/>
                      <w:color w:val="auto"/>
                      <w:sz w:val="18"/>
                      <w:szCs w:val="18"/>
                    </w:rPr>
                    <w:t>39.885841N</w:t>
                  </w:r>
                </w:p>
              </w:tc>
              <w:tc>
                <w:tcPr>
                  <w:tcW w:w="371" w:type="pct"/>
                  <w:vAlign w:val="center"/>
                </w:tcPr>
                <w:p>
                  <w:pPr>
                    <w:widowControl/>
                    <w:jc w:val="center"/>
                    <w:textAlignment w:val="center"/>
                    <w:rPr>
                      <w:color w:val="auto"/>
                      <w:sz w:val="18"/>
                      <w:szCs w:val="18"/>
                    </w:rPr>
                  </w:pPr>
                  <w:r>
                    <w:rPr>
                      <w:color w:val="auto"/>
                      <w:kern w:val="0"/>
                      <w:sz w:val="18"/>
                      <w:szCs w:val="18"/>
                      <w:lang w:bidi="ar"/>
                    </w:rPr>
                    <w:t>40</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1.30</w:t>
                  </w:r>
                </w:p>
              </w:tc>
              <w:tc>
                <w:tcPr>
                  <w:tcW w:w="405"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DA025</w:t>
                  </w:r>
                </w:p>
              </w:tc>
              <w:tc>
                <w:tcPr>
                  <w:tcW w:w="1307" w:type="pct"/>
                  <w:vAlign w:val="center"/>
                </w:tcPr>
                <w:p>
                  <w:pPr>
                    <w:spacing w:line="0" w:lineRule="atLeast"/>
                    <w:jc w:val="center"/>
                    <w:rPr>
                      <w:color w:val="auto"/>
                      <w:sz w:val="18"/>
                      <w:szCs w:val="18"/>
                    </w:rPr>
                  </w:pPr>
                  <w:r>
                    <w:rPr>
                      <w:rFonts w:hint="eastAsia"/>
                      <w:color w:val="auto"/>
                      <w:sz w:val="18"/>
                      <w:szCs w:val="18"/>
                    </w:rPr>
                    <w:t>断面加工废气处理设施排放口（1#）</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113.461405E</w:t>
                  </w:r>
                </w:p>
              </w:tc>
              <w:tc>
                <w:tcPr>
                  <w:tcW w:w="864" w:type="pct"/>
                  <w:vAlign w:val="center"/>
                </w:tcPr>
                <w:p>
                  <w:pPr>
                    <w:jc w:val="center"/>
                    <w:rPr>
                      <w:color w:val="auto"/>
                      <w:sz w:val="18"/>
                      <w:szCs w:val="18"/>
                    </w:rPr>
                  </w:pPr>
                  <w:r>
                    <w:rPr>
                      <w:rFonts w:hint="eastAsia"/>
                      <w:color w:val="auto"/>
                      <w:sz w:val="18"/>
                      <w:szCs w:val="18"/>
                    </w:rPr>
                    <w:t>39.885922N</w:t>
                  </w:r>
                </w:p>
              </w:tc>
              <w:tc>
                <w:tcPr>
                  <w:tcW w:w="371" w:type="pct"/>
                  <w:vAlign w:val="center"/>
                </w:tcPr>
                <w:p>
                  <w:pPr>
                    <w:widowControl/>
                    <w:jc w:val="center"/>
                    <w:textAlignment w:val="center"/>
                    <w:rPr>
                      <w:color w:val="auto"/>
                      <w:sz w:val="18"/>
                      <w:szCs w:val="18"/>
                    </w:rPr>
                  </w:pPr>
                  <w:r>
                    <w:rPr>
                      <w:color w:val="auto"/>
                      <w:kern w:val="0"/>
                      <w:sz w:val="18"/>
                      <w:szCs w:val="18"/>
                      <w:lang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0.40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DA026</w:t>
                  </w:r>
                </w:p>
              </w:tc>
              <w:tc>
                <w:tcPr>
                  <w:tcW w:w="1307" w:type="pct"/>
                  <w:vAlign w:val="center"/>
                </w:tcPr>
                <w:p>
                  <w:pPr>
                    <w:spacing w:line="0" w:lineRule="atLeast"/>
                    <w:jc w:val="center"/>
                    <w:rPr>
                      <w:color w:val="auto"/>
                      <w:sz w:val="18"/>
                      <w:szCs w:val="18"/>
                    </w:rPr>
                  </w:pPr>
                  <w:r>
                    <w:rPr>
                      <w:rFonts w:hint="eastAsia"/>
                      <w:color w:val="auto"/>
                      <w:sz w:val="18"/>
                      <w:szCs w:val="18"/>
                    </w:rPr>
                    <w:t>断面加工废气处理设施排放口（2#）</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113.462107E</w:t>
                  </w:r>
                </w:p>
              </w:tc>
              <w:tc>
                <w:tcPr>
                  <w:tcW w:w="864" w:type="pct"/>
                  <w:vAlign w:val="center"/>
                </w:tcPr>
                <w:p>
                  <w:pPr>
                    <w:jc w:val="center"/>
                    <w:rPr>
                      <w:color w:val="auto"/>
                      <w:sz w:val="18"/>
                      <w:szCs w:val="18"/>
                    </w:rPr>
                  </w:pPr>
                  <w:r>
                    <w:rPr>
                      <w:rFonts w:hint="eastAsia"/>
                      <w:color w:val="auto"/>
                      <w:sz w:val="18"/>
                      <w:szCs w:val="18"/>
                    </w:rPr>
                    <w:t>39.886166N</w:t>
                  </w:r>
                </w:p>
              </w:tc>
              <w:tc>
                <w:tcPr>
                  <w:tcW w:w="371" w:type="pct"/>
                  <w:vAlign w:val="center"/>
                </w:tcPr>
                <w:p>
                  <w:pPr>
                    <w:widowControl/>
                    <w:jc w:val="center"/>
                    <w:textAlignment w:val="center"/>
                    <w:rPr>
                      <w:color w:val="auto"/>
                      <w:sz w:val="18"/>
                      <w:szCs w:val="18"/>
                    </w:rPr>
                  </w:pPr>
                  <w:r>
                    <w:rPr>
                      <w:color w:val="auto"/>
                      <w:kern w:val="0"/>
                      <w:sz w:val="18"/>
                      <w:szCs w:val="18"/>
                      <w:lang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0.40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DA027</w:t>
                  </w:r>
                </w:p>
              </w:tc>
              <w:tc>
                <w:tcPr>
                  <w:tcW w:w="1307" w:type="pct"/>
                  <w:vAlign w:val="center"/>
                </w:tcPr>
                <w:p>
                  <w:pPr>
                    <w:spacing w:line="0" w:lineRule="atLeast"/>
                    <w:jc w:val="center"/>
                    <w:rPr>
                      <w:color w:val="auto"/>
                      <w:sz w:val="18"/>
                      <w:szCs w:val="18"/>
                    </w:rPr>
                  </w:pPr>
                  <w:r>
                    <w:rPr>
                      <w:rFonts w:hint="eastAsia"/>
                      <w:color w:val="auto"/>
                      <w:sz w:val="18"/>
                      <w:szCs w:val="18"/>
                    </w:rPr>
                    <w:t>机加工输送废气处理设施排放口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113.462364E</w:t>
                  </w:r>
                </w:p>
              </w:tc>
              <w:tc>
                <w:tcPr>
                  <w:tcW w:w="864" w:type="pct"/>
                  <w:vAlign w:val="center"/>
                </w:tcPr>
                <w:p>
                  <w:pPr>
                    <w:jc w:val="center"/>
                    <w:rPr>
                      <w:color w:val="auto"/>
                      <w:sz w:val="18"/>
                      <w:szCs w:val="18"/>
                    </w:rPr>
                  </w:pPr>
                  <w:r>
                    <w:rPr>
                      <w:rFonts w:hint="eastAsia"/>
                      <w:color w:val="auto"/>
                      <w:sz w:val="18"/>
                      <w:szCs w:val="18"/>
                    </w:rPr>
                    <w:t>39.886256N</w:t>
                  </w:r>
                </w:p>
              </w:tc>
              <w:tc>
                <w:tcPr>
                  <w:tcW w:w="371" w:type="pct"/>
                  <w:vAlign w:val="center"/>
                </w:tcPr>
                <w:p>
                  <w:pPr>
                    <w:widowControl/>
                    <w:jc w:val="center"/>
                    <w:textAlignment w:val="center"/>
                    <w:rPr>
                      <w:color w:val="auto"/>
                      <w:sz w:val="18"/>
                      <w:szCs w:val="18"/>
                    </w:rPr>
                  </w:pPr>
                  <w:r>
                    <w:rPr>
                      <w:color w:val="auto"/>
                      <w:kern w:val="0"/>
                      <w:sz w:val="18"/>
                      <w:szCs w:val="18"/>
                      <w:lang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0.40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DA028</w:t>
                  </w:r>
                </w:p>
              </w:tc>
              <w:tc>
                <w:tcPr>
                  <w:tcW w:w="1307" w:type="pct"/>
                  <w:vAlign w:val="center"/>
                </w:tcPr>
                <w:p>
                  <w:pPr>
                    <w:spacing w:line="0" w:lineRule="atLeast"/>
                    <w:jc w:val="center"/>
                    <w:rPr>
                      <w:color w:val="auto"/>
                      <w:sz w:val="18"/>
                      <w:szCs w:val="18"/>
                    </w:rPr>
                  </w:pPr>
                  <w:r>
                    <w:rPr>
                      <w:rFonts w:hint="eastAsia"/>
                      <w:color w:val="auto"/>
                      <w:sz w:val="18"/>
                      <w:szCs w:val="18"/>
                    </w:rPr>
                    <w:t>本体机加系统废气处理设施排放口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113.463043E</w:t>
                  </w:r>
                </w:p>
              </w:tc>
              <w:tc>
                <w:tcPr>
                  <w:tcW w:w="864" w:type="pct"/>
                  <w:vAlign w:val="center"/>
                </w:tcPr>
                <w:p>
                  <w:pPr>
                    <w:jc w:val="center"/>
                    <w:rPr>
                      <w:color w:val="auto"/>
                      <w:sz w:val="18"/>
                      <w:szCs w:val="18"/>
                    </w:rPr>
                  </w:pPr>
                  <w:r>
                    <w:rPr>
                      <w:rFonts w:hint="eastAsia"/>
                      <w:color w:val="auto"/>
                      <w:sz w:val="18"/>
                      <w:szCs w:val="18"/>
                    </w:rPr>
                    <w:t>39.886490N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1.00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DA029</w:t>
                  </w:r>
                </w:p>
              </w:tc>
              <w:tc>
                <w:tcPr>
                  <w:tcW w:w="1307" w:type="pct"/>
                  <w:vAlign w:val="center"/>
                </w:tcPr>
                <w:p>
                  <w:pPr>
                    <w:spacing w:line="0" w:lineRule="atLeast"/>
                    <w:jc w:val="center"/>
                    <w:rPr>
                      <w:color w:val="auto"/>
                      <w:sz w:val="18"/>
                      <w:szCs w:val="18"/>
                    </w:rPr>
                  </w:pPr>
                  <w:r>
                    <w:rPr>
                      <w:rFonts w:hint="eastAsia"/>
                      <w:color w:val="auto"/>
                      <w:sz w:val="18"/>
                      <w:szCs w:val="18"/>
                    </w:rPr>
                    <w:t>接头机加系统废气处理设施排放口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113.461803E</w:t>
                  </w:r>
                </w:p>
              </w:tc>
              <w:tc>
                <w:tcPr>
                  <w:tcW w:w="864" w:type="pct"/>
                  <w:vAlign w:val="center"/>
                </w:tcPr>
                <w:p>
                  <w:pPr>
                    <w:jc w:val="center"/>
                    <w:rPr>
                      <w:color w:val="auto"/>
                      <w:sz w:val="18"/>
                      <w:szCs w:val="18"/>
                    </w:rPr>
                  </w:pPr>
                  <w:r>
                    <w:rPr>
                      <w:rFonts w:hint="eastAsia"/>
                      <w:color w:val="auto"/>
                      <w:sz w:val="18"/>
                      <w:szCs w:val="18"/>
                    </w:rPr>
                    <w:t>39.885679N</w:t>
                  </w:r>
                </w:p>
              </w:tc>
              <w:tc>
                <w:tcPr>
                  <w:tcW w:w="371" w:type="pct"/>
                  <w:vAlign w:val="center"/>
                </w:tcPr>
                <w:p>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0.80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442" w:type="pct"/>
                  <w:vAlign w:val="center"/>
                </w:tcPr>
                <w:p>
                  <w:pPr>
                    <w:widowControl/>
                    <w:jc w:val="center"/>
                    <w:textAlignment w:val="center"/>
                    <w:rPr>
                      <w:color w:val="auto"/>
                      <w:sz w:val="18"/>
                      <w:szCs w:val="18"/>
                    </w:rPr>
                  </w:pPr>
                  <w:r>
                    <w:rPr>
                      <w:color w:val="auto"/>
                      <w:kern w:val="0"/>
                      <w:sz w:val="18"/>
                      <w:szCs w:val="18"/>
                      <w:lang w:bidi="ar"/>
                    </w:rPr>
                    <w:t>DA030</w:t>
                  </w:r>
                </w:p>
              </w:tc>
              <w:tc>
                <w:tcPr>
                  <w:tcW w:w="1307" w:type="pct"/>
                  <w:vAlign w:val="center"/>
                </w:tcPr>
                <w:p>
                  <w:pPr>
                    <w:spacing w:line="0" w:lineRule="atLeast"/>
                    <w:jc w:val="center"/>
                    <w:rPr>
                      <w:color w:val="auto"/>
                      <w:sz w:val="18"/>
                      <w:szCs w:val="18"/>
                    </w:rPr>
                  </w:pPr>
                  <w:r>
                    <w:rPr>
                      <w:rFonts w:hint="eastAsia"/>
                      <w:color w:val="auto"/>
                      <w:sz w:val="18"/>
                      <w:szCs w:val="18"/>
                    </w:rPr>
                    <w:t>机加工化验废气处理设施排放口</w:t>
                  </w:r>
                </w:p>
              </w:tc>
              <w:tc>
                <w:tcPr>
                  <w:tcW w:w="340" w:type="pct"/>
                  <w:vMerge w:val="continue"/>
                  <w:vAlign w:val="center"/>
                </w:tcPr>
                <w:p>
                  <w:pPr>
                    <w:jc w:val="center"/>
                    <w:rPr>
                      <w:color w:val="auto"/>
                      <w:sz w:val="18"/>
                      <w:szCs w:val="18"/>
                    </w:rPr>
                  </w:pPr>
                </w:p>
              </w:tc>
              <w:tc>
                <w:tcPr>
                  <w:tcW w:w="897" w:type="pct"/>
                  <w:vAlign w:val="center"/>
                </w:tcPr>
                <w:p>
                  <w:pPr>
                    <w:jc w:val="center"/>
                    <w:rPr>
                      <w:color w:val="auto"/>
                      <w:sz w:val="18"/>
                      <w:szCs w:val="18"/>
                    </w:rPr>
                  </w:pPr>
                  <w:r>
                    <w:rPr>
                      <w:rFonts w:hint="eastAsia"/>
                      <w:color w:val="auto"/>
                      <w:sz w:val="18"/>
                      <w:szCs w:val="18"/>
                    </w:rPr>
                    <w:t>113.463230E</w:t>
                  </w:r>
                </w:p>
              </w:tc>
              <w:tc>
                <w:tcPr>
                  <w:tcW w:w="864" w:type="pct"/>
                  <w:vAlign w:val="center"/>
                </w:tcPr>
                <w:p>
                  <w:pPr>
                    <w:jc w:val="center"/>
                    <w:rPr>
                      <w:color w:val="auto"/>
                      <w:sz w:val="18"/>
                      <w:szCs w:val="18"/>
                    </w:rPr>
                  </w:pPr>
                  <w:r>
                    <w:rPr>
                      <w:rFonts w:hint="eastAsia"/>
                      <w:color w:val="auto"/>
                      <w:sz w:val="18"/>
                      <w:szCs w:val="18"/>
                    </w:rPr>
                    <w:t>39.886166N</w:t>
                  </w:r>
                </w:p>
              </w:tc>
              <w:tc>
                <w:tcPr>
                  <w:tcW w:w="371" w:type="pct"/>
                  <w:vAlign w:val="center"/>
                </w:tcPr>
                <w:p>
                  <w:pPr>
                    <w:widowControl/>
                    <w:jc w:val="center"/>
                    <w:textAlignment w:val="center"/>
                    <w:rPr>
                      <w:color w:val="auto"/>
                      <w:sz w:val="18"/>
                      <w:szCs w:val="18"/>
                    </w:rPr>
                  </w:pPr>
                  <w:r>
                    <w:rPr>
                      <w:color w:val="auto"/>
                      <w:kern w:val="0"/>
                      <w:sz w:val="18"/>
                      <w:szCs w:val="18"/>
                      <w:lang w:bidi="ar"/>
                    </w:rPr>
                    <w:t>15</w:t>
                  </w:r>
                </w:p>
              </w:tc>
              <w:tc>
                <w:tcPr>
                  <w:tcW w:w="371" w:type="pct"/>
                  <w:vAlign w:val="center"/>
                </w:tcPr>
                <w:p>
                  <w:pPr>
                    <w:widowControl/>
                    <w:jc w:val="center"/>
                    <w:textAlignment w:val="center"/>
                    <w:rPr>
                      <w:color w:val="auto"/>
                      <w:kern w:val="0"/>
                      <w:sz w:val="18"/>
                      <w:szCs w:val="18"/>
                      <w:lang w:bidi="ar"/>
                    </w:rPr>
                  </w:pPr>
                  <w:r>
                    <w:rPr>
                      <w:rFonts w:hint="eastAsia"/>
                      <w:color w:val="auto"/>
                      <w:kern w:val="0"/>
                      <w:sz w:val="18"/>
                      <w:szCs w:val="18"/>
                      <w:lang w:bidi="ar"/>
                    </w:rPr>
                    <w:t>0.30</w:t>
                  </w:r>
                </w:p>
              </w:tc>
              <w:tc>
                <w:tcPr>
                  <w:tcW w:w="405" w:type="pct"/>
                  <w:vAlign w:val="center"/>
                </w:tcPr>
                <w:p>
                  <w:pPr>
                    <w:widowControl/>
                    <w:jc w:val="center"/>
                    <w:textAlignment w:val="center"/>
                    <w:rPr>
                      <w:color w:val="auto"/>
                      <w:kern w:val="0"/>
                      <w:sz w:val="18"/>
                      <w:szCs w:val="18"/>
                      <w:lang w:bidi="ar"/>
                    </w:rPr>
                  </w:pPr>
                  <w:r>
                    <w:rPr>
                      <w:color w:val="auto"/>
                      <w:kern w:val="0"/>
                      <w:sz w:val="18"/>
                      <w:szCs w:val="18"/>
                      <w:lang w:bidi="ar"/>
                    </w:rPr>
                    <w:t>2</w:t>
                  </w:r>
                  <w:r>
                    <w:rPr>
                      <w:rFonts w:hint="eastAsia"/>
                      <w:color w:val="auto"/>
                      <w:kern w:val="0"/>
                      <w:sz w:val="18"/>
                      <w:szCs w:val="18"/>
                      <w:lang w:bidi="ar"/>
                    </w:rPr>
                    <w:t>0</w:t>
                  </w:r>
                </w:p>
              </w:tc>
            </w:tr>
          </w:tbl>
          <w:p>
            <w:pPr>
              <w:pStyle w:val="6"/>
              <w:numPr>
                <w:ilvl w:val="3"/>
                <w:numId w:val="0"/>
              </w:numPr>
              <w:spacing w:line="360" w:lineRule="auto"/>
              <w:ind w:firstLine="241" w:firstLineChars="100"/>
              <w:rPr>
                <w:rFonts w:hint="eastAsia" w:hAnsi="Times New Roman"/>
                <w:color w:val="auto"/>
                <w:sz w:val="24"/>
                <w:lang w:val="en-US" w:eastAsia="zh-CN"/>
              </w:rPr>
            </w:pPr>
            <w:r>
              <w:rPr>
                <w:rFonts w:hint="eastAsia" w:hAnsi="Times New Roman"/>
                <w:color w:val="auto"/>
                <w:sz w:val="24"/>
                <w:lang w:eastAsia="zh-CN"/>
              </w:rPr>
              <w:t>（</w:t>
            </w:r>
            <w:r>
              <w:rPr>
                <w:rFonts w:hint="eastAsia" w:hAnsi="Times New Roman"/>
                <w:color w:val="auto"/>
                <w:sz w:val="24"/>
                <w:lang w:val="en-US" w:eastAsia="zh-CN"/>
              </w:rPr>
              <w:t>4</w:t>
            </w:r>
            <w:r>
              <w:rPr>
                <w:rFonts w:hint="eastAsia" w:hAnsi="Times New Roman"/>
                <w:color w:val="auto"/>
                <w:sz w:val="24"/>
                <w:lang w:eastAsia="zh-CN"/>
              </w:rPr>
              <w:t>）</w:t>
            </w:r>
            <w:r>
              <w:rPr>
                <w:rFonts w:hint="eastAsia" w:hAnsi="Times New Roman"/>
                <w:color w:val="auto"/>
                <w:sz w:val="24"/>
                <w:lang w:val="en-US" w:eastAsia="zh-CN"/>
              </w:rPr>
              <w:t>区域削减方案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bCs/>
                <w:color w:val="auto"/>
                <w:sz w:val="24"/>
                <w:szCs w:val="24"/>
              </w:rPr>
            </w:pPr>
            <w:r>
              <w:rPr>
                <w:rFonts w:hint="eastAsia" w:ascii="Times New Roman"/>
                <w:bCs/>
                <w:color w:val="auto"/>
                <w:sz w:val="24"/>
                <w:szCs w:val="24"/>
              </w:rPr>
              <w:t>根据《关于落实大气污染防治行动计划严格环境影响评价准入的通知》（环办[</w:t>
            </w:r>
            <w:r>
              <w:rPr>
                <w:rFonts w:ascii="Times New Roman"/>
                <w:bCs/>
                <w:color w:val="auto"/>
                <w:sz w:val="24"/>
                <w:szCs w:val="24"/>
              </w:rPr>
              <w:t>2014]30</w:t>
            </w:r>
            <w:r>
              <w:rPr>
                <w:rFonts w:hint="eastAsia" w:ascii="Times New Roman"/>
                <w:bCs/>
                <w:color w:val="auto"/>
                <w:sz w:val="24"/>
                <w:szCs w:val="24"/>
              </w:rPr>
              <w:t>号）中规定“排放二氧化硫、氮氧化物、烟粉尘和挥发性有机污染物的项目，必须落实相关污染物总量减排方案；上一年度环境空气质量相关污染物年平均浓度不达标的城市，应进行倍量削减替代。</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bCs/>
                <w:color w:val="auto"/>
                <w:sz w:val="24"/>
                <w:szCs w:val="24"/>
              </w:rPr>
            </w:pPr>
            <w:r>
              <w:rPr>
                <w:rFonts w:hint="eastAsia" w:ascii="Times New Roman"/>
                <w:bCs/>
                <w:color w:val="auto"/>
                <w:sz w:val="24"/>
                <w:szCs w:val="24"/>
                <w:lang w:val="en-US" w:eastAsia="zh-CN"/>
              </w:rPr>
              <w:t>项目所在地云州区2020</w:t>
            </w:r>
            <w:r>
              <w:rPr>
                <w:rFonts w:hint="eastAsia" w:ascii="Times New Roman"/>
                <w:bCs/>
                <w:color w:val="auto"/>
                <w:sz w:val="24"/>
                <w:szCs w:val="24"/>
              </w:rPr>
              <w:t>年度二氧化硫年平均质量浓度为</w:t>
            </w:r>
            <w:r>
              <w:rPr>
                <w:rFonts w:hint="eastAsia" w:ascii="Times New Roman"/>
                <w:bCs/>
                <w:color w:val="auto"/>
                <w:sz w:val="24"/>
                <w:szCs w:val="24"/>
                <w:lang w:val="en-US" w:eastAsia="zh-CN"/>
              </w:rPr>
              <w:t>28</w:t>
            </w:r>
            <w:r>
              <w:rPr>
                <w:rFonts w:hint="eastAsia" w:ascii="Times New Roman"/>
                <w:bCs/>
                <w:color w:val="auto"/>
                <w:sz w:val="24"/>
                <w:szCs w:val="24"/>
              </w:rPr>
              <w:t>ug</w:t>
            </w:r>
            <w:r>
              <w:rPr>
                <w:rFonts w:ascii="Times New Roman"/>
                <w:bCs/>
                <w:color w:val="auto"/>
                <w:sz w:val="24"/>
                <w:szCs w:val="24"/>
              </w:rPr>
              <w:t>/m</w:t>
            </w:r>
            <w:r>
              <w:rPr>
                <w:rFonts w:ascii="Times New Roman"/>
                <w:bCs/>
                <w:color w:val="auto"/>
                <w:sz w:val="24"/>
                <w:szCs w:val="24"/>
                <w:vertAlign w:val="superscript"/>
              </w:rPr>
              <w:t>3</w:t>
            </w:r>
            <w:r>
              <w:rPr>
                <w:rFonts w:hint="eastAsia" w:ascii="Times New Roman"/>
                <w:bCs/>
                <w:color w:val="auto"/>
                <w:sz w:val="24"/>
                <w:szCs w:val="24"/>
              </w:rPr>
              <w:t>，能够满足</w:t>
            </w:r>
            <w:r>
              <w:rPr>
                <w:rFonts w:ascii="Times New Roman"/>
                <w:bCs/>
                <w:color w:val="auto"/>
                <w:sz w:val="24"/>
                <w:szCs w:val="24"/>
              </w:rPr>
              <w:t>《环境空气质量标准》GB3095</w:t>
            </w:r>
            <w:r>
              <w:rPr>
                <w:rFonts w:hint="eastAsia" w:ascii="Times New Roman"/>
                <w:bCs/>
                <w:color w:val="auto"/>
                <w:sz w:val="24"/>
                <w:szCs w:val="24"/>
              </w:rPr>
              <w:t>-</w:t>
            </w:r>
            <w:r>
              <w:rPr>
                <w:rFonts w:ascii="Times New Roman"/>
                <w:bCs/>
                <w:color w:val="auto"/>
                <w:sz w:val="24"/>
                <w:szCs w:val="24"/>
              </w:rPr>
              <w:t>2012</w:t>
            </w:r>
            <w:r>
              <w:rPr>
                <w:rFonts w:hint="eastAsia" w:ascii="Times New Roman"/>
                <w:bCs/>
                <w:color w:val="auto"/>
                <w:sz w:val="24"/>
                <w:szCs w:val="24"/>
              </w:rPr>
              <w:t>中6</w:t>
            </w:r>
            <w:r>
              <w:rPr>
                <w:rFonts w:ascii="Times New Roman"/>
                <w:bCs/>
                <w:color w:val="auto"/>
                <w:sz w:val="24"/>
                <w:szCs w:val="24"/>
              </w:rPr>
              <w:t>0ug/m</w:t>
            </w:r>
            <w:r>
              <w:rPr>
                <w:rFonts w:ascii="Times New Roman"/>
                <w:bCs/>
                <w:color w:val="auto"/>
                <w:sz w:val="24"/>
                <w:szCs w:val="24"/>
                <w:vertAlign w:val="superscript"/>
              </w:rPr>
              <w:t>3</w:t>
            </w:r>
            <w:r>
              <w:rPr>
                <w:rFonts w:hint="eastAsia" w:ascii="Times New Roman"/>
                <w:bCs/>
                <w:color w:val="auto"/>
                <w:sz w:val="24"/>
                <w:szCs w:val="24"/>
              </w:rPr>
              <w:t>标准限值要求；二氧化</w:t>
            </w:r>
            <w:r>
              <w:rPr>
                <w:rFonts w:hint="eastAsia" w:ascii="Times New Roman"/>
                <w:bCs/>
                <w:color w:val="auto"/>
                <w:sz w:val="24"/>
                <w:szCs w:val="24"/>
                <w:lang w:val="en-US" w:eastAsia="zh-CN"/>
              </w:rPr>
              <w:t>氮</w:t>
            </w:r>
            <w:r>
              <w:rPr>
                <w:rFonts w:hint="eastAsia" w:ascii="Times New Roman"/>
                <w:bCs/>
                <w:color w:val="auto"/>
                <w:sz w:val="24"/>
                <w:szCs w:val="24"/>
              </w:rPr>
              <w:t>年平均质量浓度为</w:t>
            </w:r>
            <w:r>
              <w:rPr>
                <w:rFonts w:hint="eastAsia" w:ascii="Times New Roman"/>
                <w:bCs/>
                <w:color w:val="auto"/>
                <w:sz w:val="24"/>
                <w:szCs w:val="24"/>
                <w:lang w:val="en-US" w:eastAsia="zh-CN"/>
              </w:rPr>
              <w:t>22</w:t>
            </w:r>
            <w:r>
              <w:rPr>
                <w:rFonts w:hint="eastAsia" w:ascii="Times New Roman"/>
                <w:bCs/>
                <w:color w:val="auto"/>
                <w:sz w:val="24"/>
                <w:szCs w:val="24"/>
              </w:rPr>
              <w:t>ug</w:t>
            </w:r>
            <w:r>
              <w:rPr>
                <w:rFonts w:ascii="Times New Roman"/>
                <w:bCs/>
                <w:color w:val="auto"/>
                <w:sz w:val="24"/>
                <w:szCs w:val="24"/>
              </w:rPr>
              <w:t>/m</w:t>
            </w:r>
            <w:r>
              <w:rPr>
                <w:rFonts w:ascii="Times New Roman"/>
                <w:bCs/>
                <w:color w:val="auto"/>
                <w:sz w:val="24"/>
                <w:szCs w:val="24"/>
                <w:vertAlign w:val="superscript"/>
              </w:rPr>
              <w:t>3</w:t>
            </w:r>
            <w:r>
              <w:rPr>
                <w:rFonts w:hint="eastAsia" w:ascii="Times New Roman"/>
                <w:bCs/>
                <w:color w:val="auto"/>
                <w:sz w:val="24"/>
                <w:szCs w:val="24"/>
              </w:rPr>
              <w:t>，能够满足</w:t>
            </w:r>
            <w:r>
              <w:rPr>
                <w:rFonts w:ascii="Times New Roman"/>
                <w:bCs/>
                <w:color w:val="auto"/>
                <w:sz w:val="24"/>
                <w:szCs w:val="24"/>
              </w:rPr>
              <w:t>《环境空气质量标准》GB3095</w:t>
            </w:r>
            <w:r>
              <w:rPr>
                <w:rFonts w:hint="eastAsia" w:ascii="Times New Roman"/>
                <w:bCs/>
                <w:color w:val="auto"/>
                <w:sz w:val="24"/>
                <w:szCs w:val="24"/>
              </w:rPr>
              <w:t>-</w:t>
            </w:r>
            <w:r>
              <w:rPr>
                <w:rFonts w:ascii="Times New Roman"/>
                <w:bCs/>
                <w:color w:val="auto"/>
                <w:sz w:val="24"/>
                <w:szCs w:val="24"/>
              </w:rPr>
              <w:t>2012</w:t>
            </w:r>
            <w:r>
              <w:rPr>
                <w:rFonts w:hint="eastAsia" w:ascii="Times New Roman"/>
                <w:bCs/>
                <w:color w:val="auto"/>
                <w:sz w:val="24"/>
                <w:szCs w:val="24"/>
              </w:rPr>
              <w:t>中</w:t>
            </w:r>
            <w:r>
              <w:rPr>
                <w:rFonts w:hint="eastAsia" w:ascii="Times New Roman"/>
                <w:bCs/>
                <w:color w:val="auto"/>
                <w:sz w:val="24"/>
                <w:szCs w:val="24"/>
                <w:lang w:val="en-US" w:eastAsia="zh-CN"/>
              </w:rPr>
              <w:t>40</w:t>
            </w:r>
            <w:r>
              <w:rPr>
                <w:rFonts w:ascii="Times New Roman"/>
                <w:bCs/>
                <w:color w:val="auto"/>
                <w:sz w:val="24"/>
                <w:szCs w:val="24"/>
              </w:rPr>
              <w:t>ug/m</w:t>
            </w:r>
            <w:r>
              <w:rPr>
                <w:rFonts w:ascii="Times New Roman"/>
                <w:bCs/>
                <w:color w:val="auto"/>
                <w:sz w:val="24"/>
                <w:szCs w:val="24"/>
                <w:vertAlign w:val="superscript"/>
              </w:rPr>
              <w:t>3</w:t>
            </w:r>
            <w:r>
              <w:rPr>
                <w:rFonts w:hint="eastAsia" w:ascii="Times New Roman"/>
                <w:bCs/>
                <w:color w:val="auto"/>
                <w:sz w:val="24"/>
                <w:szCs w:val="24"/>
              </w:rPr>
              <w:t>标准限值要求；PM</w:t>
            </w:r>
            <w:r>
              <w:rPr>
                <w:rFonts w:ascii="Times New Roman"/>
                <w:bCs/>
                <w:color w:val="auto"/>
                <w:sz w:val="24"/>
                <w:szCs w:val="24"/>
                <w:vertAlign w:val="subscript"/>
              </w:rPr>
              <w:t>10</w:t>
            </w:r>
            <w:r>
              <w:rPr>
                <w:rFonts w:hint="eastAsia" w:ascii="Times New Roman"/>
                <w:bCs/>
                <w:color w:val="auto"/>
                <w:sz w:val="24"/>
                <w:szCs w:val="24"/>
              </w:rPr>
              <w:t>年平均质量浓度为</w:t>
            </w:r>
            <w:r>
              <w:rPr>
                <w:rFonts w:hint="eastAsia" w:ascii="Times New Roman"/>
                <w:bCs/>
                <w:color w:val="auto"/>
                <w:sz w:val="24"/>
                <w:szCs w:val="24"/>
                <w:lang w:val="en-US" w:eastAsia="zh-CN"/>
              </w:rPr>
              <w:t>65</w:t>
            </w:r>
            <w:r>
              <w:rPr>
                <w:rFonts w:hint="eastAsia" w:ascii="Times New Roman"/>
                <w:bCs/>
                <w:color w:val="auto"/>
                <w:sz w:val="24"/>
                <w:szCs w:val="24"/>
              </w:rPr>
              <w:t>ug</w:t>
            </w:r>
            <w:r>
              <w:rPr>
                <w:rFonts w:ascii="Times New Roman"/>
                <w:bCs/>
                <w:color w:val="auto"/>
                <w:sz w:val="24"/>
                <w:szCs w:val="24"/>
              </w:rPr>
              <w:t>/m</w:t>
            </w:r>
            <w:r>
              <w:rPr>
                <w:rFonts w:ascii="Times New Roman"/>
                <w:bCs/>
                <w:color w:val="auto"/>
                <w:sz w:val="24"/>
                <w:szCs w:val="24"/>
                <w:vertAlign w:val="superscript"/>
              </w:rPr>
              <w:t>3</w:t>
            </w:r>
            <w:r>
              <w:rPr>
                <w:rFonts w:hint="eastAsia" w:ascii="Times New Roman"/>
                <w:bCs/>
                <w:color w:val="auto"/>
                <w:sz w:val="24"/>
                <w:szCs w:val="24"/>
              </w:rPr>
              <w:t>，</w:t>
            </w:r>
            <w:r>
              <w:rPr>
                <w:rFonts w:hint="eastAsia" w:ascii="Times New Roman"/>
                <w:bCs/>
                <w:color w:val="auto"/>
                <w:sz w:val="24"/>
                <w:szCs w:val="24"/>
                <w:lang w:val="en-US" w:eastAsia="zh-CN"/>
              </w:rPr>
              <w:t>能够满足</w:t>
            </w:r>
            <w:r>
              <w:rPr>
                <w:rFonts w:ascii="Times New Roman"/>
                <w:bCs/>
                <w:color w:val="auto"/>
                <w:sz w:val="24"/>
                <w:szCs w:val="24"/>
              </w:rPr>
              <w:t>《环境空气质量标准》GB3095－2012</w:t>
            </w:r>
            <w:r>
              <w:rPr>
                <w:rFonts w:hint="eastAsia" w:ascii="Times New Roman"/>
                <w:bCs/>
                <w:color w:val="auto"/>
                <w:sz w:val="24"/>
                <w:szCs w:val="24"/>
              </w:rPr>
              <w:t>中</w:t>
            </w:r>
            <w:r>
              <w:rPr>
                <w:rFonts w:ascii="Times New Roman"/>
                <w:bCs/>
                <w:color w:val="auto"/>
                <w:sz w:val="24"/>
                <w:szCs w:val="24"/>
              </w:rPr>
              <w:t>70ug/m</w:t>
            </w:r>
            <w:r>
              <w:rPr>
                <w:rFonts w:ascii="Times New Roman"/>
                <w:bCs/>
                <w:color w:val="auto"/>
                <w:sz w:val="24"/>
                <w:szCs w:val="24"/>
                <w:vertAlign w:val="superscript"/>
              </w:rPr>
              <w:t>3</w:t>
            </w:r>
            <w:r>
              <w:rPr>
                <w:rFonts w:hint="eastAsia" w:ascii="Times New Roman"/>
                <w:bCs/>
                <w:color w:val="auto"/>
                <w:sz w:val="24"/>
                <w:szCs w:val="24"/>
              </w:rPr>
              <w:t>标准限值要求</w:t>
            </w:r>
            <w:r>
              <w:rPr>
                <w:rFonts w:hint="eastAsia" w:ascii="Times New Roman"/>
                <w:bCs/>
                <w:color w:val="auto"/>
                <w:sz w:val="24"/>
                <w:szCs w:val="24"/>
                <w:lang w:eastAsia="zh-CN"/>
              </w:rPr>
              <w:t>；</w:t>
            </w:r>
            <w:r>
              <w:rPr>
                <w:rFonts w:hint="eastAsia" w:ascii="Times New Roman"/>
                <w:bCs/>
                <w:color w:val="auto"/>
                <w:sz w:val="24"/>
                <w:szCs w:val="24"/>
              </w:rPr>
              <w:t>PM</w:t>
            </w:r>
            <w:r>
              <w:rPr>
                <w:rFonts w:hint="eastAsia" w:ascii="Times New Roman"/>
                <w:bCs/>
                <w:color w:val="auto"/>
                <w:sz w:val="24"/>
                <w:szCs w:val="24"/>
                <w:vertAlign w:val="subscript"/>
                <w:lang w:val="en-US" w:eastAsia="zh-CN"/>
              </w:rPr>
              <w:t>2.5</w:t>
            </w:r>
            <w:r>
              <w:rPr>
                <w:rFonts w:hint="eastAsia" w:ascii="Times New Roman"/>
                <w:bCs/>
                <w:color w:val="auto"/>
                <w:sz w:val="24"/>
                <w:szCs w:val="24"/>
              </w:rPr>
              <w:t>年平均质量浓度为</w:t>
            </w:r>
            <w:r>
              <w:rPr>
                <w:rFonts w:hint="eastAsia" w:ascii="Times New Roman"/>
                <w:bCs/>
                <w:color w:val="auto"/>
                <w:sz w:val="24"/>
                <w:szCs w:val="24"/>
                <w:lang w:val="en-US" w:eastAsia="zh-CN"/>
              </w:rPr>
              <w:t>35</w:t>
            </w:r>
            <w:r>
              <w:rPr>
                <w:rFonts w:hint="eastAsia" w:ascii="Times New Roman"/>
                <w:bCs/>
                <w:color w:val="auto"/>
                <w:sz w:val="24"/>
                <w:szCs w:val="24"/>
              </w:rPr>
              <w:t>ug</w:t>
            </w:r>
            <w:r>
              <w:rPr>
                <w:rFonts w:ascii="Times New Roman"/>
                <w:bCs/>
                <w:color w:val="auto"/>
                <w:sz w:val="24"/>
                <w:szCs w:val="24"/>
              </w:rPr>
              <w:t>/m</w:t>
            </w:r>
            <w:r>
              <w:rPr>
                <w:rFonts w:ascii="Times New Roman"/>
                <w:bCs/>
                <w:color w:val="auto"/>
                <w:sz w:val="24"/>
                <w:szCs w:val="24"/>
                <w:vertAlign w:val="superscript"/>
              </w:rPr>
              <w:t>3</w:t>
            </w:r>
            <w:r>
              <w:rPr>
                <w:rFonts w:hint="eastAsia" w:ascii="Times New Roman"/>
                <w:bCs/>
                <w:color w:val="auto"/>
                <w:sz w:val="24"/>
                <w:szCs w:val="24"/>
              </w:rPr>
              <w:t>，</w:t>
            </w:r>
            <w:r>
              <w:rPr>
                <w:rFonts w:hint="eastAsia" w:ascii="Times New Roman"/>
                <w:bCs/>
                <w:color w:val="auto"/>
                <w:sz w:val="24"/>
                <w:szCs w:val="24"/>
                <w:lang w:val="en-US" w:eastAsia="zh-CN"/>
              </w:rPr>
              <w:t>能够满足</w:t>
            </w:r>
            <w:r>
              <w:rPr>
                <w:rFonts w:ascii="Times New Roman"/>
                <w:bCs/>
                <w:color w:val="auto"/>
                <w:sz w:val="24"/>
                <w:szCs w:val="24"/>
              </w:rPr>
              <w:t>《环境空气质量标准》GB3095－2012</w:t>
            </w:r>
            <w:r>
              <w:rPr>
                <w:rFonts w:hint="eastAsia" w:ascii="Times New Roman"/>
                <w:bCs/>
                <w:color w:val="auto"/>
                <w:sz w:val="24"/>
                <w:szCs w:val="24"/>
              </w:rPr>
              <w:t>中</w:t>
            </w:r>
            <w:r>
              <w:rPr>
                <w:rFonts w:hint="eastAsia" w:ascii="Times New Roman"/>
                <w:bCs/>
                <w:color w:val="auto"/>
                <w:sz w:val="24"/>
                <w:szCs w:val="24"/>
                <w:lang w:val="en-US" w:eastAsia="zh-CN"/>
              </w:rPr>
              <w:t>35</w:t>
            </w:r>
            <w:r>
              <w:rPr>
                <w:rFonts w:ascii="Times New Roman"/>
                <w:bCs/>
                <w:color w:val="auto"/>
                <w:sz w:val="24"/>
                <w:szCs w:val="24"/>
              </w:rPr>
              <w:t>ug/m</w:t>
            </w:r>
            <w:r>
              <w:rPr>
                <w:rFonts w:ascii="Times New Roman"/>
                <w:bCs/>
                <w:color w:val="auto"/>
                <w:sz w:val="24"/>
                <w:szCs w:val="24"/>
                <w:vertAlign w:val="superscript"/>
              </w:rPr>
              <w:t>3</w:t>
            </w:r>
            <w:r>
              <w:rPr>
                <w:rFonts w:hint="eastAsia" w:ascii="Times New Roman"/>
                <w:bCs/>
                <w:color w:val="auto"/>
                <w:sz w:val="24"/>
                <w:szCs w:val="24"/>
              </w:rPr>
              <w:t>标准限值要求，因此确定项目排放污染物二氧化硫</w:t>
            </w:r>
            <w:r>
              <w:rPr>
                <w:rFonts w:hint="eastAsia" w:ascii="Times New Roman"/>
                <w:bCs/>
                <w:color w:val="auto"/>
                <w:sz w:val="24"/>
                <w:szCs w:val="24"/>
                <w:lang w:eastAsia="zh-CN"/>
              </w:rPr>
              <w:t>、</w:t>
            </w:r>
            <w:r>
              <w:rPr>
                <w:rFonts w:hint="eastAsia" w:ascii="Times New Roman"/>
                <w:bCs/>
                <w:color w:val="auto"/>
                <w:sz w:val="24"/>
                <w:szCs w:val="24"/>
                <w:lang w:val="en-US" w:eastAsia="zh-CN"/>
              </w:rPr>
              <w:t>二氧化氮和烟粉尘等量削减</w:t>
            </w:r>
            <w:r>
              <w:rPr>
                <w:rFonts w:hint="eastAsia" w:ascii="Times New Roman"/>
                <w:bCs/>
                <w:color w:val="auto"/>
                <w:sz w:val="24"/>
                <w:szCs w:val="24"/>
              </w:rPr>
              <w:t>。</w:t>
            </w:r>
          </w:p>
          <w:p>
            <w:pPr>
              <w:pStyle w:val="2"/>
              <w:spacing w:line="360" w:lineRule="auto"/>
              <w:ind w:left="0" w:leftChars="0" w:firstLine="0" w:firstLineChars="0"/>
              <w:rPr>
                <w:rFonts w:hint="default"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 xml:space="preserve">   </w:t>
            </w:r>
            <w:r>
              <w:rPr>
                <w:rFonts w:hint="eastAsia" w:ascii="Times New Roman" w:hAnsi="Times New Roman" w:eastAsia="宋体" w:cs="Times New Roman"/>
                <w:bCs/>
                <w:color w:val="auto"/>
                <w:kern w:val="2"/>
                <w:sz w:val="24"/>
                <w:szCs w:val="24"/>
                <w:lang w:val="en-US" w:eastAsia="zh-CN" w:bidi="ar-SA"/>
              </w:rPr>
              <w:t xml:space="preserve"> 2021年11月18日，大同市生态环境局开发区分局就项目烟尘、二氧化硫、氮氧化物排放量出具了污染物替代削减方案。2021年11月23日，大同市生态环境局云州分局就项目粉尘排放量出具了污染物替代削减方案。具体如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 xml:space="preserve">  </w:t>
            </w:r>
            <w:r>
              <w:rPr>
                <w:rFonts w:hint="eastAsia" w:ascii="Times New Roman" w:hAnsi="Times New Roman" w:eastAsia="宋体" w:cs="Times New Roman"/>
                <w:b/>
                <w:bCs w:val="0"/>
                <w:color w:val="auto"/>
                <w:kern w:val="2"/>
                <w:sz w:val="24"/>
                <w:szCs w:val="24"/>
                <w:lang w:val="en-US" w:eastAsia="zh-CN" w:bidi="ar-SA"/>
              </w:rPr>
              <w:t xml:space="preserve"> 1）项目项目烟尘、二氧化硫、氮氧化物排放削减方案</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原有污染源山西同达药业有限公司1台20吨锅炉实施特别排放改造；山西普德药业有限公司2台10吨锅炉已拆除；大同御翔汽贸有限公司1台0.5吨锅炉已拆除；泰盛建安1台0.3吨锅炉已拆除；大同胜翔汽车销售服务有限公司2台1.5吨锅炉已拆除；山西普德食品有限公司2台4吨锅炉已拆除。6家单位共拆除9台锅炉50.3吨，可消减二氧化硫560吨、氮氧化物430吨、烟尘650吨。已按2倍比例置换给山西宸华环保科技有限公司和按等比例置换给大同市纳博生物科技有限公司后剩余二氧化硫479吨、氮氧化物262.182吨、烟尘617.06吨。能够满足优沃特科技（山西）有限公司年产3万吨直径600mm及以上超高功率电极项目二氧化硫22.774吨/年、氮氧化物3.953吨/年、烟尘10.508吨/年污染物削减替代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2）项目粉尘排放削减方案</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①</w:t>
            </w:r>
            <w:r>
              <w:rPr>
                <w:rFonts w:hint="eastAsia" w:ascii="Times New Roman" w:hAnsi="Times New Roman" w:eastAsia="宋体" w:cs="Times New Roman"/>
                <w:bCs/>
                <w:color w:val="auto"/>
                <w:kern w:val="2"/>
                <w:sz w:val="24"/>
                <w:szCs w:val="24"/>
                <w:lang w:val="en-US" w:eastAsia="zh-CN" w:bidi="ar-SA"/>
              </w:rPr>
              <w:t>大同市长安高岭土有限责任公司将原有的2台（每台2吨）焚烧炉、回转煅烧炉及其它生产设备拆除，可消减SO</w:t>
            </w:r>
            <w:r>
              <w:rPr>
                <w:rFonts w:hint="eastAsia" w:ascii="Times New Roman" w:hAnsi="Times New Roman" w:eastAsia="宋体" w:cs="Times New Roman"/>
                <w:bCs/>
                <w:color w:val="auto"/>
                <w:kern w:val="2"/>
                <w:sz w:val="24"/>
                <w:szCs w:val="24"/>
                <w:vertAlign w:val="subscript"/>
                <w:lang w:val="en-US" w:eastAsia="zh-CN" w:bidi="ar-SA"/>
              </w:rPr>
              <w:t xml:space="preserve">2 </w:t>
            </w:r>
            <w:r>
              <w:rPr>
                <w:rFonts w:hint="eastAsia" w:ascii="Times New Roman" w:hAnsi="Times New Roman" w:eastAsia="宋体" w:cs="Times New Roman"/>
                <w:bCs/>
                <w:color w:val="auto"/>
                <w:kern w:val="2"/>
                <w:sz w:val="24"/>
                <w:szCs w:val="24"/>
                <w:lang w:val="en-US" w:eastAsia="zh-CN" w:bidi="ar-SA"/>
              </w:rPr>
              <w:t>35.84吨/年、NOx23.73吨/年、烟尘2.88吨/年</w:t>
            </w:r>
            <w:r>
              <w:rPr>
                <w:rFonts w:hint="eastAsia" w:ascii="Times New Roman" w:hAnsi="Times New Roman"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粉尘106.39吨/年；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②</w:t>
            </w:r>
            <w:r>
              <w:rPr>
                <w:rFonts w:hint="eastAsia" w:ascii="Times New Roman" w:hAnsi="Times New Roman" w:eastAsia="宋体" w:cs="Times New Roman"/>
                <w:bCs/>
                <w:color w:val="auto"/>
                <w:kern w:val="2"/>
                <w:sz w:val="24"/>
                <w:szCs w:val="24"/>
                <w:lang w:val="en-US" w:eastAsia="zh-CN" w:bidi="ar-SA"/>
              </w:rPr>
              <w:t>大同日旺板业有限责任公司将原有的1台6吨生产蒸汽锅炉及其生产设备拆除，可消减SO</w:t>
            </w:r>
            <w:r>
              <w:rPr>
                <w:rFonts w:hint="eastAsia" w:ascii="Times New Roman" w:hAnsi="Times New Roman" w:eastAsia="宋体" w:cs="Times New Roman"/>
                <w:bCs/>
                <w:color w:val="auto"/>
                <w:kern w:val="2"/>
                <w:sz w:val="24"/>
                <w:szCs w:val="24"/>
                <w:vertAlign w:val="subscript"/>
                <w:lang w:val="en-US" w:eastAsia="zh-CN" w:bidi="ar-SA"/>
              </w:rPr>
              <w:t>2</w:t>
            </w:r>
            <w:r>
              <w:rPr>
                <w:rFonts w:hint="eastAsia" w:ascii="Times New Roman" w:hAnsi="Times New Roman" w:eastAsia="宋体" w:cs="Times New Roman"/>
                <w:bCs/>
                <w:color w:val="auto"/>
                <w:kern w:val="2"/>
                <w:sz w:val="24"/>
                <w:szCs w:val="24"/>
                <w:lang w:val="en-US" w:eastAsia="zh-CN" w:bidi="ar-SA"/>
              </w:rPr>
              <w:t xml:space="preserve"> 73.6吨/年、NOx13.52吨/年、烟尘9.74吨/年,粉尘10.5吨/年；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以上</w:t>
            </w:r>
            <w:r>
              <w:rPr>
                <w:rFonts w:hint="eastAsia" w:ascii="Times New Roman" w:hAnsi="Times New Roman" w:cs="Times New Roman"/>
                <w:bCs/>
                <w:color w:val="auto"/>
                <w:kern w:val="2"/>
                <w:sz w:val="24"/>
                <w:szCs w:val="24"/>
                <w:lang w:val="en-US" w:eastAsia="zh-CN" w:bidi="ar-SA"/>
              </w:rPr>
              <w:t>两</w:t>
            </w:r>
            <w:r>
              <w:rPr>
                <w:rFonts w:hint="eastAsia" w:ascii="Times New Roman" w:hAnsi="Times New Roman" w:eastAsia="宋体" w:cs="Times New Roman"/>
                <w:bCs/>
                <w:color w:val="auto"/>
                <w:kern w:val="2"/>
                <w:sz w:val="24"/>
                <w:szCs w:val="24"/>
                <w:lang w:val="en-US" w:eastAsia="zh-CN" w:bidi="ar-SA"/>
              </w:rPr>
              <w:t>项共消减粉尘116.89吨。已按2倍置换给山西大维纸业有限公司新建20万吨/年瓦楞纸生产项目，新增污染物排放量粉尘8.24吨</w:t>
            </w:r>
            <w:r>
              <w:rPr>
                <w:rFonts w:hint="eastAsia" w:ascii="Times New Roman" w:hAnsi="Times New Roman"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按2倍置换给大同氢都驰拓锂电研发生产项目新增粉尘16.48吨/年</w:t>
            </w:r>
            <w:r>
              <w:rPr>
                <w:rFonts w:hint="eastAsia" w:ascii="Times New Roman" w:hAnsi="Times New Roman"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按2倍置换给山西华青活性炭集团股份有限公司年产3万吨大颗粒脱硫脱硝活性炭建设项目粉尘6.74吨。还多剩余粉尘85.43吨。能够满足优沃特科技（山西）有限公司年产3万吨直径600mm及以上超高功率电极项目粉尘23.381吨/年污染物削减替代要求。</w:t>
            </w:r>
          </w:p>
          <w:p>
            <w:pPr>
              <w:spacing w:line="360" w:lineRule="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 xml:space="preserve">   </w:t>
            </w:r>
            <w:r>
              <w:rPr>
                <w:rFonts w:hint="eastAsia" w:ascii="Times New Roman" w:hAnsi="Times New Roman" w:eastAsia="宋体" w:cs="Times New Roman"/>
                <w:bCs/>
                <w:color w:val="auto"/>
                <w:kern w:val="2"/>
                <w:sz w:val="24"/>
                <w:szCs w:val="24"/>
                <w:lang w:val="en-US" w:eastAsia="zh-CN" w:bidi="ar-SA"/>
              </w:rPr>
              <w:t>综上，项目投运后可实现烟（粉）尘，二氧化硫和氮氧化物</w:t>
            </w:r>
            <w:r>
              <w:rPr>
                <w:rFonts w:hint="eastAsia" w:ascii="Times New Roman" w:hAnsi="Times New Roman" w:cs="Times New Roman"/>
                <w:bCs/>
                <w:color w:val="auto"/>
                <w:kern w:val="2"/>
                <w:sz w:val="24"/>
                <w:szCs w:val="24"/>
                <w:lang w:val="en-US" w:eastAsia="zh-CN" w:bidi="ar-SA"/>
              </w:rPr>
              <w:t>等</w:t>
            </w:r>
            <w:r>
              <w:rPr>
                <w:rFonts w:hint="eastAsia" w:ascii="Times New Roman" w:hAnsi="Times New Roman" w:eastAsia="宋体" w:cs="Times New Roman"/>
                <w:bCs/>
                <w:color w:val="auto"/>
                <w:kern w:val="2"/>
                <w:sz w:val="24"/>
                <w:szCs w:val="24"/>
                <w:lang w:val="en-US" w:eastAsia="zh-CN" w:bidi="ar-SA"/>
              </w:rPr>
              <w:t>量削减，从而实现区域环境空气质量改善。</w:t>
            </w:r>
          </w:p>
          <w:p>
            <w:pPr>
              <w:pStyle w:val="6"/>
              <w:numPr>
                <w:ilvl w:val="3"/>
                <w:numId w:val="0"/>
              </w:numPr>
              <w:spacing w:line="360" w:lineRule="auto"/>
              <w:ind w:firstLine="241" w:firstLineChars="100"/>
              <w:rPr>
                <w:rFonts w:hint="eastAsia" w:hAnsi="Times New Roman"/>
                <w:color w:val="auto"/>
                <w:sz w:val="24"/>
                <w:lang w:val="en-US" w:eastAsia="zh-CN"/>
              </w:rPr>
            </w:pPr>
            <w:r>
              <w:rPr>
                <w:rFonts w:hint="eastAsia" w:hAnsi="Times New Roman"/>
                <w:color w:val="auto"/>
                <w:sz w:val="24"/>
                <w:lang w:eastAsia="zh-CN"/>
              </w:rPr>
              <w:t>（</w:t>
            </w:r>
            <w:r>
              <w:rPr>
                <w:rFonts w:hint="eastAsia" w:hAnsi="Times New Roman"/>
                <w:color w:val="auto"/>
                <w:sz w:val="24"/>
                <w:lang w:val="en-US" w:eastAsia="zh-CN"/>
              </w:rPr>
              <w:t>5</w:t>
            </w:r>
            <w:r>
              <w:rPr>
                <w:rFonts w:hint="eastAsia" w:hAnsi="Times New Roman"/>
                <w:color w:val="auto"/>
                <w:sz w:val="24"/>
                <w:lang w:eastAsia="zh-CN"/>
              </w:rPr>
              <w:t>）</w:t>
            </w:r>
            <w:r>
              <w:rPr>
                <w:rFonts w:hint="eastAsia" w:hAnsi="Times New Roman"/>
                <w:color w:val="auto"/>
                <w:sz w:val="24"/>
                <w:lang w:val="en-US" w:eastAsia="zh-CN"/>
              </w:rPr>
              <w:t>环境防护距离和卫生防护距离</w:t>
            </w:r>
          </w:p>
          <w:p>
            <w:pPr>
              <w:spacing w:line="360" w:lineRule="auto"/>
              <w:rPr>
                <w:rFonts w:hint="default"/>
                <w:color w:val="auto"/>
                <w:sz w:val="24"/>
                <w:lang w:val="en-US" w:eastAsia="zh-CN"/>
              </w:rPr>
            </w:pPr>
            <w:r>
              <w:rPr>
                <w:rFonts w:hint="eastAsia"/>
                <w:color w:val="auto"/>
                <w:sz w:val="24"/>
                <w:lang w:val="en-US" w:eastAsia="zh-CN"/>
              </w:rPr>
              <w:t xml:space="preserve">   由于本次评价不对大气环境开展专项评价，根据《建设项目环境影响报告表编制技术指南（污染影响类）（试行）》，此次评价不设环境防护距离。《建设项目环境影响评价技术导则 总纲》(HJ2.1-2016）未对卫生防护距离提出评价要求，同时建设项目环境影响报告表编制技术指南（污染影响类）未做要求，因此此次评价不计算卫生防护距离。</w:t>
            </w:r>
          </w:p>
          <w:p>
            <w:pPr>
              <w:pStyle w:val="6"/>
              <w:numPr>
                <w:ilvl w:val="3"/>
                <w:numId w:val="0"/>
              </w:numPr>
              <w:spacing w:line="360" w:lineRule="auto"/>
              <w:ind w:firstLine="241" w:firstLineChars="100"/>
              <w:rPr>
                <w:rFonts w:hAnsi="Times New Roman"/>
                <w:color w:val="auto"/>
                <w:sz w:val="24"/>
              </w:rPr>
            </w:pPr>
            <w:r>
              <w:rPr>
                <w:rFonts w:hint="eastAsia" w:hAnsi="Times New Roman"/>
                <w:color w:val="auto"/>
                <w:sz w:val="24"/>
              </w:rPr>
              <w:t>（</w:t>
            </w:r>
            <w:r>
              <w:rPr>
                <w:rFonts w:hint="eastAsia" w:hAnsi="Times New Roman"/>
                <w:color w:val="auto"/>
                <w:sz w:val="24"/>
                <w:lang w:val="en-US" w:eastAsia="zh-CN"/>
              </w:rPr>
              <w:t>6</w:t>
            </w:r>
            <w:r>
              <w:rPr>
                <w:rFonts w:hint="eastAsia" w:hAnsi="Times New Roman"/>
                <w:color w:val="auto"/>
                <w:sz w:val="24"/>
              </w:rPr>
              <w:t>）监测计划</w:t>
            </w:r>
            <w:bookmarkEnd w:id="9"/>
            <w:bookmarkEnd w:id="10"/>
            <w:bookmarkEnd w:id="11"/>
            <w:bookmarkEnd w:id="12"/>
            <w:bookmarkEnd w:id="13"/>
          </w:p>
          <w:p>
            <w:pPr>
              <w:pStyle w:val="6"/>
              <w:numPr>
                <w:ilvl w:val="3"/>
                <w:numId w:val="0"/>
              </w:numPr>
              <w:spacing w:line="360" w:lineRule="auto"/>
              <w:ind w:firstLine="480" w:firstLineChars="200"/>
              <w:rPr>
                <w:rFonts w:hint="eastAsia" w:hAnsi="Times New Roman"/>
                <w:b w:val="0"/>
                <w:bCs w:val="0"/>
                <w:color w:val="auto"/>
                <w:sz w:val="24"/>
              </w:rPr>
            </w:pPr>
            <w:r>
              <w:rPr>
                <w:rFonts w:hint="eastAsia" w:hAnsi="Times New Roman"/>
                <w:b w:val="0"/>
                <w:bCs w:val="0"/>
                <w:color w:val="auto"/>
                <w:sz w:val="24"/>
              </w:rPr>
              <w:t>根据《排污许可证申请与核发技术规范</w:t>
            </w:r>
            <w:r>
              <w:rPr>
                <w:rFonts w:hint="eastAsia" w:hAnsi="Times New Roman"/>
                <w:b w:val="0"/>
                <w:bCs w:val="0"/>
                <w:color w:val="auto"/>
                <w:sz w:val="24"/>
                <w:lang w:val="en-US" w:eastAsia="zh-CN"/>
              </w:rPr>
              <w:t xml:space="preserve"> 石墨及其他非金属矿物制品制造</w:t>
            </w:r>
            <w:r>
              <w:rPr>
                <w:rFonts w:hint="eastAsia" w:hAnsi="Times New Roman"/>
                <w:b w:val="0"/>
                <w:bCs w:val="0"/>
                <w:color w:val="auto"/>
                <w:sz w:val="24"/>
              </w:rPr>
              <w:t xml:space="preserve"> 》（HJ 11</w:t>
            </w:r>
            <w:r>
              <w:rPr>
                <w:rFonts w:hint="eastAsia" w:hAnsi="Times New Roman"/>
                <w:b w:val="0"/>
                <w:bCs w:val="0"/>
                <w:color w:val="auto"/>
                <w:sz w:val="24"/>
                <w:lang w:val="en-US" w:eastAsia="zh-CN"/>
              </w:rPr>
              <w:t>19</w:t>
            </w:r>
            <w:r>
              <w:rPr>
                <w:rFonts w:hint="eastAsia" w:hAnsi="Times New Roman"/>
                <w:b w:val="0"/>
                <w:bCs w:val="0"/>
                <w:color w:val="auto"/>
                <w:sz w:val="24"/>
              </w:rPr>
              <w:t>-2020）</w:t>
            </w:r>
            <w:r>
              <w:rPr>
                <w:rFonts w:hint="eastAsia" w:hAnsi="Times New Roman"/>
                <w:b w:val="0"/>
                <w:bCs w:val="0"/>
                <w:color w:val="auto"/>
                <w:sz w:val="24"/>
                <w:lang w:eastAsia="zh-CN"/>
              </w:rPr>
              <w:t>、《</w:t>
            </w:r>
            <w:r>
              <w:rPr>
                <w:rFonts w:hint="eastAsia" w:hAnsi="Times New Roman"/>
                <w:b w:val="0"/>
                <w:bCs w:val="0"/>
                <w:color w:val="auto"/>
                <w:sz w:val="24"/>
                <w:lang w:val="en-US" w:eastAsia="zh-CN"/>
              </w:rPr>
              <w:t>排污单位自行监测技术指南 火力发电及锅炉</w:t>
            </w:r>
            <w:r>
              <w:rPr>
                <w:rFonts w:hint="eastAsia" w:hAnsi="Times New Roman"/>
                <w:b w:val="0"/>
                <w:bCs w:val="0"/>
                <w:color w:val="auto"/>
                <w:sz w:val="24"/>
                <w:lang w:eastAsia="zh-CN"/>
              </w:rPr>
              <w:t>》（</w:t>
            </w:r>
            <w:r>
              <w:rPr>
                <w:rFonts w:hint="eastAsia" w:hAnsi="Times New Roman"/>
                <w:b w:val="0"/>
                <w:bCs w:val="0"/>
                <w:color w:val="auto"/>
                <w:sz w:val="24"/>
                <w:lang w:val="en-US" w:eastAsia="zh-CN"/>
              </w:rPr>
              <w:t>HJ820-2017</w:t>
            </w:r>
            <w:r>
              <w:rPr>
                <w:rFonts w:hint="eastAsia" w:hAnsi="Times New Roman"/>
                <w:b w:val="0"/>
                <w:bCs w:val="0"/>
                <w:color w:val="auto"/>
                <w:sz w:val="24"/>
                <w:lang w:eastAsia="zh-CN"/>
              </w:rPr>
              <w:t>），</w:t>
            </w:r>
            <w:r>
              <w:rPr>
                <w:rFonts w:hint="eastAsia" w:hAnsi="Times New Roman"/>
                <w:b w:val="0"/>
                <w:bCs w:val="0"/>
                <w:color w:val="auto"/>
                <w:sz w:val="24"/>
                <w:lang w:val="en-US" w:eastAsia="zh-CN"/>
              </w:rPr>
              <w:t>确定项目废气污染源</w:t>
            </w:r>
            <w:r>
              <w:rPr>
                <w:rFonts w:hint="eastAsia" w:hAnsi="Times New Roman"/>
                <w:b w:val="0"/>
                <w:bCs w:val="0"/>
                <w:color w:val="auto"/>
                <w:sz w:val="24"/>
              </w:rPr>
              <w:t>具体监测内容见表</w:t>
            </w:r>
            <w:r>
              <w:rPr>
                <w:rFonts w:hint="eastAsia" w:hAnsi="Times New Roman"/>
                <w:b w:val="0"/>
                <w:bCs w:val="0"/>
                <w:color w:val="auto"/>
                <w:sz w:val="24"/>
                <w:lang w:val="en-US" w:eastAsia="zh-CN"/>
              </w:rPr>
              <w:t>31</w:t>
            </w:r>
            <w:r>
              <w:rPr>
                <w:rFonts w:hint="eastAsia" w:hAnsi="Times New Roman"/>
                <w:b w:val="0"/>
                <w:bCs w:val="0"/>
                <w:color w:val="auto"/>
                <w:sz w:val="24"/>
              </w:rPr>
              <w:t>。</w:t>
            </w:r>
          </w:p>
          <w:p>
            <w:pPr>
              <w:rPr>
                <w:color w:val="auto"/>
              </w:rPr>
            </w:pPr>
          </w:p>
          <w:p>
            <w:pPr>
              <w:jc w:val="center"/>
              <w:rPr>
                <w:b/>
                <w:bCs/>
                <w:color w:val="auto"/>
                <w:sz w:val="24"/>
              </w:rPr>
            </w:pPr>
            <w:r>
              <w:rPr>
                <w:rFonts w:hint="eastAsia"/>
                <w:b/>
                <w:bCs/>
                <w:color w:val="auto"/>
                <w:sz w:val="24"/>
              </w:rPr>
              <w:t>表</w:t>
            </w:r>
            <w:r>
              <w:rPr>
                <w:rFonts w:hint="eastAsia"/>
                <w:b/>
                <w:bCs/>
                <w:color w:val="auto"/>
                <w:sz w:val="24"/>
                <w:lang w:val="en-US" w:eastAsia="zh-CN"/>
              </w:rPr>
              <w:t>31</w:t>
            </w:r>
            <w:r>
              <w:rPr>
                <w:rFonts w:hint="eastAsia"/>
                <w:b/>
                <w:bCs/>
                <w:color w:val="auto"/>
                <w:sz w:val="24"/>
              </w:rPr>
              <w:t xml:space="preserve">  废气监测计划</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37"/>
              <w:gridCol w:w="1180"/>
              <w:gridCol w:w="2183"/>
              <w:gridCol w:w="869"/>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933" w:type="pct"/>
                  <w:tcBorders>
                    <w:tl2br w:val="nil"/>
                    <w:tr2bl w:val="nil"/>
                  </w:tcBorders>
                  <w:vAlign w:val="center"/>
                </w:tcPr>
                <w:p>
                  <w:pPr>
                    <w:pStyle w:val="38"/>
                    <w:rPr>
                      <w:b/>
                      <w:bCs/>
                      <w:color w:val="auto"/>
                    </w:rPr>
                  </w:pPr>
                  <w:r>
                    <w:rPr>
                      <w:rFonts w:hint="eastAsia"/>
                      <w:b/>
                      <w:bCs/>
                      <w:color w:val="auto"/>
                    </w:rPr>
                    <w:t>监测点</w:t>
                  </w:r>
                </w:p>
              </w:tc>
              <w:tc>
                <w:tcPr>
                  <w:tcW w:w="766" w:type="pct"/>
                  <w:tcBorders>
                    <w:tl2br w:val="nil"/>
                    <w:tr2bl w:val="nil"/>
                  </w:tcBorders>
                  <w:vAlign w:val="center"/>
                </w:tcPr>
                <w:p>
                  <w:pPr>
                    <w:pStyle w:val="38"/>
                    <w:rPr>
                      <w:b/>
                      <w:bCs/>
                      <w:color w:val="auto"/>
                    </w:rPr>
                  </w:pPr>
                  <w:r>
                    <w:rPr>
                      <w:rFonts w:hint="eastAsia"/>
                      <w:b/>
                      <w:bCs/>
                      <w:color w:val="auto"/>
                    </w:rPr>
                    <w:t>排放方式</w:t>
                  </w:r>
                </w:p>
              </w:tc>
              <w:tc>
                <w:tcPr>
                  <w:tcW w:w="1417" w:type="pct"/>
                  <w:tcBorders>
                    <w:tl2br w:val="nil"/>
                    <w:tr2bl w:val="nil"/>
                  </w:tcBorders>
                  <w:vAlign w:val="center"/>
                </w:tcPr>
                <w:p>
                  <w:pPr>
                    <w:pStyle w:val="38"/>
                    <w:rPr>
                      <w:b/>
                      <w:bCs/>
                      <w:color w:val="auto"/>
                    </w:rPr>
                  </w:pPr>
                  <w:r>
                    <w:rPr>
                      <w:rFonts w:hint="eastAsia"/>
                      <w:b/>
                      <w:bCs/>
                      <w:color w:val="auto"/>
                    </w:rPr>
                    <w:t>监测项目</w:t>
                  </w:r>
                </w:p>
              </w:tc>
              <w:tc>
                <w:tcPr>
                  <w:tcW w:w="564" w:type="pct"/>
                  <w:tcBorders>
                    <w:tl2br w:val="nil"/>
                    <w:tr2bl w:val="nil"/>
                  </w:tcBorders>
                  <w:vAlign w:val="center"/>
                </w:tcPr>
                <w:p>
                  <w:pPr>
                    <w:pStyle w:val="38"/>
                    <w:rPr>
                      <w:b/>
                      <w:bCs/>
                      <w:color w:val="auto"/>
                    </w:rPr>
                  </w:pPr>
                  <w:r>
                    <w:rPr>
                      <w:rFonts w:hint="eastAsia"/>
                      <w:b/>
                      <w:bCs/>
                      <w:color w:val="auto"/>
                    </w:rPr>
                    <w:t>监测频次</w:t>
                  </w:r>
                </w:p>
              </w:tc>
              <w:tc>
                <w:tcPr>
                  <w:tcW w:w="1318" w:type="pct"/>
                  <w:tcBorders>
                    <w:tl2br w:val="nil"/>
                    <w:tr2bl w:val="nil"/>
                  </w:tcBorders>
                  <w:vAlign w:val="center"/>
                </w:tcPr>
                <w:p>
                  <w:pPr>
                    <w:pStyle w:val="38"/>
                    <w:rPr>
                      <w:b/>
                      <w:bCs/>
                      <w:color w:val="auto"/>
                    </w:rPr>
                  </w:pPr>
                  <w:r>
                    <w:rPr>
                      <w:rFonts w:hint="eastAsia"/>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33" w:type="pct"/>
                  <w:tcBorders>
                    <w:tl2br w:val="nil"/>
                    <w:tr2bl w:val="nil"/>
                  </w:tcBorders>
                  <w:vAlign w:val="center"/>
                </w:tcPr>
                <w:p>
                  <w:pPr>
                    <w:pStyle w:val="38"/>
                    <w:rPr>
                      <w:rFonts w:hint="eastAsia" w:eastAsia="宋体"/>
                      <w:color w:val="auto"/>
                      <w:lang w:eastAsia="zh-CN"/>
                    </w:rPr>
                  </w:pPr>
                  <w:r>
                    <w:rPr>
                      <w:rFonts w:hint="eastAsia"/>
                      <w:color w:val="auto"/>
                    </w:rPr>
                    <w:t>DA01</w:t>
                  </w:r>
                  <w:r>
                    <w:rPr>
                      <w:rFonts w:hint="eastAsia"/>
                      <w:color w:val="auto"/>
                      <w:lang w:val="en-US" w:eastAsia="zh-CN"/>
                    </w:rPr>
                    <w:t>9</w:t>
                  </w:r>
                </w:p>
              </w:tc>
              <w:tc>
                <w:tcPr>
                  <w:tcW w:w="766" w:type="pct"/>
                  <w:tcBorders>
                    <w:tl2br w:val="nil"/>
                    <w:tr2bl w:val="nil"/>
                  </w:tcBorders>
                  <w:vAlign w:val="center"/>
                </w:tcPr>
                <w:p>
                  <w:pPr>
                    <w:pStyle w:val="38"/>
                    <w:rPr>
                      <w:color w:val="auto"/>
                    </w:rPr>
                  </w:pPr>
                  <w:r>
                    <w:rPr>
                      <w:rFonts w:hint="eastAsia"/>
                      <w:color w:val="auto"/>
                    </w:rPr>
                    <w:t>有组织</w:t>
                  </w:r>
                </w:p>
              </w:tc>
              <w:tc>
                <w:tcPr>
                  <w:tcW w:w="1417" w:type="pct"/>
                  <w:vMerge w:val="restart"/>
                  <w:tcBorders>
                    <w:tl2br w:val="nil"/>
                    <w:tr2bl w:val="nil"/>
                  </w:tcBorders>
                  <w:vAlign w:val="center"/>
                </w:tcPr>
                <w:p>
                  <w:pPr>
                    <w:pStyle w:val="38"/>
                    <w:rPr>
                      <w:rFonts w:hint="eastAsia"/>
                      <w:color w:val="auto"/>
                    </w:rPr>
                  </w:pPr>
                  <w:r>
                    <w:rPr>
                      <w:rFonts w:hint="eastAsia"/>
                      <w:color w:val="auto"/>
                    </w:rPr>
                    <w:t>颗粒物、沥青烟、</w:t>
                  </w:r>
                </w:p>
                <w:p>
                  <w:pPr>
                    <w:pStyle w:val="38"/>
                    <w:rPr>
                      <w:color w:val="auto"/>
                    </w:rPr>
                  </w:pPr>
                  <w:r>
                    <w:rPr>
                      <w:rFonts w:hint="eastAsia"/>
                      <w:color w:val="auto"/>
                    </w:rPr>
                    <w:t>苯并芘</w:t>
                  </w:r>
                </w:p>
              </w:tc>
              <w:tc>
                <w:tcPr>
                  <w:tcW w:w="564" w:type="pct"/>
                  <w:tcBorders>
                    <w:tl2br w:val="nil"/>
                    <w:tr2bl w:val="nil"/>
                  </w:tcBorders>
                  <w:vAlign w:val="center"/>
                </w:tcPr>
                <w:p>
                  <w:pPr>
                    <w:pStyle w:val="38"/>
                    <w:rPr>
                      <w:color w:val="auto"/>
                    </w:rPr>
                  </w:pPr>
                  <w:r>
                    <w:rPr>
                      <w:rFonts w:hint="eastAsia"/>
                      <w:color w:val="auto"/>
                    </w:rPr>
                    <w:t>半年</w:t>
                  </w:r>
                </w:p>
              </w:tc>
              <w:tc>
                <w:tcPr>
                  <w:tcW w:w="1318" w:type="pct"/>
                  <w:vMerge w:val="restart"/>
                  <w:tcBorders>
                    <w:tl2br w:val="nil"/>
                    <w:tr2bl w:val="nil"/>
                  </w:tcBorders>
                  <w:vAlign w:val="center"/>
                </w:tcPr>
                <w:p>
                  <w:pPr>
                    <w:pStyle w:val="38"/>
                    <w:rPr>
                      <w:color w:val="auto"/>
                    </w:rPr>
                  </w:pPr>
                  <w:r>
                    <w:rPr>
                      <w:color w:val="auto"/>
                    </w:rPr>
                    <w:t>大气污染物综合排放</w:t>
                  </w:r>
                </w:p>
                <w:p>
                  <w:pPr>
                    <w:pStyle w:val="38"/>
                    <w:rPr>
                      <w:color w:val="auto"/>
                    </w:rPr>
                  </w:pPr>
                  <w:r>
                    <w:rPr>
                      <w:color w:val="auto"/>
                    </w:rPr>
                    <w:t>标准》（GB 16297-1996）</w:t>
                  </w:r>
                  <w:r>
                    <w:rPr>
                      <w:rFonts w:hint="eastAsia"/>
                      <w:color w:val="auto"/>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33" w:type="pct"/>
                  <w:tcBorders>
                    <w:tl2br w:val="nil"/>
                    <w:tr2bl w:val="nil"/>
                  </w:tcBorders>
                  <w:vAlign w:val="center"/>
                </w:tcPr>
                <w:p>
                  <w:pPr>
                    <w:pStyle w:val="38"/>
                    <w:rPr>
                      <w:rFonts w:hint="default" w:eastAsia="宋体"/>
                      <w:color w:val="auto"/>
                      <w:lang w:val="en-US" w:eastAsia="zh-CN"/>
                    </w:rPr>
                  </w:pPr>
                  <w:r>
                    <w:rPr>
                      <w:rFonts w:hint="eastAsia"/>
                      <w:color w:val="auto"/>
                    </w:rPr>
                    <w:t>DA0</w:t>
                  </w:r>
                  <w:r>
                    <w:rPr>
                      <w:rFonts w:hint="eastAsia"/>
                      <w:color w:val="auto"/>
                      <w:lang w:val="en-US" w:eastAsia="zh-CN"/>
                    </w:rPr>
                    <w:t>20</w:t>
                  </w:r>
                </w:p>
              </w:tc>
              <w:tc>
                <w:tcPr>
                  <w:tcW w:w="766" w:type="pct"/>
                  <w:tcBorders>
                    <w:tl2br w:val="nil"/>
                    <w:tr2bl w:val="nil"/>
                  </w:tcBorders>
                  <w:vAlign w:val="center"/>
                </w:tcPr>
                <w:p>
                  <w:pPr>
                    <w:pStyle w:val="38"/>
                    <w:rPr>
                      <w:color w:val="auto"/>
                    </w:rPr>
                  </w:pPr>
                  <w:r>
                    <w:rPr>
                      <w:rFonts w:hint="eastAsia"/>
                      <w:color w:val="auto"/>
                    </w:rPr>
                    <w:t>有组织</w:t>
                  </w:r>
                </w:p>
              </w:tc>
              <w:tc>
                <w:tcPr>
                  <w:tcW w:w="1417" w:type="pct"/>
                  <w:vMerge w:val="continue"/>
                  <w:tcBorders>
                    <w:tl2br w:val="nil"/>
                    <w:tr2bl w:val="nil"/>
                  </w:tcBorders>
                  <w:vAlign w:val="center"/>
                </w:tcPr>
                <w:p>
                  <w:pPr>
                    <w:pStyle w:val="38"/>
                    <w:rPr>
                      <w:color w:val="auto"/>
                    </w:rPr>
                  </w:pPr>
                </w:p>
              </w:tc>
              <w:tc>
                <w:tcPr>
                  <w:tcW w:w="564" w:type="pct"/>
                  <w:tcBorders>
                    <w:tl2br w:val="nil"/>
                    <w:tr2bl w:val="nil"/>
                  </w:tcBorders>
                  <w:vAlign w:val="center"/>
                </w:tcPr>
                <w:p>
                  <w:pPr>
                    <w:pStyle w:val="38"/>
                    <w:rPr>
                      <w:color w:val="auto"/>
                    </w:rPr>
                  </w:pPr>
                  <w:r>
                    <w:rPr>
                      <w:rFonts w:hint="eastAsia"/>
                      <w:color w:val="auto"/>
                    </w:rPr>
                    <w:t>半年</w:t>
                  </w:r>
                </w:p>
              </w:tc>
              <w:tc>
                <w:tcPr>
                  <w:tcW w:w="1318" w:type="pct"/>
                  <w:vMerge w:val="continue"/>
                  <w:tcBorders>
                    <w:tl2br w:val="nil"/>
                    <w:tr2bl w:val="nil"/>
                  </w:tcBorders>
                  <w:vAlign w:val="center"/>
                </w:tcPr>
                <w:p>
                  <w:pPr>
                    <w:pStyle w:val="3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33" w:type="pct"/>
                  <w:tcBorders>
                    <w:tl2br w:val="nil"/>
                    <w:tr2bl w:val="nil"/>
                  </w:tcBorders>
                  <w:vAlign w:val="center"/>
                </w:tcPr>
                <w:p>
                  <w:pPr>
                    <w:pStyle w:val="38"/>
                    <w:rPr>
                      <w:rFonts w:hint="default" w:eastAsia="宋体"/>
                      <w:color w:val="auto"/>
                      <w:lang w:val="en-US" w:eastAsia="zh-CN"/>
                    </w:rPr>
                  </w:pPr>
                  <w:r>
                    <w:rPr>
                      <w:rFonts w:hint="eastAsia"/>
                      <w:color w:val="auto"/>
                    </w:rPr>
                    <w:t>DA0</w:t>
                  </w:r>
                  <w:r>
                    <w:rPr>
                      <w:rFonts w:hint="eastAsia"/>
                      <w:color w:val="auto"/>
                      <w:lang w:val="en-US" w:eastAsia="zh-CN"/>
                    </w:rPr>
                    <w:t>24</w:t>
                  </w:r>
                </w:p>
              </w:tc>
              <w:tc>
                <w:tcPr>
                  <w:tcW w:w="766" w:type="pct"/>
                  <w:tcBorders>
                    <w:tl2br w:val="nil"/>
                    <w:tr2bl w:val="nil"/>
                  </w:tcBorders>
                  <w:vAlign w:val="center"/>
                </w:tcPr>
                <w:p>
                  <w:pPr>
                    <w:pStyle w:val="38"/>
                    <w:rPr>
                      <w:color w:val="auto"/>
                    </w:rPr>
                  </w:pPr>
                  <w:r>
                    <w:rPr>
                      <w:rFonts w:hint="eastAsia"/>
                      <w:color w:val="auto"/>
                    </w:rPr>
                    <w:t>有组织</w:t>
                  </w:r>
                </w:p>
              </w:tc>
              <w:tc>
                <w:tcPr>
                  <w:tcW w:w="1417" w:type="pct"/>
                  <w:tcBorders>
                    <w:tl2br w:val="nil"/>
                    <w:tr2bl w:val="nil"/>
                  </w:tcBorders>
                  <w:vAlign w:val="center"/>
                </w:tcPr>
                <w:p>
                  <w:pPr>
                    <w:pStyle w:val="38"/>
                    <w:rPr>
                      <w:color w:val="auto"/>
                    </w:rPr>
                  </w:pPr>
                  <w:r>
                    <w:rPr>
                      <w:rFonts w:hint="eastAsia"/>
                      <w:color w:val="auto"/>
                    </w:rPr>
                    <w:t>颗粒物、二氧化硫、</w:t>
                  </w:r>
                </w:p>
                <w:p>
                  <w:pPr>
                    <w:pStyle w:val="38"/>
                    <w:rPr>
                      <w:color w:val="auto"/>
                    </w:rPr>
                  </w:pPr>
                  <w:r>
                    <w:rPr>
                      <w:rFonts w:hint="eastAsia"/>
                      <w:color w:val="auto"/>
                    </w:rPr>
                    <w:t>氮氧化物</w:t>
                  </w:r>
                </w:p>
              </w:tc>
              <w:tc>
                <w:tcPr>
                  <w:tcW w:w="564" w:type="pct"/>
                  <w:tcBorders>
                    <w:tl2br w:val="nil"/>
                    <w:tr2bl w:val="nil"/>
                  </w:tcBorders>
                  <w:vAlign w:val="center"/>
                </w:tcPr>
                <w:p>
                  <w:pPr>
                    <w:pStyle w:val="38"/>
                    <w:rPr>
                      <w:color w:val="auto"/>
                    </w:rPr>
                  </w:pPr>
                  <w:r>
                    <w:rPr>
                      <w:rFonts w:hint="eastAsia"/>
                      <w:color w:val="auto"/>
                    </w:rPr>
                    <w:t>半年</w:t>
                  </w:r>
                </w:p>
              </w:tc>
              <w:tc>
                <w:tcPr>
                  <w:tcW w:w="1318" w:type="pct"/>
                  <w:tcBorders>
                    <w:tl2br w:val="nil"/>
                    <w:tr2bl w:val="nil"/>
                  </w:tcBorders>
                  <w:vAlign w:val="center"/>
                </w:tcPr>
                <w:p>
                  <w:pPr>
                    <w:pStyle w:val="38"/>
                    <w:rPr>
                      <w:color w:val="auto"/>
                    </w:rPr>
                  </w:pPr>
                  <w:r>
                    <w:rPr>
                      <w:rFonts w:hint="eastAsia"/>
                      <w:color w:val="auto"/>
                      <w:lang w:val="en-US" w:eastAsia="zh-CN"/>
                    </w:rPr>
                    <w:t>晋环大气[2019]164号规定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5" w:hRule="atLeast"/>
                <w:jc w:val="center"/>
              </w:trPr>
              <w:tc>
                <w:tcPr>
                  <w:tcW w:w="933" w:type="pct"/>
                  <w:tcBorders>
                    <w:tl2br w:val="nil"/>
                    <w:tr2bl w:val="nil"/>
                  </w:tcBorders>
                  <w:vAlign w:val="center"/>
                </w:tcPr>
                <w:p>
                  <w:pPr>
                    <w:pStyle w:val="38"/>
                    <w:rPr>
                      <w:rFonts w:hint="eastAsia" w:eastAsia="宋体"/>
                      <w:color w:val="auto"/>
                      <w:lang w:eastAsia="zh-CN"/>
                    </w:rPr>
                  </w:pPr>
                  <w:r>
                    <w:rPr>
                      <w:rFonts w:hint="eastAsia"/>
                      <w:color w:val="auto"/>
                    </w:rPr>
                    <w:t>DA001~DA01</w:t>
                  </w:r>
                  <w:r>
                    <w:rPr>
                      <w:rFonts w:hint="eastAsia"/>
                      <w:color w:val="auto"/>
                      <w:lang w:val="en-US" w:eastAsia="zh-CN"/>
                    </w:rPr>
                    <w:t>8</w:t>
                  </w:r>
                </w:p>
              </w:tc>
              <w:tc>
                <w:tcPr>
                  <w:tcW w:w="766" w:type="pct"/>
                  <w:vMerge w:val="restart"/>
                  <w:tcBorders>
                    <w:tl2br w:val="nil"/>
                    <w:tr2bl w:val="nil"/>
                  </w:tcBorders>
                  <w:vAlign w:val="center"/>
                </w:tcPr>
                <w:p>
                  <w:pPr>
                    <w:pStyle w:val="38"/>
                    <w:rPr>
                      <w:color w:val="auto"/>
                    </w:rPr>
                  </w:pPr>
                  <w:r>
                    <w:rPr>
                      <w:rFonts w:hint="eastAsia"/>
                      <w:color w:val="auto"/>
                    </w:rPr>
                    <w:t>有组织</w:t>
                  </w:r>
                </w:p>
              </w:tc>
              <w:tc>
                <w:tcPr>
                  <w:tcW w:w="1417" w:type="pct"/>
                  <w:vMerge w:val="restart"/>
                  <w:tcBorders>
                    <w:tl2br w:val="nil"/>
                    <w:tr2bl w:val="nil"/>
                  </w:tcBorders>
                  <w:vAlign w:val="center"/>
                </w:tcPr>
                <w:p>
                  <w:pPr>
                    <w:pStyle w:val="38"/>
                    <w:rPr>
                      <w:color w:val="auto"/>
                    </w:rPr>
                  </w:pPr>
                  <w:r>
                    <w:rPr>
                      <w:rFonts w:hint="eastAsia"/>
                      <w:color w:val="auto"/>
                    </w:rPr>
                    <w:t>颗粒物</w:t>
                  </w:r>
                </w:p>
              </w:tc>
              <w:tc>
                <w:tcPr>
                  <w:tcW w:w="564" w:type="pct"/>
                  <w:vMerge w:val="restart"/>
                  <w:tcBorders>
                    <w:tl2br w:val="nil"/>
                    <w:tr2bl w:val="nil"/>
                  </w:tcBorders>
                  <w:vAlign w:val="center"/>
                </w:tcPr>
                <w:p>
                  <w:pPr>
                    <w:pStyle w:val="38"/>
                    <w:rPr>
                      <w:color w:val="auto"/>
                    </w:rPr>
                  </w:pPr>
                  <w:r>
                    <w:rPr>
                      <w:rFonts w:hint="eastAsia"/>
                      <w:color w:val="auto"/>
                    </w:rPr>
                    <w:t>半年</w:t>
                  </w:r>
                </w:p>
              </w:tc>
              <w:tc>
                <w:tcPr>
                  <w:tcW w:w="1318" w:type="pct"/>
                  <w:vMerge w:val="restart"/>
                  <w:tcBorders>
                    <w:tl2br w:val="nil"/>
                    <w:tr2bl w:val="nil"/>
                  </w:tcBorders>
                  <w:vAlign w:val="center"/>
                </w:tcPr>
                <w:p>
                  <w:pPr>
                    <w:pStyle w:val="38"/>
                    <w:rPr>
                      <w:color w:val="auto"/>
                    </w:rPr>
                  </w:pPr>
                  <w:r>
                    <w:rPr>
                      <w:color w:val="auto"/>
                    </w:rPr>
                    <w:t>大气污染物综合排放</w:t>
                  </w:r>
                </w:p>
                <w:p>
                  <w:pPr>
                    <w:pStyle w:val="38"/>
                    <w:rPr>
                      <w:color w:val="auto"/>
                    </w:rPr>
                  </w:pPr>
                  <w:r>
                    <w:rPr>
                      <w:color w:val="auto"/>
                    </w:rPr>
                    <w:t>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933" w:type="pct"/>
                  <w:tcBorders>
                    <w:tl2br w:val="nil"/>
                    <w:tr2bl w:val="nil"/>
                  </w:tcBorders>
                  <w:vAlign w:val="center"/>
                </w:tcPr>
                <w:p>
                  <w:pPr>
                    <w:pStyle w:val="38"/>
                    <w:rPr>
                      <w:rFonts w:hint="default" w:eastAsia="宋体"/>
                      <w:color w:val="auto"/>
                      <w:lang w:val="en-US" w:eastAsia="zh-CN"/>
                    </w:rPr>
                  </w:pPr>
                  <w:r>
                    <w:rPr>
                      <w:rFonts w:hint="eastAsia"/>
                      <w:color w:val="auto"/>
                      <w:lang w:val="en-US" w:eastAsia="zh-CN"/>
                    </w:rPr>
                    <w:t>DA022、DA023、</w:t>
                  </w:r>
                  <w:r>
                    <w:rPr>
                      <w:rFonts w:hint="eastAsia"/>
                      <w:color w:val="auto"/>
                    </w:rPr>
                    <w:t>DA0</w:t>
                  </w:r>
                  <w:r>
                    <w:rPr>
                      <w:rFonts w:hint="eastAsia"/>
                      <w:color w:val="auto"/>
                      <w:lang w:val="en-US" w:eastAsia="zh-CN"/>
                    </w:rPr>
                    <w:t>25~DA030</w:t>
                  </w:r>
                </w:p>
              </w:tc>
              <w:tc>
                <w:tcPr>
                  <w:tcW w:w="766" w:type="pct"/>
                  <w:vMerge w:val="continue"/>
                  <w:tcBorders>
                    <w:tl2br w:val="nil"/>
                    <w:tr2bl w:val="nil"/>
                  </w:tcBorders>
                  <w:vAlign w:val="center"/>
                </w:tcPr>
                <w:p>
                  <w:pPr>
                    <w:pStyle w:val="38"/>
                    <w:rPr>
                      <w:color w:val="auto"/>
                    </w:rPr>
                  </w:pPr>
                </w:p>
              </w:tc>
              <w:tc>
                <w:tcPr>
                  <w:tcW w:w="1417" w:type="pct"/>
                  <w:vMerge w:val="continue"/>
                  <w:tcBorders>
                    <w:tl2br w:val="nil"/>
                    <w:tr2bl w:val="nil"/>
                  </w:tcBorders>
                  <w:vAlign w:val="center"/>
                </w:tcPr>
                <w:p>
                  <w:pPr>
                    <w:pStyle w:val="38"/>
                    <w:rPr>
                      <w:color w:val="auto"/>
                    </w:rPr>
                  </w:pPr>
                </w:p>
              </w:tc>
              <w:tc>
                <w:tcPr>
                  <w:tcW w:w="564" w:type="pct"/>
                  <w:vMerge w:val="continue"/>
                  <w:tcBorders>
                    <w:tl2br w:val="nil"/>
                    <w:tr2bl w:val="nil"/>
                  </w:tcBorders>
                  <w:vAlign w:val="center"/>
                </w:tcPr>
                <w:p>
                  <w:pPr>
                    <w:pStyle w:val="38"/>
                    <w:rPr>
                      <w:color w:val="auto"/>
                    </w:rPr>
                  </w:pPr>
                </w:p>
              </w:tc>
              <w:tc>
                <w:tcPr>
                  <w:tcW w:w="1318" w:type="pct"/>
                  <w:vMerge w:val="continue"/>
                  <w:tcBorders>
                    <w:tl2br w:val="nil"/>
                    <w:tr2bl w:val="nil"/>
                  </w:tcBorders>
                  <w:vAlign w:val="center"/>
                </w:tcPr>
                <w:p>
                  <w:pPr>
                    <w:pStyle w:val="3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933" w:type="pct"/>
                  <w:tcBorders>
                    <w:tl2br w:val="nil"/>
                    <w:tr2bl w:val="nil"/>
                  </w:tcBorders>
                  <w:vAlign w:val="center"/>
                </w:tcPr>
                <w:p>
                  <w:pPr>
                    <w:pStyle w:val="38"/>
                    <w:rPr>
                      <w:color w:val="auto"/>
                    </w:rPr>
                  </w:pPr>
                  <w:r>
                    <w:rPr>
                      <w:rFonts w:hint="eastAsia"/>
                      <w:color w:val="auto"/>
                    </w:rPr>
                    <w:t xml:space="preserve">厂界 </w:t>
                  </w:r>
                </w:p>
              </w:tc>
              <w:tc>
                <w:tcPr>
                  <w:tcW w:w="766" w:type="pct"/>
                  <w:tcBorders>
                    <w:tl2br w:val="nil"/>
                    <w:tr2bl w:val="nil"/>
                  </w:tcBorders>
                  <w:vAlign w:val="center"/>
                </w:tcPr>
                <w:p>
                  <w:pPr>
                    <w:pStyle w:val="38"/>
                    <w:rPr>
                      <w:color w:val="auto"/>
                    </w:rPr>
                  </w:pPr>
                  <w:r>
                    <w:rPr>
                      <w:rFonts w:hint="eastAsia"/>
                      <w:color w:val="auto"/>
                    </w:rPr>
                    <w:t>无组织</w:t>
                  </w:r>
                </w:p>
              </w:tc>
              <w:tc>
                <w:tcPr>
                  <w:tcW w:w="1417" w:type="pct"/>
                  <w:tcBorders>
                    <w:tl2br w:val="nil"/>
                    <w:tr2bl w:val="nil"/>
                  </w:tcBorders>
                  <w:vAlign w:val="center"/>
                </w:tcPr>
                <w:p>
                  <w:pPr>
                    <w:pStyle w:val="38"/>
                    <w:rPr>
                      <w:color w:val="auto"/>
                    </w:rPr>
                  </w:pPr>
                  <w:r>
                    <w:rPr>
                      <w:rFonts w:hint="eastAsia"/>
                      <w:color w:val="auto"/>
                    </w:rPr>
                    <w:t>颗粒物、二氧化硫、苯并芘</w:t>
                  </w:r>
                </w:p>
              </w:tc>
              <w:tc>
                <w:tcPr>
                  <w:tcW w:w="564" w:type="pct"/>
                  <w:tcBorders>
                    <w:tl2br w:val="nil"/>
                    <w:tr2bl w:val="nil"/>
                  </w:tcBorders>
                  <w:vAlign w:val="center"/>
                </w:tcPr>
                <w:p>
                  <w:pPr>
                    <w:pStyle w:val="38"/>
                    <w:rPr>
                      <w:color w:val="auto"/>
                    </w:rPr>
                  </w:pPr>
                  <w:r>
                    <w:rPr>
                      <w:rFonts w:hint="eastAsia"/>
                      <w:color w:val="auto"/>
                    </w:rPr>
                    <w:t>半年</w:t>
                  </w:r>
                </w:p>
              </w:tc>
              <w:tc>
                <w:tcPr>
                  <w:tcW w:w="1318" w:type="pct"/>
                  <w:vMerge w:val="continue"/>
                  <w:tcBorders>
                    <w:tl2br w:val="nil"/>
                    <w:tr2bl w:val="nil"/>
                  </w:tcBorders>
                  <w:vAlign w:val="center"/>
                </w:tcPr>
                <w:p>
                  <w:pPr>
                    <w:pStyle w:val="3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33" w:type="pct"/>
                  <w:vMerge w:val="restart"/>
                  <w:tcBorders>
                    <w:tl2br w:val="nil"/>
                    <w:tr2bl w:val="nil"/>
                  </w:tcBorders>
                  <w:vAlign w:val="center"/>
                </w:tcPr>
                <w:p>
                  <w:pPr>
                    <w:pStyle w:val="38"/>
                    <w:rPr>
                      <w:rFonts w:hint="default" w:eastAsia="宋体"/>
                      <w:color w:val="auto"/>
                      <w:lang w:val="en-US" w:eastAsia="zh-CN"/>
                    </w:rPr>
                  </w:pPr>
                  <w:r>
                    <w:rPr>
                      <w:rFonts w:hint="eastAsia"/>
                      <w:color w:val="auto"/>
                    </w:rPr>
                    <w:t>DA0</w:t>
                  </w:r>
                  <w:r>
                    <w:rPr>
                      <w:rFonts w:hint="eastAsia"/>
                      <w:color w:val="auto"/>
                      <w:lang w:val="en-US" w:eastAsia="zh-CN"/>
                    </w:rPr>
                    <w:t>21</w:t>
                  </w:r>
                </w:p>
              </w:tc>
              <w:tc>
                <w:tcPr>
                  <w:tcW w:w="766" w:type="pct"/>
                  <w:vMerge w:val="restart"/>
                  <w:tcBorders>
                    <w:tl2br w:val="nil"/>
                    <w:tr2bl w:val="nil"/>
                  </w:tcBorders>
                  <w:vAlign w:val="center"/>
                </w:tcPr>
                <w:p>
                  <w:pPr>
                    <w:pStyle w:val="38"/>
                    <w:rPr>
                      <w:color w:val="auto"/>
                    </w:rPr>
                  </w:pPr>
                  <w:r>
                    <w:rPr>
                      <w:rFonts w:hint="eastAsia"/>
                      <w:color w:val="auto"/>
                    </w:rPr>
                    <w:t>有组织</w:t>
                  </w:r>
                </w:p>
              </w:tc>
              <w:tc>
                <w:tcPr>
                  <w:tcW w:w="1417" w:type="pct"/>
                  <w:tcBorders>
                    <w:tl2br w:val="nil"/>
                    <w:tr2bl w:val="nil"/>
                  </w:tcBorders>
                  <w:vAlign w:val="center"/>
                </w:tcPr>
                <w:p>
                  <w:pPr>
                    <w:pStyle w:val="38"/>
                    <w:rPr>
                      <w:color w:val="auto"/>
                    </w:rPr>
                  </w:pPr>
                  <w:r>
                    <w:rPr>
                      <w:rFonts w:hint="eastAsia"/>
                      <w:color w:val="auto"/>
                    </w:rPr>
                    <w:t>氮氧化物</w:t>
                  </w:r>
                </w:p>
              </w:tc>
              <w:tc>
                <w:tcPr>
                  <w:tcW w:w="564" w:type="pct"/>
                  <w:tcBorders>
                    <w:tl2br w:val="nil"/>
                    <w:tr2bl w:val="nil"/>
                  </w:tcBorders>
                  <w:vAlign w:val="center"/>
                </w:tcPr>
                <w:p>
                  <w:pPr>
                    <w:pStyle w:val="38"/>
                    <w:rPr>
                      <w:color w:val="auto"/>
                    </w:rPr>
                  </w:pPr>
                  <w:r>
                    <w:rPr>
                      <w:rFonts w:hint="eastAsia"/>
                      <w:color w:val="auto"/>
                    </w:rPr>
                    <w:t>月</w:t>
                  </w:r>
                </w:p>
              </w:tc>
              <w:tc>
                <w:tcPr>
                  <w:tcW w:w="1318" w:type="pct"/>
                  <w:vMerge w:val="restart"/>
                  <w:tcBorders>
                    <w:tl2br w:val="nil"/>
                    <w:tr2bl w:val="nil"/>
                  </w:tcBorders>
                  <w:vAlign w:val="center"/>
                </w:tcPr>
                <w:p>
                  <w:pPr>
                    <w:pStyle w:val="38"/>
                    <w:rPr>
                      <w:color w:val="auto"/>
                    </w:rPr>
                  </w:pPr>
                  <w:r>
                    <w:rPr>
                      <w:rFonts w:hint="eastAsia"/>
                      <w:color w:val="auto"/>
                    </w:rPr>
                    <w:t>山西省地方标准《锅炉大气污染物排放标准》（DB14/19）-2019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33" w:type="pct"/>
                  <w:vMerge w:val="continue"/>
                  <w:tcBorders>
                    <w:tl2br w:val="nil"/>
                    <w:tr2bl w:val="nil"/>
                  </w:tcBorders>
                  <w:vAlign w:val="center"/>
                </w:tcPr>
                <w:p>
                  <w:pPr>
                    <w:pStyle w:val="38"/>
                    <w:rPr>
                      <w:color w:val="auto"/>
                    </w:rPr>
                  </w:pPr>
                </w:p>
              </w:tc>
              <w:tc>
                <w:tcPr>
                  <w:tcW w:w="766" w:type="pct"/>
                  <w:vMerge w:val="continue"/>
                  <w:tcBorders>
                    <w:tl2br w:val="nil"/>
                    <w:tr2bl w:val="nil"/>
                  </w:tcBorders>
                  <w:vAlign w:val="center"/>
                </w:tcPr>
                <w:p>
                  <w:pPr>
                    <w:pStyle w:val="38"/>
                    <w:rPr>
                      <w:color w:val="auto"/>
                    </w:rPr>
                  </w:pPr>
                </w:p>
              </w:tc>
              <w:tc>
                <w:tcPr>
                  <w:tcW w:w="1417" w:type="pct"/>
                  <w:tcBorders>
                    <w:tl2br w:val="nil"/>
                    <w:tr2bl w:val="nil"/>
                  </w:tcBorders>
                  <w:vAlign w:val="center"/>
                </w:tcPr>
                <w:p>
                  <w:pPr>
                    <w:pStyle w:val="38"/>
                    <w:rPr>
                      <w:color w:val="auto"/>
                    </w:rPr>
                  </w:pPr>
                  <w:r>
                    <w:rPr>
                      <w:rFonts w:hint="eastAsia"/>
                      <w:color w:val="auto"/>
                    </w:rPr>
                    <w:t>颗粒物、二氧化硫</w:t>
                  </w:r>
                </w:p>
              </w:tc>
              <w:tc>
                <w:tcPr>
                  <w:tcW w:w="564" w:type="pct"/>
                  <w:tcBorders>
                    <w:tl2br w:val="nil"/>
                    <w:tr2bl w:val="nil"/>
                  </w:tcBorders>
                  <w:vAlign w:val="center"/>
                </w:tcPr>
                <w:p>
                  <w:pPr>
                    <w:pStyle w:val="38"/>
                    <w:rPr>
                      <w:color w:val="auto"/>
                    </w:rPr>
                  </w:pPr>
                  <w:r>
                    <w:rPr>
                      <w:rFonts w:hint="eastAsia"/>
                      <w:color w:val="auto"/>
                    </w:rPr>
                    <w:t>年</w:t>
                  </w:r>
                </w:p>
              </w:tc>
              <w:tc>
                <w:tcPr>
                  <w:tcW w:w="1318" w:type="pct"/>
                  <w:vMerge w:val="continue"/>
                  <w:tcBorders>
                    <w:tl2br w:val="nil"/>
                    <w:tr2bl w:val="nil"/>
                  </w:tcBorders>
                  <w:vAlign w:val="center"/>
                </w:tcPr>
                <w:p>
                  <w:pPr>
                    <w:pStyle w:val="38"/>
                    <w:rPr>
                      <w:color w:val="auto"/>
                    </w:rPr>
                  </w:pPr>
                </w:p>
              </w:tc>
            </w:tr>
          </w:tbl>
          <w:p>
            <w:pPr>
              <w:spacing w:line="360" w:lineRule="auto"/>
              <w:rPr>
                <w:b/>
                <w:bCs/>
                <w:color w:val="auto"/>
                <w:sz w:val="24"/>
              </w:rPr>
            </w:pPr>
            <w:r>
              <w:rPr>
                <w:rFonts w:hint="eastAsia"/>
                <w:b/>
                <w:bCs/>
                <w:color w:val="auto"/>
                <w:sz w:val="24"/>
              </w:rPr>
              <w:t>2、地表水环境影响及保护措施</w:t>
            </w:r>
          </w:p>
          <w:p>
            <w:pPr>
              <w:spacing w:line="360" w:lineRule="auto"/>
              <w:ind w:firstLine="241" w:firstLineChars="100"/>
              <w:rPr>
                <w:b/>
                <w:bCs/>
                <w:color w:val="auto"/>
                <w:sz w:val="24"/>
              </w:rPr>
            </w:pPr>
            <w:r>
              <w:rPr>
                <w:b/>
                <w:bCs/>
                <w:color w:val="auto"/>
                <w:sz w:val="24"/>
              </w:rPr>
              <w:t>（1）废水来源及特点</w:t>
            </w:r>
          </w:p>
          <w:p>
            <w:pPr>
              <w:spacing w:line="360" w:lineRule="auto"/>
              <w:ind w:firstLine="480" w:firstLineChars="200"/>
              <w:rPr>
                <w:color w:val="auto"/>
                <w:sz w:val="24"/>
              </w:rPr>
            </w:pPr>
            <w:r>
              <w:rPr>
                <w:rFonts w:hint="eastAsia"/>
                <w:color w:val="auto"/>
                <w:sz w:val="24"/>
              </w:rPr>
              <w:t>项目废水包括生产废水和生活废水。其中生产废水主要为石墨电极冷却循环水、脱硫废水，以及初期雨水。</w:t>
            </w:r>
          </w:p>
          <w:p>
            <w:pPr>
              <w:pStyle w:val="2"/>
              <w:spacing w:after="0" w:line="360" w:lineRule="auto"/>
              <w:ind w:left="0" w:leftChars="0" w:firstLine="0" w:firstLineChars="0"/>
              <w:rPr>
                <w:color w:val="auto"/>
              </w:rPr>
            </w:pPr>
            <w:r>
              <w:rPr>
                <w:rFonts w:hint="eastAsia"/>
                <w:color w:val="auto"/>
                <w:sz w:val="24"/>
              </w:rPr>
              <w:t xml:space="preserve">    其中石墨电极冷却循环水污染因子为pH值、化学需氧量、悬浮物和石油类；脱硫废水主要污染因子为pH、化学需氧量、悬浮物以及重金属。</w:t>
            </w:r>
          </w:p>
          <w:p>
            <w:pPr>
              <w:spacing w:line="360" w:lineRule="auto"/>
              <w:ind w:firstLine="480" w:firstLineChars="200"/>
              <w:rPr>
                <w:color w:val="auto"/>
                <w:sz w:val="24"/>
              </w:rPr>
            </w:pPr>
            <w:r>
              <w:rPr>
                <w:rFonts w:hint="eastAsia"/>
                <w:color w:val="auto"/>
                <w:sz w:val="24"/>
              </w:rPr>
              <w:t>生活污水中主要污染因子为COD</w:t>
            </w:r>
            <w:r>
              <w:rPr>
                <w:rFonts w:hint="eastAsia"/>
                <w:color w:val="auto"/>
                <w:sz w:val="24"/>
                <w:vertAlign w:val="subscript"/>
              </w:rPr>
              <w:t>cr</w:t>
            </w:r>
            <w:r>
              <w:rPr>
                <w:rFonts w:hint="eastAsia"/>
                <w:color w:val="auto"/>
                <w:sz w:val="24"/>
              </w:rPr>
              <w:t>、BOD</w:t>
            </w:r>
            <w:r>
              <w:rPr>
                <w:rFonts w:hint="eastAsia"/>
                <w:color w:val="auto"/>
                <w:sz w:val="24"/>
                <w:vertAlign w:val="subscript"/>
              </w:rPr>
              <w:t>5</w:t>
            </w:r>
            <w:r>
              <w:rPr>
                <w:rFonts w:hint="eastAsia"/>
                <w:color w:val="auto"/>
                <w:sz w:val="24"/>
              </w:rPr>
              <w:t>、NH</w:t>
            </w:r>
            <w:r>
              <w:rPr>
                <w:rFonts w:hint="eastAsia"/>
                <w:color w:val="auto"/>
                <w:sz w:val="24"/>
                <w:vertAlign w:val="subscript"/>
              </w:rPr>
              <w:t>3</w:t>
            </w:r>
            <w:r>
              <w:rPr>
                <w:rFonts w:hint="eastAsia"/>
                <w:color w:val="auto"/>
                <w:sz w:val="24"/>
              </w:rPr>
              <w:t>-N、SS、动植物油等，浓度取值COD</w:t>
            </w:r>
            <w:r>
              <w:rPr>
                <w:rFonts w:hint="eastAsia"/>
                <w:color w:val="auto"/>
                <w:sz w:val="24"/>
                <w:vertAlign w:val="subscript"/>
              </w:rPr>
              <w:t>cr</w:t>
            </w:r>
            <w:r>
              <w:rPr>
                <w:rFonts w:hint="eastAsia"/>
                <w:color w:val="auto"/>
                <w:sz w:val="24"/>
              </w:rPr>
              <w:t>为350mg/L、BOD</w:t>
            </w:r>
            <w:r>
              <w:rPr>
                <w:rFonts w:hint="eastAsia"/>
                <w:color w:val="auto"/>
                <w:sz w:val="24"/>
                <w:vertAlign w:val="subscript"/>
              </w:rPr>
              <w:t>5</w:t>
            </w:r>
            <w:r>
              <w:rPr>
                <w:rFonts w:hint="eastAsia"/>
                <w:color w:val="auto"/>
                <w:sz w:val="24"/>
              </w:rPr>
              <w:t>为280mg/L、NH</w:t>
            </w:r>
            <w:r>
              <w:rPr>
                <w:rFonts w:hint="eastAsia"/>
                <w:color w:val="auto"/>
                <w:sz w:val="24"/>
                <w:vertAlign w:val="subscript"/>
              </w:rPr>
              <w:t>3</w:t>
            </w:r>
            <w:r>
              <w:rPr>
                <w:rFonts w:hint="eastAsia"/>
                <w:color w:val="auto"/>
                <w:sz w:val="24"/>
              </w:rPr>
              <w:t>-N为230mg/L、SS为150mg/L、动植物油为180mg/L（隔油预处理后）。</w:t>
            </w:r>
          </w:p>
          <w:p>
            <w:pPr>
              <w:pStyle w:val="2"/>
              <w:spacing w:after="0" w:line="360" w:lineRule="auto"/>
              <w:ind w:left="0" w:leftChars="0" w:firstLine="480" w:firstLineChars="0"/>
              <w:rPr>
                <w:color w:val="auto"/>
                <w:sz w:val="24"/>
              </w:rPr>
            </w:pPr>
            <w:r>
              <w:rPr>
                <w:rFonts w:hint="eastAsia"/>
                <w:color w:val="auto"/>
                <w:sz w:val="24"/>
              </w:rPr>
              <w:t>初期雨水中主要污染因子为SS、COD及石油类等。</w:t>
            </w:r>
          </w:p>
          <w:p>
            <w:pPr>
              <w:spacing w:line="360" w:lineRule="auto"/>
              <w:ind w:firstLine="480" w:firstLineChars="200"/>
              <w:rPr>
                <w:bCs/>
                <w:color w:val="auto"/>
                <w:sz w:val="24"/>
              </w:rPr>
            </w:pPr>
            <w:r>
              <w:rPr>
                <w:bCs/>
                <w:color w:val="auto"/>
                <w:sz w:val="24"/>
              </w:rPr>
              <w:t>根据</w:t>
            </w:r>
            <w:r>
              <w:rPr>
                <w:rFonts w:hint="eastAsia"/>
                <w:bCs/>
                <w:color w:val="auto"/>
                <w:sz w:val="24"/>
              </w:rPr>
              <w:t>大同</w:t>
            </w:r>
            <w:r>
              <w:rPr>
                <w:bCs/>
                <w:color w:val="auto"/>
                <w:sz w:val="24"/>
              </w:rPr>
              <w:t>市暴雨强度公式：</w:t>
            </w:r>
          </w:p>
          <w:p>
            <w:pPr>
              <w:spacing w:line="480" w:lineRule="atLeast"/>
              <w:jc w:val="center"/>
              <w:rPr>
                <w:bCs/>
                <w:color w:val="auto"/>
                <w:sz w:val="24"/>
              </w:rPr>
            </w:pPr>
            <w:r>
              <w:rPr>
                <w:bCs/>
                <w:color w:val="auto"/>
                <w:sz w:val="24"/>
              </w:rPr>
              <w:t>q=</w:t>
            </w:r>
            <w:r>
              <w:rPr>
                <w:bCs/>
                <w:color w:val="auto"/>
                <w:position w:val="-28"/>
                <w:sz w:val="24"/>
              </w:rPr>
              <w:object>
                <v:shape id="_x0000_i1028" o:spt="75" alt="" type="#_x0000_t75" style="height:35.6pt;width:103.8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p>
          <w:p>
            <w:pPr>
              <w:spacing w:line="480" w:lineRule="atLeast"/>
              <w:ind w:firstLine="480" w:firstLineChars="200"/>
              <w:rPr>
                <w:bCs/>
                <w:color w:val="auto"/>
                <w:sz w:val="24"/>
              </w:rPr>
            </w:pPr>
            <w:r>
              <w:rPr>
                <w:bCs/>
                <w:color w:val="auto"/>
                <w:sz w:val="24"/>
              </w:rPr>
              <w:t>式中：t—降雨历时</w:t>
            </w:r>
            <w:r>
              <w:rPr>
                <w:rFonts w:hint="eastAsia"/>
                <w:bCs/>
                <w:color w:val="auto"/>
                <w:sz w:val="24"/>
              </w:rPr>
              <w:t>15</w:t>
            </w:r>
            <w:r>
              <w:rPr>
                <w:bCs/>
                <w:color w:val="auto"/>
                <w:sz w:val="24"/>
              </w:rPr>
              <w:t>（min）；</w:t>
            </w:r>
          </w:p>
          <w:p>
            <w:pPr>
              <w:spacing w:line="480" w:lineRule="atLeast"/>
              <w:ind w:firstLine="1200" w:firstLineChars="500"/>
              <w:rPr>
                <w:bCs/>
                <w:color w:val="auto"/>
                <w:sz w:val="24"/>
              </w:rPr>
            </w:pPr>
            <w:r>
              <w:rPr>
                <w:bCs/>
                <w:color w:val="auto"/>
                <w:sz w:val="24"/>
              </w:rPr>
              <w:t>P—重现期，取2年。</w:t>
            </w:r>
          </w:p>
          <w:p>
            <w:pPr>
              <w:spacing w:line="480" w:lineRule="atLeast"/>
              <w:ind w:firstLine="480" w:firstLineChars="200"/>
              <w:rPr>
                <w:bCs/>
                <w:color w:val="auto"/>
                <w:sz w:val="24"/>
              </w:rPr>
            </w:pPr>
            <w:r>
              <w:rPr>
                <w:bCs/>
                <w:color w:val="auto"/>
                <w:sz w:val="24"/>
              </w:rPr>
              <w:t>计算得q=</w:t>
            </w:r>
            <w:r>
              <w:rPr>
                <w:rFonts w:hint="eastAsia"/>
                <w:bCs/>
                <w:color w:val="auto"/>
                <w:sz w:val="24"/>
              </w:rPr>
              <w:t>169.70</w:t>
            </w:r>
            <w:r>
              <w:rPr>
                <w:bCs/>
                <w:color w:val="auto"/>
                <w:sz w:val="24"/>
              </w:rPr>
              <w:t>L/s·hm</w:t>
            </w:r>
            <w:r>
              <w:rPr>
                <w:bCs/>
                <w:color w:val="auto"/>
                <w:sz w:val="24"/>
                <w:vertAlign w:val="superscript"/>
              </w:rPr>
              <w:t>2</w:t>
            </w:r>
          </w:p>
          <w:p>
            <w:pPr>
              <w:spacing w:line="480" w:lineRule="atLeast"/>
              <w:ind w:firstLine="480" w:firstLineChars="200"/>
              <w:rPr>
                <w:bCs/>
                <w:color w:val="auto"/>
                <w:sz w:val="24"/>
              </w:rPr>
            </w:pPr>
            <w:r>
              <w:rPr>
                <w:bCs/>
                <w:color w:val="auto"/>
                <w:sz w:val="24"/>
              </w:rPr>
              <w:t>雨水设计流量</w:t>
            </w:r>
          </w:p>
          <w:p>
            <w:pPr>
              <w:spacing w:line="480" w:lineRule="atLeast"/>
              <w:jc w:val="center"/>
              <w:rPr>
                <w:bCs/>
                <w:color w:val="auto"/>
                <w:sz w:val="24"/>
              </w:rPr>
            </w:pPr>
            <w:r>
              <w:rPr>
                <w:bCs/>
                <w:color w:val="auto"/>
                <w:sz w:val="24"/>
              </w:rPr>
              <w:t>Q＝φ×q×F</w:t>
            </w:r>
          </w:p>
          <w:p>
            <w:pPr>
              <w:spacing w:line="480" w:lineRule="atLeast"/>
              <w:ind w:firstLine="480" w:firstLineChars="200"/>
              <w:rPr>
                <w:bCs/>
                <w:color w:val="auto"/>
                <w:sz w:val="24"/>
              </w:rPr>
            </w:pPr>
            <w:r>
              <w:rPr>
                <w:bCs/>
                <w:color w:val="auto"/>
                <w:sz w:val="24"/>
              </w:rPr>
              <w:t>式中:φ—径流系数，取0.</w:t>
            </w:r>
            <w:r>
              <w:rPr>
                <w:rFonts w:hint="eastAsia"/>
                <w:bCs/>
                <w:color w:val="auto"/>
                <w:sz w:val="24"/>
              </w:rPr>
              <w:t>9</w:t>
            </w:r>
            <w:r>
              <w:rPr>
                <w:bCs/>
                <w:color w:val="auto"/>
                <w:sz w:val="24"/>
              </w:rPr>
              <w:t>；</w:t>
            </w:r>
          </w:p>
          <w:p>
            <w:pPr>
              <w:spacing w:line="480" w:lineRule="atLeast"/>
              <w:ind w:firstLine="480" w:firstLineChars="200"/>
              <w:rPr>
                <w:bCs/>
                <w:color w:val="auto"/>
                <w:sz w:val="24"/>
              </w:rPr>
            </w:pPr>
            <w:r>
              <w:rPr>
                <w:bCs/>
                <w:color w:val="auto"/>
                <w:sz w:val="24"/>
              </w:rPr>
              <w:t xml:space="preserve">     q—暴雨强度（</w:t>
            </w:r>
            <w:r>
              <w:rPr>
                <w:rFonts w:hint="eastAsia"/>
                <w:bCs/>
                <w:color w:val="auto"/>
                <w:sz w:val="24"/>
              </w:rPr>
              <w:t>138.52</w:t>
            </w:r>
            <w:r>
              <w:rPr>
                <w:bCs/>
                <w:color w:val="auto"/>
                <w:sz w:val="24"/>
              </w:rPr>
              <w:t>L/s·hm</w:t>
            </w:r>
            <w:r>
              <w:rPr>
                <w:bCs/>
                <w:color w:val="auto"/>
                <w:sz w:val="24"/>
                <w:vertAlign w:val="superscript"/>
              </w:rPr>
              <w:t>2</w:t>
            </w:r>
            <w:r>
              <w:rPr>
                <w:bCs/>
                <w:color w:val="auto"/>
                <w:sz w:val="24"/>
              </w:rPr>
              <w:t>）；</w:t>
            </w:r>
          </w:p>
          <w:p>
            <w:pPr>
              <w:spacing w:line="480" w:lineRule="atLeast"/>
              <w:ind w:firstLine="1080" w:firstLineChars="450"/>
              <w:rPr>
                <w:bCs/>
                <w:color w:val="auto"/>
                <w:sz w:val="24"/>
              </w:rPr>
            </w:pPr>
            <w:r>
              <w:rPr>
                <w:bCs/>
                <w:color w:val="auto"/>
                <w:sz w:val="24"/>
              </w:rPr>
              <w:t>F—汇水面积，</w:t>
            </w:r>
            <w:r>
              <w:rPr>
                <w:rFonts w:hint="eastAsia"/>
                <w:bCs/>
                <w:color w:val="auto"/>
                <w:sz w:val="24"/>
                <w:lang w:val="en-US" w:eastAsia="zh-CN"/>
              </w:rPr>
              <w:t>74550.5</w:t>
            </w:r>
            <w:r>
              <w:rPr>
                <w:bCs/>
                <w:color w:val="auto"/>
                <w:sz w:val="24"/>
              </w:rPr>
              <w:t>m</w:t>
            </w:r>
            <w:r>
              <w:rPr>
                <w:bCs/>
                <w:color w:val="auto"/>
                <w:sz w:val="24"/>
                <w:vertAlign w:val="superscript"/>
              </w:rPr>
              <w:t>2</w:t>
            </w:r>
            <w:r>
              <w:rPr>
                <w:bCs/>
                <w:color w:val="auto"/>
                <w:sz w:val="24"/>
              </w:rPr>
              <w:t>。</w:t>
            </w:r>
          </w:p>
          <w:p>
            <w:pPr>
              <w:spacing w:line="480" w:lineRule="atLeast"/>
              <w:ind w:firstLine="480" w:firstLineChars="200"/>
              <w:rPr>
                <w:color w:val="auto"/>
                <w:kern w:val="0"/>
                <w:sz w:val="24"/>
              </w:rPr>
            </w:pPr>
            <w:r>
              <w:rPr>
                <w:rFonts w:hint="eastAsia"/>
                <w:bCs/>
                <w:color w:val="auto"/>
                <w:sz w:val="24"/>
              </w:rPr>
              <w:t>经计算，初期雨水量为</w:t>
            </w:r>
            <w:r>
              <w:rPr>
                <w:rFonts w:hint="eastAsia"/>
                <w:bCs/>
                <w:color w:val="auto"/>
                <w:sz w:val="24"/>
                <w:lang w:val="en-US" w:eastAsia="zh-CN"/>
              </w:rPr>
              <w:t>836.5</w:t>
            </w:r>
            <w:r>
              <w:rPr>
                <w:rFonts w:hint="eastAsia"/>
                <w:bCs/>
                <w:color w:val="auto"/>
                <w:sz w:val="24"/>
              </w:rPr>
              <w:t>m</w:t>
            </w:r>
            <w:r>
              <w:rPr>
                <w:rFonts w:hint="eastAsia"/>
                <w:bCs/>
                <w:color w:val="auto"/>
                <w:sz w:val="24"/>
                <w:vertAlign w:val="superscript"/>
              </w:rPr>
              <w:t>3</w:t>
            </w:r>
            <w:r>
              <w:rPr>
                <w:rFonts w:hint="eastAsia"/>
                <w:bCs/>
                <w:color w:val="auto"/>
                <w:sz w:val="24"/>
              </w:rPr>
              <w:t>。建设单位</w:t>
            </w:r>
            <w:r>
              <w:rPr>
                <w:rFonts w:hint="eastAsia"/>
                <w:bCs/>
                <w:color w:val="auto"/>
                <w:sz w:val="24"/>
                <w:lang w:val="en-US" w:eastAsia="zh-CN"/>
              </w:rPr>
              <w:t>拟在厂区东南设1个865m</w:t>
            </w:r>
            <w:r>
              <w:rPr>
                <w:rFonts w:hint="eastAsia"/>
                <w:bCs/>
                <w:color w:val="auto"/>
                <w:sz w:val="24"/>
                <w:vertAlign w:val="superscript"/>
                <w:lang w:val="en-US" w:eastAsia="zh-CN"/>
              </w:rPr>
              <w:t>3</w:t>
            </w:r>
            <w:r>
              <w:rPr>
                <w:rFonts w:hint="eastAsia"/>
                <w:bCs/>
                <w:color w:val="auto"/>
                <w:sz w:val="24"/>
                <w:lang w:val="en-US" w:eastAsia="zh-CN"/>
              </w:rPr>
              <w:t>初期雨水收集池，能够满足</w:t>
            </w:r>
            <w:r>
              <w:rPr>
                <w:rFonts w:hint="eastAsia"/>
                <w:bCs/>
                <w:color w:val="auto"/>
                <w:sz w:val="24"/>
              </w:rPr>
              <w:t>初期雨水储存要求。</w:t>
            </w:r>
          </w:p>
          <w:p>
            <w:pPr>
              <w:spacing w:before="120" w:beforeLines="50" w:line="360" w:lineRule="auto"/>
              <w:ind w:firstLine="241" w:firstLineChars="100"/>
              <w:rPr>
                <w:b/>
                <w:bCs/>
                <w:color w:val="auto"/>
                <w:sz w:val="24"/>
              </w:rPr>
            </w:pPr>
            <w:r>
              <w:rPr>
                <w:b/>
                <w:bCs/>
                <w:color w:val="auto"/>
                <w:sz w:val="24"/>
              </w:rPr>
              <w:t>（2）废水</w:t>
            </w:r>
            <w:r>
              <w:rPr>
                <w:rFonts w:hint="eastAsia"/>
                <w:b/>
                <w:bCs/>
                <w:color w:val="auto"/>
                <w:sz w:val="24"/>
              </w:rPr>
              <w:t>治理设施</w:t>
            </w:r>
          </w:p>
          <w:p>
            <w:pPr>
              <w:spacing w:line="360" w:lineRule="auto"/>
              <w:ind w:firstLine="480" w:firstLineChars="200"/>
              <w:rPr>
                <w:color w:val="auto"/>
                <w:sz w:val="24"/>
              </w:rPr>
            </w:pPr>
            <w:r>
              <w:rPr>
                <w:rFonts w:hint="eastAsia"/>
                <w:color w:val="auto"/>
                <w:sz w:val="24"/>
              </w:rPr>
              <w:t>1）石墨电极冷却循环水：</w:t>
            </w:r>
          </w:p>
          <w:p>
            <w:pPr>
              <w:spacing w:line="360" w:lineRule="auto"/>
              <w:ind w:firstLine="480" w:firstLineChars="200"/>
              <w:rPr>
                <w:color w:val="auto"/>
                <w:sz w:val="24"/>
              </w:rPr>
            </w:pPr>
            <w:r>
              <w:rPr>
                <w:rFonts w:hint="eastAsia"/>
                <w:color w:val="auto"/>
                <w:sz w:val="24"/>
              </w:rPr>
              <w:t>针对石墨电极冷却循环水，设置一个隔油沉淀池，循环水经隔油、沉淀处理后回用，不外排。</w:t>
            </w:r>
          </w:p>
          <w:p>
            <w:pPr>
              <w:spacing w:line="360" w:lineRule="auto"/>
              <w:ind w:firstLine="480" w:firstLineChars="200"/>
              <w:rPr>
                <w:color w:val="auto"/>
                <w:sz w:val="24"/>
              </w:rPr>
            </w:pPr>
            <w:r>
              <w:rPr>
                <w:rFonts w:hint="eastAsia"/>
                <w:color w:val="auto"/>
                <w:sz w:val="24"/>
              </w:rPr>
              <w:t>2）脱硫废水</w:t>
            </w:r>
          </w:p>
          <w:p>
            <w:pPr>
              <w:pStyle w:val="2"/>
              <w:spacing w:after="0" w:line="360" w:lineRule="auto"/>
              <w:ind w:left="0" w:leftChars="0" w:firstLine="482" w:firstLineChars="0"/>
              <w:rPr>
                <w:color w:val="auto"/>
                <w:sz w:val="24"/>
              </w:rPr>
            </w:pPr>
            <w:r>
              <w:rPr>
                <w:rFonts w:hint="eastAsia"/>
                <w:color w:val="auto"/>
                <w:sz w:val="24"/>
              </w:rPr>
              <w:t>脱硫废水设1套脱硫废水处理系统，采用“pH调节+ 絮凝沉淀”处理工艺，</w:t>
            </w:r>
            <w:r>
              <w:rPr>
                <w:rFonts w:hint="eastAsia"/>
                <w:color w:val="auto"/>
                <w:sz w:val="24"/>
                <w:lang w:val="en-US" w:eastAsia="zh-CN"/>
              </w:rPr>
              <w:t>处理规模为5m</w:t>
            </w:r>
            <w:r>
              <w:rPr>
                <w:rFonts w:hint="eastAsia"/>
                <w:color w:val="auto"/>
                <w:sz w:val="24"/>
                <w:vertAlign w:val="superscript"/>
                <w:lang w:val="en-US" w:eastAsia="zh-CN"/>
              </w:rPr>
              <w:t>3</w:t>
            </w:r>
            <w:r>
              <w:rPr>
                <w:rFonts w:hint="eastAsia"/>
                <w:color w:val="auto"/>
                <w:sz w:val="24"/>
                <w:lang w:val="en-US" w:eastAsia="zh-CN"/>
              </w:rPr>
              <w:t>/h，采取絮凝沉淀方式能够将废水中的Ca</w:t>
            </w:r>
            <w:r>
              <w:rPr>
                <w:rFonts w:hint="eastAsia"/>
                <w:color w:val="auto"/>
                <w:sz w:val="24"/>
                <w:vertAlign w:val="superscript"/>
                <w:lang w:val="en-US" w:eastAsia="zh-CN"/>
              </w:rPr>
              <w:t>2+</w:t>
            </w:r>
            <w:r>
              <w:rPr>
                <w:rFonts w:hint="eastAsia"/>
                <w:color w:val="auto"/>
                <w:sz w:val="24"/>
                <w:lang w:val="en-US" w:eastAsia="zh-CN"/>
              </w:rPr>
              <w:t>沉淀，从而达到净化脱硫废水的目的。</w:t>
            </w:r>
            <w:r>
              <w:rPr>
                <w:rFonts w:hint="eastAsia"/>
                <w:color w:val="auto"/>
                <w:sz w:val="24"/>
              </w:rPr>
              <w:t>废水处理后回用于脱硫系统补水，不外排。</w:t>
            </w:r>
          </w:p>
          <w:p>
            <w:pPr>
              <w:pStyle w:val="2"/>
              <w:spacing w:after="0" w:line="360" w:lineRule="auto"/>
              <w:ind w:left="0" w:leftChars="0" w:firstLine="482" w:firstLineChars="0"/>
              <w:rPr>
                <w:color w:val="auto"/>
                <w:sz w:val="24"/>
              </w:rPr>
            </w:pPr>
            <w:r>
              <w:rPr>
                <w:rFonts w:hint="eastAsia"/>
                <w:color w:val="auto"/>
                <w:sz w:val="24"/>
              </w:rPr>
              <w:t>3）生活污水</w:t>
            </w:r>
          </w:p>
          <w:p>
            <w:pPr>
              <w:pStyle w:val="2"/>
              <w:spacing w:after="0" w:line="360" w:lineRule="auto"/>
              <w:ind w:left="0" w:leftChars="0" w:firstLine="482" w:firstLineChars="0"/>
              <w:rPr>
                <w:color w:val="auto"/>
                <w:sz w:val="24"/>
              </w:rPr>
            </w:pPr>
            <w:r>
              <w:rPr>
                <w:rFonts w:hint="eastAsia"/>
                <w:color w:val="auto"/>
                <w:sz w:val="24"/>
              </w:rPr>
              <w:t>项目办公区生活污水排入化粪池，再进入园区市政污水管网，最终进入大同市御东污水处理厂处理。</w:t>
            </w:r>
          </w:p>
          <w:p>
            <w:pPr>
              <w:pStyle w:val="2"/>
              <w:spacing w:after="0" w:line="360" w:lineRule="auto"/>
              <w:ind w:left="0" w:leftChars="0" w:firstLine="482" w:firstLineChars="0"/>
              <w:rPr>
                <w:color w:val="auto"/>
                <w:sz w:val="24"/>
              </w:rPr>
            </w:pPr>
            <w:r>
              <w:rPr>
                <w:rFonts w:hint="eastAsia"/>
                <w:color w:val="auto"/>
                <w:sz w:val="24"/>
              </w:rPr>
              <w:t>4）初期雨水</w:t>
            </w:r>
          </w:p>
          <w:p>
            <w:pPr>
              <w:pStyle w:val="2"/>
              <w:spacing w:after="0" w:line="360" w:lineRule="auto"/>
              <w:ind w:left="0" w:leftChars="0" w:firstLine="482" w:firstLineChars="0"/>
              <w:rPr>
                <w:color w:val="auto"/>
                <w:sz w:val="24"/>
              </w:rPr>
            </w:pPr>
            <w:r>
              <w:rPr>
                <w:rFonts w:hint="eastAsia"/>
                <w:color w:val="auto"/>
                <w:sz w:val="24"/>
              </w:rPr>
              <w:t>项目初期雨水经初期雨水收集池收集后沉淀处理，最终回用于炭块儿电极冷却，初期雨水不外排。</w:t>
            </w:r>
          </w:p>
          <w:p>
            <w:pPr>
              <w:pStyle w:val="2"/>
              <w:spacing w:after="0" w:line="360" w:lineRule="auto"/>
              <w:ind w:left="0" w:leftChars="0" w:firstLine="482" w:firstLineChars="0"/>
              <w:rPr>
                <w:color w:val="auto"/>
                <w:sz w:val="24"/>
              </w:rPr>
            </w:pPr>
            <w:r>
              <w:rPr>
                <w:rFonts w:hint="eastAsia"/>
                <w:color w:val="auto"/>
                <w:sz w:val="24"/>
              </w:rPr>
              <w:t>5）技术可行性分析</w:t>
            </w:r>
          </w:p>
          <w:p>
            <w:pPr>
              <w:pStyle w:val="2"/>
              <w:spacing w:after="0" w:line="360" w:lineRule="auto"/>
              <w:ind w:left="0" w:leftChars="0" w:firstLine="482" w:firstLineChars="0"/>
              <w:rPr>
                <w:color w:val="auto"/>
                <w:sz w:val="24"/>
              </w:rPr>
            </w:pPr>
            <w:r>
              <w:rPr>
                <w:rFonts w:hint="eastAsia"/>
                <w:color w:val="auto"/>
                <w:sz w:val="24"/>
              </w:rPr>
              <w:t>根据《排污许可证申请与核发技术规范 石墨及其他非金属矿物制品制造》（HJ1119-2020）中附录A表A.6石墨、碳素制品生产排污单位废水污染防治可行技术参考表，项目生活污水处理技术可行性分析如下表所示：</w:t>
            </w:r>
          </w:p>
          <w:p>
            <w:pPr>
              <w:jc w:val="center"/>
              <w:rPr>
                <w:b/>
                <w:bCs/>
                <w:color w:val="auto"/>
                <w:sz w:val="24"/>
              </w:rPr>
            </w:pPr>
            <w:r>
              <w:rPr>
                <w:rFonts w:hint="eastAsia"/>
                <w:b/>
                <w:bCs/>
                <w:color w:val="auto"/>
                <w:sz w:val="24"/>
              </w:rPr>
              <w:t>表</w:t>
            </w:r>
            <w:r>
              <w:rPr>
                <w:rFonts w:hint="eastAsia"/>
                <w:b/>
                <w:bCs/>
                <w:color w:val="auto"/>
                <w:sz w:val="24"/>
                <w:lang w:val="en-US" w:eastAsia="zh-CN"/>
              </w:rPr>
              <w:t xml:space="preserve">32 </w:t>
            </w:r>
            <w:r>
              <w:rPr>
                <w:rFonts w:hint="eastAsia"/>
                <w:b/>
                <w:bCs/>
                <w:color w:val="auto"/>
                <w:sz w:val="24"/>
              </w:rPr>
              <w:t>生活污水处理技术可行性分析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536"/>
              <w:gridCol w:w="1010"/>
              <w:gridCol w:w="1352"/>
              <w:gridCol w:w="126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pPr>
                    <w:pStyle w:val="2"/>
                    <w:spacing w:after="0"/>
                    <w:ind w:left="0" w:leftChars="0" w:firstLine="0" w:firstLineChars="0"/>
                    <w:jc w:val="center"/>
                    <w:rPr>
                      <w:color w:val="auto"/>
                    </w:rPr>
                  </w:pPr>
                  <w:r>
                    <w:rPr>
                      <w:rFonts w:hint="eastAsia"/>
                      <w:color w:val="auto"/>
                    </w:rPr>
                    <w:t>污水类别</w:t>
                  </w:r>
                </w:p>
              </w:tc>
              <w:tc>
                <w:tcPr>
                  <w:tcW w:w="1587" w:type="dxa"/>
                  <w:vAlign w:val="center"/>
                </w:tcPr>
                <w:p>
                  <w:pPr>
                    <w:pStyle w:val="2"/>
                    <w:spacing w:after="0"/>
                    <w:ind w:left="0" w:leftChars="0" w:firstLine="0" w:firstLineChars="0"/>
                    <w:jc w:val="center"/>
                    <w:rPr>
                      <w:color w:val="auto"/>
                    </w:rPr>
                  </w:pPr>
                  <w:r>
                    <w:rPr>
                      <w:rFonts w:hint="eastAsia"/>
                      <w:color w:val="auto"/>
                    </w:rPr>
                    <w:t>污染物种类</w:t>
                  </w:r>
                </w:p>
              </w:tc>
              <w:tc>
                <w:tcPr>
                  <w:tcW w:w="1043" w:type="dxa"/>
                  <w:vAlign w:val="center"/>
                </w:tcPr>
                <w:p>
                  <w:pPr>
                    <w:pStyle w:val="2"/>
                    <w:spacing w:after="0"/>
                    <w:ind w:left="0" w:leftChars="0" w:firstLine="0" w:firstLineChars="0"/>
                    <w:jc w:val="center"/>
                    <w:rPr>
                      <w:color w:val="auto"/>
                    </w:rPr>
                  </w:pPr>
                  <w:r>
                    <w:rPr>
                      <w:rFonts w:hint="eastAsia"/>
                      <w:color w:val="auto"/>
                    </w:rPr>
                    <w:t>排放去向</w:t>
                  </w:r>
                </w:p>
              </w:tc>
              <w:tc>
                <w:tcPr>
                  <w:tcW w:w="1352" w:type="dxa"/>
                  <w:vAlign w:val="center"/>
                </w:tcPr>
                <w:p>
                  <w:pPr>
                    <w:pStyle w:val="2"/>
                    <w:spacing w:after="0"/>
                    <w:ind w:left="0" w:leftChars="0" w:firstLine="0" w:firstLineChars="0"/>
                    <w:jc w:val="center"/>
                    <w:rPr>
                      <w:color w:val="auto"/>
                    </w:rPr>
                  </w:pPr>
                  <w:r>
                    <w:rPr>
                      <w:rFonts w:hint="eastAsia"/>
                      <w:color w:val="auto"/>
                    </w:rPr>
                    <w:t>HJ1105-2020规定的可行技术</w:t>
                  </w:r>
                </w:p>
              </w:tc>
              <w:tc>
                <w:tcPr>
                  <w:tcW w:w="1317" w:type="dxa"/>
                  <w:vAlign w:val="center"/>
                </w:tcPr>
                <w:p>
                  <w:pPr>
                    <w:pStyle w:val="2"/>
                    <w:spacing w:after="0"/>
                    <w:ind w:left="0" w:leftChars="0" w:firstLine="0" w:firstLineChars="0"/>
                    <w:jc w:val="center"/>
                    <w:rPr>
                      <w:color w:val="auto"/>
                    </w:rPr>
                  </w:pPr>
                  <w:r>
                    <w:rPr>
                      <w:rFonts w:hint="eastAsia"/>
                      <w:color w:val="auto"/>
                    </w:rPr>
                    <w:t>本项目措施</w:t>
                  </w:r>
                </w:p>
              </w:tc>
              <w:tc>
                <w:tcPr>
                  <w:tcW w:w="1317" w:type="dxa"/>
                  <w:vAlign w:val="center"/>
                </w:tcPr>
                <w:p>
                  <w:pPr>
                    <w:pStyle w:val="2"/>
                    <w:spacing w:after="0"/>
                    <w:ind w:left="0" w:leftChars="0" w:firstLine="0" w:firstLineChars="0"/>
                    <w:jc w:val="center"/>
                    <w:rPr>
                      <w:color w:val="auto"/>
                    </w:rPr>
                  </w:pPr>
                  <w:r>
                    <w:rPr>
                      <w:rFonts w:hint="eastAsia"/>
                      <w:color w:val="auto"/>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pPr>
                    <w:pStyle w:val="2"/>
                    <w:spacing w:after="0"/>
                    <w:ind w:left="0" w:leftChars="0" w:firstLine="0" w:firstLineChars="0"/>
                    <w:jc w:val="center"/>
                    <w:rPr>
                      <w:color w:val="auto"/>
                    </w:rPr>
                  </w:pPr>
                  <w:r>
                    <w:rPr>
                      <w:rFonts w:hint="eastAsia"/>
                      <w:color w:val="auto"/>
                    </w:rPr>
                    <w:t>生活污水</w:t>
                  </w:r>
                </w:p>
              </w:tc>
              <w:tc>
                <w:tcPr>
                  <w:tcW w:w="1587" w:type="dxa"/>
                  <w:vAlign w:val="center"/>
                </w:tcPr>
                <w:p>
                  <w:pPr>
                    <w:pStyle w:val="2"/>
                    <w:spacing w:after="0"/>
                    <w:ind w:left="0" w:leftChars="0" w:firstLine="0" w:firstLineChars="0"/>
                    <w:jc w:val="center"/>
                    <w:rPr>
                      <w:color w:val="auto"/>
                    </w:rPr>
                  </w:pPr>
                  <w:r>
                    <w:rPr>
                      <w:rFonts w:hint="eastAsia"/>
                      <w:color w:val="auto"/>
                    </w:rPr>
                    <w:t>化学需氧量、氨氮、悬浮物、五日生化需氧量等</w:t>
                  </w:r>
                </w:p>
              </w:tc>
              <w:tc>
                <w:tcPr>
                  <w:tcW w:w="1043" w:type="dxa"/>
                  <w:vAlign w:val="center"/>
                </w:tcPr>
                <w:p>
                  <w:pPr>
                    <w:pStyle w:val="2"/>
                    <w:spacing w:after="0"/>
                    <w:ind w:left="0" w:leftChars="0" w:firstLine="0" w:firstLineChars="0"/>
                    <w:jc w:val="center"/>
                    <w:rPr>
                      <w:color w:val="auto"/>
                    </w:rPr>
                  </w:pPr>
                  <w:r>
                    <w:rPr>
                      <w:rFonts w:hint="eastAsia"/>
                      <w:color w:val="auto"/>
                    </w:rPr>
                    <w:t>排入城镇污水处理厂</w:t>
                  </w:r>
                </w:p>
              </w:tc>
              <w:tc>
                <w:tcPr>
                  <w:tcW w:w="1352" w:type="dxa"/>
                  <w:vAlign w:val="center"/>
                </w:tcPr>
                <w:p>
                  <w:pPr>
                    <w:pStyle w:val="2"/>
                    <w:spacing w:after="0"/>
                    <w:ind w:left="0" w:leftChars="0" w:firstLine="0" w:firstLineChars="0"/>
                    <w:jc w:val="center"/>
                    <w:rPr>
                      <w:color w:val="auto"/>
                    </w:rPr>
                  </w:pPr>
                  <w:r>
                    <w:rPr>
                      <w:rFonts w:hint="eastAsia"/>
                      <w:color w:val="auto"/>
                    </w:rPr>
                    <w:t>化粪池、生化法</w:t>
                  </w:r>
                </w:p>
              </w:tc>
              <w:tc>
                <w:tcPr>
                  <w:tcW w:w="1317" w:type="dxa"/>
                  <w:vAlign w:val="center"/>
                </w:tcPr>
                <w:p>
                  <w:pPr>
                    <w:pStyle w:val="2"/>
                    <w:spacing w:after="0"/>
                    <w:ind w:left="0" w:leftChars="0" w:firstLine="0" w:firstLineChars="0"/>
                    <w:jc w:val="center"/>
                    <w:rPr>
                      <w:color w:val="auto"/>
                    </w:rPr>
                  </w:pPr>
                  <w:r>
                    <w:rPr>
                      <w:rFonts w:hint="eastAsia"/>
                      <w:color w:val="auto"/>
                    </w:rPr>
                    <w:t>化粪池</w:t>
                  </w:r>
                </w:p>
              </w:tc>
              <w:tc>
                <w:tcPr>
                  <w:tcW w:w="1317" w:type="dxa"/>
                  <w:vAlign w:val="center"/>
                </w:tcPr>
                <w:p>
                  <w:pPr>
                    <w:pStyle w:val="2"/>
                    <w:spacing w:after="0"/>
                    <w:ind w:left="0" w:leftChars="0" w:firstLine="0" w:firstLineChars="0"/>
                    <w:jc w:val="center"/>
                    <w:rPr>
                      <w:color w:val="auto"/>
                    </w:rPr>
                  </w:pPr>
                  <w:r>
                    <w:rPr>
                      <w:rFonts w:hint="eastAsia"/>
                      <w:color w:val="auto"/>
                    </w:rPr>
                    <w:t>为可行技术</w:t>
                  </w:r>
                </w:p>
              </w:tc>
            </w:tr>
          </w:tbl>
          <w:p>
            <w:pPr>
              <w:pStyle w:val="2"/>
              <w:spacing w:after="0" w:line="360" w:lineRule="auto"/>
              <w:ind w:left="0" w:leftChars="0" w:firstLine="0" w:firstLineChars="0"/>
              <w:rPr>
                <w:color w:val="auto"/>
              </w:rPr>
            </w:pPr>
            <w:r>
              <w:rPr>
                <w:rFonts w:hint="eastAsia"/>
                <w:color w:val="auto"/>
              </w:rPr>
              <w:t xml:space="preserve"> </w:t>
            </w:r>
            <w:r>
              <w:rPr>
                <w:rFonts w:hint="eastAsia"/>
                <w:color w:val="auto"/>
                <w:sz w:val="24"/>
              </w:rPr>
              <w:t xml:space="preserve">   对比分析可知，项目生活污水处理技术为排污许可技术规范中可行技术。</w:t>
            </w:r>
          </w:p>
          <w:p>
            <w:pPr>
              <w:pStyle w:val="2"/>
              <w:spacing w:after="0" w:line="360" w:lineRule="auto"/>
              <w:ind w:left="0" w:leftChars="0" w:firstLine="240" w:firstLineChars="100"/>
              <w:rPr>
                <w:color w:val="auto"/>
                <w:sz w:val="24"/>
              </w:rPr>
            </w:pPr>
            <w:r>
              <w:rPr>
                <w:rFonts w:hint="eastAsia"/>
                <w:color w:val="auto"/>
                <w:sz w:val="24"/>
              </w:rPr>
              <w:t>（3）废水排放情况汇总表</w:t>
            </w:r>
          </w:p>
          <w:p>
            <w:pPr>
              <w:pStyle w:val="2"/>
              <w:ind w:left="0" w:leftChars="0" w:firstLine="0" w:firstLineChars="0"/>
              <w:rPr>
                <w:color w:val="auto"/>
                <w:sz w:val="24"/>
              </w:rPr>
            </w:pPr>
            <w:r>
              <w:rPr>
                <w:rFonts w:hint="eastAsia"/>
                <w:color w:val="auto"/>
                <w:sz w:val="24"/>
              </w:rPr>
              <w:t xml:space="preserve">    项目生产废水全部回用，不外排。</w:t>
            </w:r>
          </w:p>
          <w:p>
            <w:pPr>
              <w:pStyle w:val="2"/>
              <w:ind w:left="0" w:leftChars="0" w:firstLine="480"/>
              <w:rPr>
                <w:color w:val="auto"/>
                <w:sz w:val="24"/>
              </w:rPr>
            </w:pPr>
            <w:r>
              <w:rPr>
                <w:rFonts w:hint="eastAsia"/>
                <w:color w:val="auto"/>
                <w:sz w:val="24"/>
              </w:rPr>
              <w:t>生活污水排放情况具体如下表所示：</w:t>
            </w:r>
          </w:p>
          <w:p>
            <w:pPr>
              <w:jc w:val="center"/>
              <w:rPr>
                <w:b/>
                <w:bCs/>
                <w:color w:val="auto"/>
              </w:rPr>
            </w:pPr>
            <w:r>
              <w:rPr>
                <w:rFonts w:hint="eastAsia"/>
                <w:b/>
                <w:bCs/>
                <w:color w:val="auto"/>
                <w:sz w:val="24"/>
              </w:rPr>
              <w:t>表</w:t>
            </w:r>
            <w:r>
              <w:rPr>
                <w:rFonts w:hint="eastAsia"/>
                <w:b/>
                <w:bCs/>
                <w:color w:val="auto"/>
                <w:sz w:val="24"/>
                <w:lang w:val="en-US" w:eastAsia="zh-CN"/>
              </w:rPr>
              <w:t>33</w:t>
            </w:r>
            <w:r>
              <w:rPr>
                <w:rFonts w:hint="eastAsia"/>
                <w:b/>
                <w:bCs/>
                <w:color w:val="auto"/>
                <w:sz w:val="24"/>
              </w:rPr>
              <w:t>项目废水排放情况一览表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064"/>
              <w:gridCol w:w="1182"/>
              <w:gridCol w:w="1273"/>
              <w:gridCol w:w="732"/>
              <w:gridCol w:w="126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2" w:type="dxa"/>
                  <w:tcBorders>
                    <w:tl2br w:val="nil"/>
                    <w:tr2bl w:val="nil"/>
                  </w:tcBorders>
                  <w:vAlign w:val="center"/>
                </w:tcPr>
                <w:p>
                  <w:pPr>
                    <w:jc w:val="center"/>
                    <w:rPr>
                      <w:color w:val="auto"/>
                    </w:rPr>
                  </w:pPr>
                  <w:r>
                    <w:rPr>
                      <w:color w:val="auto"/>
                    </w:rPr>
                    <w:t>种类</w:t>
                  </w:r>
                </w:p>
              </w:tc>
              <w:tc>
                <w:tcPr>
                  <w:tcW w:w="1086" w:type="dxa"/>
                  <w:tcBorders>
                    <w:tl2br w:val="nil"/>
                    <w:tr2bl w:val="nil"/>
                  </w:tcBorders>
                  <w:vAlign w:val="center"/>
                </w:tcPr>
                <w:p>
                  <w:pPr>
                    <w:jc w:val="center"/>
                    <w:rPr>
                      <w:color w:val="auto"/>
                    </w:rPr>
                  </w:pPr>
                  <w:r>
                    <w:rPr>
                      <w:color w:val="auto"/>
                    </w:rPr>
                    <w:t>污染物</w:t>
                  </w:r>
                </w:p>
              </w:tc>
              <w:tc>
                <w:tcPr>
                  <w:tcW w:w="1200" w:type="dxa"/>
                  <w:tcBorders>
                    <w:tl2br w:val="nil"/>
                    <w:tr2bl w:val="nil"/>
                  </w:tcBorders>
                  <w:vAlign w:val="center"/>
                </w:tcPr>
                <w:p>
                  <w:pPr>
                    <w:jc w:val="center"/>
                    <w:rPr>
                      <w:color w:val="auto"/>
                    </w:rPr>
                  </w:pPr>
                  <w:r>
                    <w:rPr>
                      <w:color w:val="auto"/>
                    </w:rPr>
                    <w:t>产生浓度</w:t>
                  </w:r>
                </w:p>
              </w:tc>
              <w:tc>
                <w:tcPr>
                  <w:tcW w:w="1308" w:type="dxa"/>
                  <w:tcBorders>
                    <w:tl2br w:val="nil"/>
                    <w:tr2bl w:val="nil"/>
                  </w:tcBorders>
                  <w:vAlign w:val="center"/>
                </w:tcPr>
                <w:p>
                  <w:pPr>
                    <w:jc w:val="center"/>
                    <w:rPr>
                      <w:color w:val="auto"/>
                    </w:rPr>
                  </w:pPr>
                  <w:r>
                    <w:rPr>
                      <w:color w:val="auto"/>
                    </w:rPr>
                    <w:t>产生量</w:t>
                  </w:r>
                </w:p>
              </w:tc>
              <w:tc>
                <w:tcPr>
                  <w:tcW w:w="760" w:type="dxa"/>
                  <w:tcBorders>
                    <w:tl2br w:val="nil"/>
                    <w:tr2bl w:val="nil"/>
                  </w:tcBorders>
                  <w:vAlign w:val="center"/>
                </w:tcPr>
                <w:p>
                  <w:pPr>
                    <w:jc w:val="center"/>
                    <w:rPr>
                      <w:color w:val="auto"/>
                    </w:rPr>
                  </w:pPr>
                  <w:r>
                    <w:rPr>
                      <w:color w:val="auto"/>
                    </w:rPr>
                    <w:t>效率</w:t>
                  </w:r>
                </w:p>
                <w:p>
                  <w:pPr>
                    <w:jc w:val="center"/>
                    <w:rPr>
                      <w:color w:val="auto"/>
                    </w:rPr>
                  </w:pPr>
                  <w:r>
                    <w:rPr>
                      <w:rFonts w:hint="eastAsia"/>
                      <w:color w:val="auto"/>
                    </w:rPr>
                    <w:t>%</w:t>
                  </w:r>
                </w:p>
              </w:tc>
              <w:tc>
                <w:tcPr>
                  <w:tcW w:w="1287" w:type="dxa"/>
                  <w:tcBorders>
                    <w:tl2br w:val="nil"/>
                    <w:tr2bl w:val="nil"/>
                  </w:tcBorders>
                  <w:vAlign w:val="center"/>
                </w:tcPr>
                <w:p>
                  <w:pPr>
                    <w:jc w:val="center"/>
                    <w:rPr>
                      <w:color w:val="auto"/>
                    </w:rPr>
                  </w:pPr>
                  <w:r>
                    <w:rPr>
                      <w:color w:val="auto"/>
                    </w:rPr>
                    <w:t>排放浓度</w:t>
                  </w:r>
                </w:p>
              </w:tc>
              <w:tc>
                <w:tcPr>
                  <w:tcW w:w="1649" w:type="dxa"/>
                  <w:tcBorders>
                    <w:tl2br w:val="nil"/>
                    <w:tr2bl w:val="nil"/>
                  </w:tcBorders>
                  <w:vAlign w:val="center"/>
                </w:tcPr>
                <w:p>
                  <w:pPr>
                    <w:jc w:val="center"/>
                    <w:rPr>
                      <w:color w:val="auto"/>
                    </w:rPr>
                  </w:pPr>
                  <w:r>
                    <w:rPr>
                      <w:color w:val="auto"/>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vMerge w:val="restart"/>
                  <w:tcBorders>
                    <w:tl2br w:val="nil"/>
                    <w:tr2bl w:val="nil"/>
                  </w:tcBorders>
                  <w:vAlign w:val="center"/>
                </w:tcPr>
                <w:p>
                  <w:pPr>
                    <w:jc w:val="center"/>
                    <w:rPr>
                      <w:color w:val="auto"/>
                    </w:rPr>
                  </w:pPr>
                  <w:r>
                    <w:rPr>
                      <w:rFonts w:hint="eastAsia"/>
                      <w:color w:val="auto"/>
                    </w:rPr>
                    <w:t>生活污水</w:t>
                  </w:r>
                </w:p>
              </w:tc>
              <w:tc>
                <w:tcPr>
                  <w:tcW w:w="1086" w:type="dxa"/>
                  <w:tcBorders>
                    <w:tl2br w:val="nil"/>
                    <w:tr2bl w:val="nil"/>
                  </w:tcBorders>
                  <w:vAlign w:val="center"/>
                </w:tcPr>
                <w:p>
                  <w:pPr>
                    <w:jc w:val="center"/>
                    <w:rPr>
                      <w:color w:val="auto"/>
                    </w:rPr>
                  </w:pPr>
                  <w:r>
                    <w:rPr>
                      <w:color w:val="auto"/>
                    </w:rPr>
                    <w:t>废水量</w:t>
                  </w:r>
                </w:p>
              </w:tc>
              <w:tc>
                <w:tcPr>
                  <w:tcW w:w="1200" w:type="dxa"/>
                  <w:tcBorders>
                    <w:tl2br w:val="nil"/>
                    <w:tr2bl w:val="nil"/>
                  </w:tcBorders>
                  <w:vAlign w:val="center"/>
                </w:tcPr>
                <w:p>
                  <w:pPr>
                    <w:jc w:val="center"/>
                    <w:rPr>
                      <w:color w:val="auto"/>
                    </w:rPr>
                  </w:pPr>
                  <w:r>
                    <w:rPr>
                      <w:color w:val="auto"/>
                    </w:rPr>
                    <w:t>—</w:t>
                  </w:r>
                </w:p>
              </w:tc>
              <w:tc>
                <w:tcPr>
                  <w:tcW w:w="1308" w:type="dxa"/>
                  <w:tcBorders>
                    <w:tl2br w:val="nil"/>
                    <w:tr2bl w:val="nil"/>
                  </w:tcBorders>
                  <w:vAlign w:val="center"/>
                </w:tcPr>
                <w:p>
                  <w:pPr>
                    <w:jc w:val="center"/>
                    <w:rPr>
                      <w:color w:val="auto"/>
                    </w:rPr>
                  </w:pPr>
                  <w:r>
                    <w:rPr>
                      <w:rFonts w:hint="eastAsia"/>
                      <w:color w:val="auto"/>
                      <w:lang w:val="en-US" w:eastAsia="zh-CN"/>
                    </w:rPr>
                    <w:t>5184</w:t>
                  </w:r>
                  <w:r>
                    <w:rPr>
                      <w:color w:val="auto"/>
                    </w:rPr>
                    <w:t>t/a</w:t>
                  </w:r>
                </w:p>
              </w:tc>
              <w:tc>
                <w:tcPr>
                  <w:tcW w:w="760" w:type="dxa"/>
                  <w:tcBorders>
                    <w:tl2br w:val="nil"/>
                    <w:tr2bl w:val="nil"/>
                  </w:tcBorders>
                  <w:vAlign w:val="center"/>
                </w:tcPr>
                <w:p>
                  <w:pPr>
                    <w:jc w:val="center"/>
                    <w:rPr>
                      <w:color w:val="auto"/>
                    </w:rPr>
                  </w:pPr>
                </w:p>
              </w:tc>
              <w:tc>
                <w:tcPr>
                  <w:tcW w:w="1287" w:type="dxa"/>
                  <w:tcBorders>
                    <w:tl2br w:val="nil"/>
                    <w:tr2bl w:val="nil"/>
                  </w:tcBorders>
                  <w:vAlign w:val="center"/>
                </w:tcPr>
                <w:p>
                  <w:pPr>
                    <w:jc w:val="center"/>
                    <w:rPr>
                      <w:color w:val="auto"/>
                    </w:rPr>
                  </w:pPr>
                  <w:r>
                    <w:rPr>
                      <w:color w:val="auto"/>
                    </w:rPr>
                    <w:t>—</w:t>
                  </w:r>
                </w:p>
              </w:tc>
              <w:tc>
                <w:tcPr>
                  <w:tcW w:w="1649" w:type="dxa"/>
                  <w:tcBorders>
                    <w:tl2br w:val="nil"/>
                    <w:tr2bl w:val="nil"/>
                  </w:tcBorders>
                  <w:vAlign w:val="center"/>
                </w:tcPr>
                <w:p>
                  <w:pPr>
                    <w:jc w:val="center"/>
                    <w:rPr>
                      <w:color w:val="auto"/>
                    </w:rPr>
                  </w:pPr>
                  <w:r>
                    <w:rPr>
                      <w:rFonts w:hint="eastAsia"/>
                      <w:color w:val="auto"/>
                      <w:lang w:val="en-US" w:eastAsia="zh-CN"/>
                    </w:rPr>
                    <w:t>5184</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2" w:type="dxa"/>
                  <w:vMerge w:val="continue"/>
                  <w:tcBorders>
                    <w:tl2br w:val="nil"/>
                    <w:tr2bl w:val="nil"/>
                  </w:tcBorders>
                  <w:vAlign w:val="center"/>
                </w:tcPr>
                <w:p>
                  <w:pPr>
                    <w:jc w:val="center"/>
                    <w:rPr>
                      <w:color w:val="auto"/>
                    </w:rPr>
                  </w:pPr>
                </w:p>
              </w:tc>
              <w:tc>
                <w:tcPr>
                  <w:tcW w:w="1086" w:type="dxa"/>
                  <w:tcBorders>
                    <w:tl2br w:val="nil"/>
                    <w:tr2bl w:val="nil"/>
                  </w:tcBorders>
                  <w:vAlign w:val="center"/>
                </w:tcPr>
                <w:p>
                  <w:pPr>
                    <w:jc w:val="center"/>
                    <w:rPr>
                      <w:color w:val="auto"/>
                    </w:rPr>
                  </w:pPr>
                  <w:r>
                    <w:rPr>
                      <w:color w:val="auto"/>
                    </w:rPr>
                    <w:t>CODcr</w:t>
                  </w:r>
                </w:p>
              </w:tc>
              <w:tc>
                <w:tcPr>
                  <w:tcW w:w="1200" w:type="dxa"/>
                  <w:tcBorders>
                    <w:tl2br w:val="nil"/>
                    <w:tr2bl w:val="nil"/>
                  </w:tcBorders>
                  <w:vAlign w:val="center"/>
                </w:tcPr>
                <w:p>
                  <w:pPr>
                    <w:jc w:val="center"/>
                    <w:rPr>
                      <w:color w:val="auto"/>
                    </w:rPr>
                  </w:pPr>
                  <w:r>
                    <w:rPr>
                      <w:rFonts w:hint="eastAsia"/>
                      <w:color w:val="auto"/>
                    </w:rPr>
                    <w:t>350</w:t>
                  </w:r>
                  <w:r>
                    <w:rPr>
                      <w:color w:val="auto"/>
                    </w:rPr>
                    <w:t>mg/L</w:t>
                  </w:r>
                </w:p>
              </w:tc>
              <w:tc>
                <w:tcPr>
                  <w:tcW w:w="1308" w:type="dxa"/>
                  <w:tcBorders>
                    <w:tl2br w:val="nil"/>
                    <w:tr2bl w:val="nil"/>
                  </w:tcBorders>
                  <w:vAlign w:val="center"/>
                </w:tcPr>
                <w:p>
                  <w:pPr>
                    <w:jc w:val="center"/>
                    <w:rPr>
                      <w:color w:val="auto"/>
                    </w:rPr>
                  </w:pPr>
                  <w:r>
                    <w:rPr>
                      <w:rFonts w:hint="eastAsia"/>
                      <w:color w:val="auto"/>
                      <w:lang w:val="en-US" w:eastAsia="zh-CN"/>
                    </w:rPr>
                    <w:t>1.815</w:t>
                  </w:r>
                  <w:r>
                    <w:rPr>
                      <w:color w:val="auto"/>
                    </w:rPr>
                    <w:t>t/a</w:t>
                  </w:r>
                </w:p>
              </w:tc>
              <w:tc>
                <w:tcPr>
                  <w:tcW w:w="760" w:type="dxa"/>
                  <w:tcBorders>
                    <w:tl2br w:val="nil"/>
                    <w:tr2bl w:val="nil"/>
                  </w:tcBorders>
                  <w:vAlign w:val="center"/>
                </w:tcPr>
                <w:p>
                  <w:pPr>
                    <w:jc w:val="center"/>
                    <w:rPr>
                      <w:color w:val="auto"/>
                    </w:rPr>
                  </w:pPr>
                  <w:r>
                    <w:rPr>
                      <w:rFonts w:hint="eastAsia"/>
                      <w:color w:val="auto"/>
                    </w:rPr>
                    <w:t>15</w:t>
                  </w:r>
                </w:p>
              </w:tc>
              <w:tc>
                <w:tcPr>
                  <w:tcW w:w="1287" w:type="dxa"/>
                  <w:tcBorders>
                    <w:tl2br w:val="nil"/>
                    <w:tr2bl w:val="nil"/>
                  </w:tcBorders>
                  <w:vAlign w:val="center"/>
                </w:tcPr>
                <w:p>
                  <w:pPr>
                    <w:jc w:val="center"/>
                    <w:rPr>
                      <w:color w:val="auto"/>
                    </w:rPr>
                  </w:pPr>
                  <w:r>
                    <w:rPr>
                      <w:rFonts w:hint="eastAsia"/>
                      <w:color w:val="auto"/>
                    </w:rPr>
                    <w:t>298</w:t>
                  </w:r>
                  <w:r>
                    <w:rPr>
                      <w:color w:val="auto"/>
                    </w:rPr>
                    <w:t>mg/L</w:t>
                  </w:r>
                </w:p>
              </w:tc>
              <w:tc>
                <w:tcPr>
                  <w:tcW w:w="1649" w:type="dxa"/>
                  <w:tcBorders>
                    <w:tl2br w:val="nil"/>
                    <w:tr2bl w:val="nil"/>
                  </w:tcBorders>
                  <w:vAlign w:val="center"/>
                </w:tcPr>
                <w:p>
                  <w:pPr>
                    <w:jc w:val="center"/>
                    <w:rPr>
                      <w:color w:val="auto"/>
                    </w:rPr>
                  </w:pPr>
                  <w:r>
                    <w:rPr>
                      <w:rFonts w:hint="eastAsia"/>
                      <w:color w:val="auto"/>
                      <w:lang w:val="en-US" w:eastAsia="zh-CN"/>
                    </w:rPr>
                    <w:t>1.545</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vMerge w:val="continue"/>
                  <w:tcBorders>
                    <w:tl2br w:val="nil"/>
                    <w:tr2bl w:val="nil"/>
                  </w:tcBorders>
                  <w:vAlign w:val="center"/>
                </w:tcPr>
                <w:p>
                  <w:pPr>
                    <w:jc w:val="center"/>
                    <w:rPr>
                      <w:color w:val="auto"/>
                    </w:rPr>
                  </w:pPr>
                </w:p>
              </w:tc>
              <w:tc>
                <w:tcPr>
                  <w:tcW w:w="1086" w:type="dxa"/>
                  <w:tcBorders>
                    <w:tl2br w:val="nil"/>
                    <w:tr2bl w:val="nil"/>
                  </w:tcBorders>
                  <w:vAlign w:val="center"/>
                </w:tcPr>
                <w:p>
                  <w:pPr>
                    <w:jc w:val="center"/>
                    <w:rPr>
                      <w:color w:val="auto"/>
                    </w:rPr>
                  </w:pPr>
                  <w:r>
                    <w:rPr>
                      <w:color w:val="auto"/>
                    </w:rPr>
                    <w:t>BOD</w:t>
                  </w:r>
                  <w:r>
                    <w:rPr>
                      <w:color w:val="auto"/>
                      <w:vertAlign w:val="subscript"/>
                    </w:rPr>
                    <w:t>5</w:t>
                  </w:r>
                </w:p>
              </w:tc>
              <w:tc>
                <w:tcPr>
                  <w:tcW w:w="1200" w:type="dxa"/>
                  <w:tcBorders>
                    <w:tl2br w:val="nil"/>
                    <w:tr2bl w:val="nil"/>
                  </w:tcBorders>
                  <w:vAlign w:val="center"/>
                </w:tcPr>
                <w:p>
                  <w:pPr>
                    <w:jc w:val="center"/>
                    <w:rPr>
                      <w:color w:val="auto"/>
                    </w:rPr>
                  </w:pPr>
                  <w:r>
                    <w:rPr>
                      <w:rFonts w:hint="eastAsia"/>
                      <w:color w:val="auto"/>
                    </w:rPr>
                    <w:t>280</w:t>
                  </w:r>
                  <w:r>
                    <w:rPr>
                      <w:color w:val="auto"/>
                    </w:rPr>
                    <w:t>mg/L</w:t>
                  </w:r>
                </w:p>
              </w:tc>
              <w:tc>
                <w:tcPr>
                  <w:tcW w:w="1308" w:type="dxa"/>
                  <w:tcBorders>
                    <w:tl2br w:val="nil"/>
                    <w:tr2bl w:val="nil"/>
                  </w:tcBorders>
                  <w:vAlign w:val="center"/>
                </w:tcPr>
                <w:p>
                  <w:pPr>
                    <w:jc w:val="center"/>
                    <w:rPr>
                      <w:color w:val="auto"/>
                    </w:rPr>
                  </w:pPr>
                  <w:r>
                    <w:rPr>
                      <w:rFonts w:hint="eastAsia"/>
                      <w:color w:val="auto"/>
                      <w:lang w:val="en-US" w:eastAsia="zh-CN"/>
                    </w:rPr>
                    <w:t>1.452</w:t>
                  </w:r>
                  <w:r>
                    <w:rPr>
                      <w:color w:val="auto"/>
                    </w:rPr>
                    <w:t>t/a</w:t>
                  </w:r>
                </w:p>
              </w:tc>
              <w:tc>
                <w:tcPr>
                  <w:tcW w:w="760" w:type="dxa"/>
                  <w:tcBorders>
                    <w:tl2br w:val="nil"/>
                    <w:tr2bl w:val="nil"/>
                  </w:tcBorders>
                  <w:vAlign w:val="center"/>
                </w:tcPr>
                <w:p>
                  <w:pPr>
                    <w:jc w:val="center"/>
                    <w:rPr>
                      <w:color w:val="auto"/>
                    </w:rPr>
                  </w:pPr>
                  <w:r>
                    <w:rPr>
                      <w:rFonts w:hint="eastAsia"/>
                      <w:color w:val="auto"/>
                    </w:rPr>
                    <w:t>9</w:t>
                  </w:r>
                </w:p>
              </w:tc>
              <w:tc>
                <w:tcPr>
                  <w:tcW w:w="1287" w:type="dxa"/>
                  <w:tcBorders>
                    <w:tl2br w:val="nil"/>
                    <w:tr2bl w:val="nil"/>
                  </w:tcBorders>
                  <w:vAlign w:val="center"/>
                </w:tcPr>
                <w:p>
                  <w:pPr>
                    <w:jc w:val="center"/>
                    <w:rPr>
                      <w:color w:val="auto"/>
                    </w:rPr>
                  </w:pPr>
                  <w:r>
                    <w:rPr>
                      <w:rFonts w:hint="eastAsia"/>
                      <w:color w:val="auto"/>
                    </w:rPr>
                    <w:t>255</w:t>
                  </w:r>
                  <w:r>
                    <w:rPr>
                      <w:color w:val="auto"/>
                    </w:rPr>
                    <w:t>mg/L</w:t>
                  </w:r>
                </w:p>
              </w:tc>
              <w:tc>
                <w:tcPr>
                  <w:tcW w:w="1649" w:type="dxa"/>
                  <w:tcBorders>
                    <w:tl2br w:val="nil"/>
                    <w:tr2bl w:val="nil"/>
                  </w:tcBorders>
                  <w:vAlign w:val="center"/>
                </w:tcPr>
                <w:p>
                  <w:pPr>
                    <w:jc w:val="center"/>
                    <w:rPr>
                      <w:color w:val="auto"/>
                    </w:rPr>
                  </w:pPr>
                  <w:r>
                    <w:rPr>
                      <w:rFonts w:hint="eastAsia"/>
                      <w:color w:val="auto"/>
                      <w:lang w:val="en-US" w:eastAsia="zh-CN"/>
                    </w:rPr>
                    <w:t>1.323</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2" w:type="dxa"/>
                  <w:vMerge w:val="continue"/>
                  <w:tcBorders>
                    <w:tl2br w:val="nil"/>
                    <w:tr2bl w:val="nil"/>
                  </w:tcBorders>
                  <w:vAlign w:val="center"/>
                </w:tcPr>
                <w:p>
                  <w:pPr>
                    <w:jc w:val="center"/>
                    <w:rPr>
                      <w:color w:val="auto"/>
                    </w:rPr>
                  </w:pPr>
                </w:p>
              </w:tc>
              <w:tc>
                <w:tcPr>
                  <w:tcW w:w="1086" w:type="dxa"/>
                  <w:tcBorders>
                    <w:tl2br w:val="nil"/>
                    <w:tr2bl w:val="nil"/>
                  </w:tcBorders>
                  <w:vAlign w:val="center"/>
                </w:tcPr>
                <w:p>
                  <w:pPr>
                    <w:jc w:val="center"/>
                    <w:rPr>
                      <w:color w:val="auto"/>
                    </w:rPr>
                  </w:pPr>
                  <w:r>
                    <w:rPr>
                      <w:color w:val="auto"/>
                    </w:rPr>
                    <w:t>SS</w:t>
                  </w:r>
                </w:p>
              </w:tc>
              <w:tc>
                <w:tcPr>
                  <w:tcW w:w="1200" w:type="dxa"/>
                  <w:tcBorders>
                    <w:tl2br w:val="nil"/>
                    <w:tr2bl w:val="nil"/>
                  </w:tcBorders>
                  <w:vAlign w:val="center"/>
                </w:tcPr>
                <w:p>
                  <w:pPr>
                    <w:jc w:val="center"/>
                    <w:rPr>
                      <w:color w:val="auto"/>
                    </w:rPr>
                  </w:pPr>
                  <w:r>
                    <w:rPr>
                      <w:rFonts w:hint="eastAsia"/>
                      <w:color w:val="auto"/>
                    </w:rPr>
                    <w:t>150</w:t>
                  </w:r>
                  <w:r>
                    <w:rPr>
                      <w:color w:val="auto"/>
                    </w:rPr>
                    <w:t>mg/L</w:t>
                  </w:r>
                </w:p>
              </w:tc>
              <w:tc>
                <w:tcPr>
                  <w:tcW w:w="1308" w:type="dxa"/>
                  <w:tcBorders>
                    <w:tl2br w:val="nil"/>
                    <w:tr2bl w:val="nil"/>
                  </w:tcBorders>
                  <w:vAlign w:val="center"/>
                </w:tcPr>
                <w:p>
                  <w:pPr>
                    <w:jc w:val="center"/>
                    <w:rPr>
                      <w:color w:val="auto"/>
                    </w:rPr>
                  </w:pPr>
                  <w:r>
                    <w:rPr>
                      <w:rFonts w:hint="eastAsia"/>
                      <w:color w:val="auto"/>
                    </w:rPr>
                    <w:t>0.</w:t>
                  </w:r>
                  <w:r>
                    <w:rPr>
                      <w:rFonts w:hint="eastAsia"/>
                      <w:color w:val="auto"/>
                      <w:lang w:val="en-US" w:eastAsia="zh-CN"/>
                    </w:rPr>
                    <w:t>78</w:t>
                  </w:r>
                  <w:r>
                    <w:rPr>
                      <w:rFonts w:hint="eastAsia"/>
                      <w:color w:val="auto"/>
                    </w:rPr>
                    <w:t>0t</w:t>
                  </w:r>
                  <w:r>
                    <w:rPr>
                      <w:color w:val="auto"/>
                    </w:rPr>
                    <w:t>/a</w:t>
                  </w:r>
                </w:p>
              </w:tc>
              <w:tc>
                <w:tcPr>
                  <w:tcW w:w="760" w:type="dxa"/>
                  <w:tcBorders>
                    <w:tl2br w:val="nil"/>
                    <w:tr2bl w:val="nil"/>
                  </w:tcBorders>
                  <w:vAlign w:val="center"/>
                </w:tcPr>
                <w:p>
                  <w:pPr>
                    <w:jc w:val="center"/>
                    <w:rPr>
                      <w:color w:val="auto"/>
                    </w:rPr>
                  </w:pPr>
                  <w:r>
                    <w:rPr>
                      <w:rFonts w:hint="eastAsia"/>
                      <w:color w:val="auto"/>
                    </w:rPr>
                    <w:t>30</w:t>
                  </w:r>
                </w:p>
              </w:tc>
              <w:tc>
                <w:tcPr>
                  <w:tcW w:w="1287" w:type="dxa"/>
                  <w:tcBorders>
                    <w:tl2br w:val="nil"/>
                    <w:tr2bl w:val="nil"/>
                  </w:tcBorders>
                  <w:vAlign w:val="center"/>
                </w:tcPr>
                <w:p>
                  <w:pPr>
                    <w:jc w:val="center"/>
                    <w:rPr>
                      <w:color w:val="auto"/>
                    </w:rPr>
                  </w:pPr>
                  <w:r>
                    <w:rPr>
                      <w:rFonts w:hint="eastAsia"/>
                      <w:color w:val="auto"/>
                    </w:rPr>
                    <w:t>105</w:t>
                  </w:r>
                  <w:r>
                    <w:rPr>
                      <w:color w:val="auto"/>
                    </w:rPr>
                    <w:t>mg/L</w:t>
                  </w:r>
                </w:p>
              </w:tc>
              <w:tc>
                <w:tcPr>
                  <w:tcW w:w="1649" w:type="dxa"/>
                  <w:tcBorders>
                    <w:tl2br w:val="nil"/>
                    <w:tr2bl w:val="nil"/>
                  </w:tcBorders>
                  <w:vAlign w:val="center"/>
                </w:tcPr>
                <w:p>
                  <w:pPr>
                    <w:jc w:val="center"/>
                    <w:rPr>
                      <w:color w:val="auto"/>
                    </w:rPr>
                  </w:pPr>
                  <w:r>
                    <w:rPr>
                      <w:rFonts w:hint="eastAsia"/>
                      <w:color w:val="auto"/>
                      <w:lang w:val="en-US" w:eastAsia="zh-CN"/>
                    </w:rPr>
                    <w:t>0.543</w:t>
                  </w:r>
                  <w:r>
                    <w:rPr>
                      <w:rFonts w:hint="eastAsia"/>
                      <w:color w:val="auto"/>
                    </w:rPr>
                    <w:t>t</w:t>
                  </w:r>
                  <w:r>
                    <w:rPr>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622" w:type="dxa"/>
                  <w:vMerge w:val="continue"/>
                  <w:tcBorders>
                    <w:tl2br w:val="nil"/>
                    <w:tr2bl w:val="nil"/>
                  </w:tcBorders>
                  <w:vAlign w:val="center"/>
                </w:tcPr>
                <w:p>
                  <w:pPr>
                    <w:jc w:val="center"/>
                    <w:rPr>
                      <w:color w:val="auto"/>
                    </w:rPr>
                  </w:pPr>
                </w:p>
              </w:tc>
              <w:tc>
                <w:tcPr>
                  <w:tcW w:w="1086" w:type="dxa"/>
                  <w:tcBorders>
                    <w:tl2br w:val="nil"/>
                    <w:tr2bl w:val="nil"/>
                  </w:tcBorders>
                  <w:vAlign w:val="center"/>
                </w:tcPr>
                <w:p>
                  <w:pPr>
                    <w:jc w:val="center"/>
                    <w:rPr>
                      <w:color w:val="auto"/>
                    </w:rPr>
                  </w:pPr>
                  <w:r>
                    <w:rPr>
                      <w:color w:val="auto"/>
                    </w:rPr>
                    <w:t>NH</w:t>
                  </w:r>
                  <w:r>
                    <w:rPr>
                      <w:color w:val="auto"/>
                      <w:vertAlign w:val="subscript"/>
                    </w:rPr>
                    <w:t>3</w:t>
                  </w:r>
                  <w:r>
                    <w:rPr>
                      <w:color w:val="auto"/>
                    </w:rPr>
                    <w:t>-N</w:t>
                  </w:r>
                </w:p>
              </w:tc>
              <w:tc>
                <w:tcPr>
                  <w:tcW w:w="1200" w:type="dxa"/>
                  <w:tcBorders>
                    <w:tl2br w:val="nil"/>
                    <w:tr2bl w:val="nil"/>
                  </w:tcBorders>
                  <w:vAlign w:val="center"/>
                </w:tcPr>
                <w:p>
                  <w:pPr>
                    <w:jc w:val="center"/>
                    <w:rPr>
                      <w:color w:val="auto"/>
                    </w:rPr>
                  </w:pPr>
                  <w:r>
                    <w:rPr>
                      <w:rFonts w:hint="eastAsia"/>
                      <w:color w:val="auto"/>
                    </w:rPr>
                    <w:t>230</w:t>
                  </w:r>
                  <w:r>
                    <w:rPr>
                      <w:color w:val="auto"/>
                    </w:rPr>
                    <w:t>mg/L</w:t>
                  </w:r>
                </w:p>
              </w:tc>
              <w:tc>
                <w:tcPr>
                  <w:tcW w:w="1308" w:type="dxa"/>
                  <w:tcBorders>
                    <w:tl2br w:val="nil"/>
                    <w:tr2bl w:val="nil"/>
                  </w:tcBorders>
                  <w:vAlign w:val="center"/>
                </w:tcPr>
                <w:p>
                  <w:pPr>
                    <w:jc w:val="center"/>
                    <w:rPr>
                      <w:color w:val="auto"/>
                    </w:rPr>
                  </w:pPr>
                  <w:r>
                    <w:rPr>
                      <w:rFonts w:hint="eastAsia"/>
                      <w:color w:val="auto"/>
                      <w:lang w:val="en-US" w:eastAsia="zh-CN"/>
                    </w:rPr>
                    <w:t>1.194</w:t>
                  </w:r>
                  <w:r>
                    <w:rPr>
                      <w:rFonts w:hint="eastAsia"/>
                      <w:color w:val="auto"/>
                    </w:rPr>
                    <w:t>t</w:t>
                  </w:r>
                  <w:r>
                    <w:rPr>
                      <w:color w:val="auto"/>
                    </w:rPr>
                    <w:t>/a</w:t>
                  </w:r>
                </w:p>
              </w:tc>
              <w:tc>
                <w:tcPr>
                  <w:tcW w:w="760" w:type="dxa"/>
                  <w:tcBorders>
                    <w:tl2br w:val="nil"/>
                    <w:tr2bl w:val="nil"/>
                  </w:tcBorders>
                  <w:vAlign w:val="center"/>
                </w:tcPr>
                <w:p>
                  <w:pPr>
                    <w:jc w:val="center"/>
                    <w:rPr>
                      <w:color w:val="auto"/>
                    </w:rPr>
                  </w:pPr>
                  <w:r>
                    <w:rPr>
                      <w:rFonts w:hint="eastAsia"/>
                      <w:color w:val="auto"/>
                    </w:rPr>
                    <w:t>3</w:t>
                  </w:r>
                </w:p>
              </w:tc>
              <w:tc>
                <w:tcPr>
                  <w:tcW w:w="1287" w:type="dxa"/>
                  <w:tcBorders>
                    <w:tl2br w:val="nil"/>
                    <w:tr2bl w:val="nil"/>
                  </w:tcBorders>
                  <w:vAlign w:val="center"/>
                </w:tcPr>
                <w:p>
                  <w:pPr>
                    <w:jc w:val="center"/>
                    <w:rPr>
                      <w:color w:val="auto"/>
                    </w:rPr>
                  </w:pPr>
                  <w:r>
                    <w:rPr>
                      <w:rFonts w:hint="eastAsia"/>
                      <w:color w:val="auto"/>
                    </w:rPr>
                    <w:t>223</w:t>
                  </w:r>
                  <w:r>
                    <w:rPr>
                      <w:color w:val="auto"/>
                    </w:rPr>
                    <w:t>mg/L</w:t>
                  </w:r>
                </w:p>
              </w:tc>
              <w:tc>
                <w:tcPr>
                  <w:tcW w:w="1649" w:type="dxa"/>
                  <w:tcBorders>
                    <w:tl2br w:val="nil"/>
                    <w:tr2bl w:val="nil"/>
                  </w:tcBorders>
                  <w:vAlign w:val="center"/>
                </w:tcPr>
                <w:p>
                  <w:pPr>
                    <w:jc w:val="center"/>
                    <w:rPr>
                      <w:color w:val="auto"/>
                    </w:rPr>
                  </w:pPr>
                  <w:r>
                    <w:rPr>
                      <w:rFonts w:hint="eastAsia"/>
                      <w:color w:val="auto"/>
                      <w:lang w:val="en-US" w:eastAsia="zh-CN"/>
                    </w:rPr>
                    <w:t>1.155</w:t>
                  </w:r>
                  <w:r>
                    <w:rPr>
                      <w:rFonts w:hint="eastAsia"/>
                      <w:color w:val="auto"/>
                    </w:rPr>
                    <w:t>t</w:t>
                  </w:r>
                  <w:r>
                    <w:rPr>
                      <w:color w:val="auto"/>
                    </w:rPr>
                    <w:t>/a</w:t>
                  </w:r>
                </w:p>
              </w:tc>
            </w:tr>
          </w:tbl>
          <w:p>
            <w:pPr>
              <w:pStyle w:val="6"/>
              <w:numPr>
                <w:ilvl w:val="3"/>
                <w:numId w:val="0"/>
              </w:numPr>
              <w:spacing w:line="360" w:lineRule="auto"/>
              <w:ind w:firstLine="241" w:firstLineChars="100"/>
              <w:rPr>
                <w:rFonts w:hAnsi="Times New Roman"/>
                <w:color w:val="auto"/>
                <w:sz w:val="24"/>
              </w:rPr>
            </w:pPr>
            <w:r>
              <w:rPr>
                <w:rFonts w:hint="eastAsia" w:hAnsi="Times New Roman"/>
                <w:color w:val="auto"/>
                <w:sz w:val="24"/>
              </w:rPr>
              <w:t>（4）排放口基本情况</w:t>
            </w:r>
          </w:p>
          <w:p>
            <w:pPr>
              <w:spacing w:line="360" w:lineRule="auto"/>
              <w:rPr>
                <w:color w:val="auto"/>
                <w:sz w:val="24"/>
              </w:rPr>
            </w:pPr>
            <w:r>
              <w:rPr>
                <w:rFonts w:hint="eastAsia"/>
                <w:color w:val="auto"/>
                <w:sz w:val="24"/>
              </w:rPr>
              <w:t xml:space="preserve">   项目废水排放口基本情况如下表所示：</w:t>
            </w:r>
          </w:p>
          <w:p>
            <w:pPr>
              <w:pStyle w:val="7"/>
              <w:jc w:val="center"/>
              <w:rPr>
                <w:b/>
                <w:bCs/>
                <w:color w:val="auto"/>
                <w:sz w:val="24"/>
              </w:rPr>
            </w:pPr>
            <w:r>
              <w:rPr>
                <w:rFonts w:hint="eastAsia"/>
                <w:b/>
                <w:bCs/>
                <w:color w:val="auto"/>
                <w:sz w:val="24"/>
              </w:rPr>
              <w:t>表</w:t>
            </w:r>
            <w:r>
              <w:rPr>
                <w:rFonts w:hint="eastAsia"/>
                <w:b/>
                <w:bCs/>
                <w:color w:val="auto"/>
                <w:sz w:val="24"/>
                <w:lang w:val="en-US" w:eastAsia="zh-CN"/>
              </w:rPr>
              <w:t>34</w:t>
            </w:r>
            <w:r>
              <w:rPr>
                <w:rFonts w:hint="eastAsia"/>
                <w:b/>
                <w:bCs/>
                <w:color w:val="auto"/>
                <w:sz w:val="24"/>
              </w:rPr>
              <w:t xml:space="preserve"> 项目废水排放口基本情况一览表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46"/>
              <w:gridCol w:w="669"/>
              <w:gridCol w:w="851"/>
              <w:gridCol w:w="1416"/>
              <w:gridCol w:w="1319"/>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70" w:type="pct"/>
                  <w:vMerge w:val="restart"/>
                  <w:vAlign w:val="center"/>
                </w:tcPr>
                <w:p>
                  <w:pPr>
                    <w:pStyle w:val="7"/>
                    <w:ind w:firstLine="0"/>
                    <w:jc w:val="center"/>
                    <w:rPr>
                      <w:color w:val="auto"/>
                      <w:sz w:val="21"/>
                      <w:szCs w:val="21"/>
                    </w:rPr>
                  </w:pPr>
                  <w:r>
                    <w:rPr>
                      <w:rFonts w:hint="eastAsia"/>
                      <w:color w:val="auto"/>
                      <w:sz w:val="21"/>
                      <w:szCs w:val="21"/>
                    </w:rPr>
                    <w:t>序号</w:t>
                  </w:r>
                </w:p>
              </w:tc>
              <w:tc>
                <w:tcPr>
                  <w:tcW w:w="621" w:type="pct"/>
                  <w:vMerge w:val="restart"/>
                  <w:vAlign w:val="center"/>
                </w:tcPr>
                <w:p>
                  <w:pPr>
                    <w:pStyle w:val="7"/>
                    <w:ind w:firstLine="0"/>
                    <w:jc w:val="center"/>
                    <w:rPr>
                      <w:color w:val="auto"/>
                      <w:sz w:val="21"/>
                      <w:szCs w:val="21"/>
                    </w:rPr>
                  </w:pPr>
                  <w:r>
                    <w:rPr>
                      <w:rFonts w:hint="eastAsia"/>
                      <w:color w:val="auto"/>
                      <w:sz w:val="21"/>
                      <w:szCs w:val="21"/>
                    </w:rPr>
                    <w:t>排放口编号</w:t>
                  </w:r>
                </w:p>
              </w:tc>
              <w:tc>
                <w:tcPr>
                  <w:tcW w:w="441" w:type="pct"/>
                  <w:vMerge w:val="restart"/>
                  <w:vAlign w:val="center"/>
                </w:tcPr>
                <w:p>
                  <w:pPr>
                    <w:pStyle w:val="7"/>
                    <w:ind w:firstLine="0"/>
                    <w:jc w:val="center"/>
                    <w:rPr>
                      <w:color w:val="auto"/>
                      <w:sz w:val="21"/>
                      <w:szCs w:val="21"/>
                    </w:rPr>
                  </w:pPr>
                  <w:r>
                    <w:rPr>
                      <w:rFonts w:hint="eastAsia"/>
                      <w:color w:val="auto"/>
                      <w:sz w:val="21"/>
                      <w:szCs w:val="21"/>
                    </w:rPr>
                    <w:t>排放口名称</w:t>
                  </w:r>
                </w:p>
              </w:tc>
              <w:tc>
                <w:tcPr>
                  <w:tcW w:w="559" w:type="pct"/>
                  <w:vMerge w:val="restart"/>
                  <w:vAlign w:val="center"/>
                </w:tcPr>
                <w:p>
                  <w:pPr>
                    <w:pStyle w:val="7"/>
                    <w:ind w:firstLine="0"/>
                    <w:jc w:val="center"/>
                    <w:rPr>
                      <w:color w:val="auto"/>
                      <w:sz w:val="21"/>
                      <w:szCs w:val="21"/>
                    </w:rPr>
                  </w:pPr>
                  <w:r>
                    <w:rPr>
                      <w:rFonts w:hint="eastAsia"/>
                      <w:color w:val="auto"/>
                      <w:sz w:val="21"/>
                      <w:szCs w:val="21"/>
                    </w:rPr>
                    <w:t>排放口类型</w:t>
                  </w:r>
                </w:p>
              </w:tc>
              <w:tc>
                <w:tcPr>
                  <w:tcW w:w="1752" w:type="pct"/>
                  <w:gridSpan w:val="2"/>
                  <w:vAlign w:val="center"/>
                </w:tcPr>
                <w:p>
                  <w:pPr>
                    <w:pStyle w:val="7"/>
                    <w:ind w:firstLine="0"/>
                    <w:jc w:val="center"/>
                    <w:rPr>
                      <w:color w:val="auto"/>
                      <w:sz w:val="21"/>
                      <w:szCs w:val="21"/>
                    </w:rPr>
                  </w:pPr>
                  <w:r>
                    <w:rPr>
                      <w:rFonts w:hint="eastAsia"/>
                      <w:color w:val="auto"/>
                      <w:sz w:val="21"/>
                      <w:szCs w:val="21"/>
                    </w:rPr>
                    <w:t>排放口地理坐标</w:t>
                  </w:r>
                </w:p>
              </w:tc>
              <w:tc>
                <w:tcPr>
                  <w:tcW w:w="1354" w:type="pct"/>
                  <w:vMerge w:val="restart"/>
                  <w:vAlign w:val="center"/>
                </w:tcPr>
                <w:p>
                  <w:pPr>
                    <w:pStyle w:val="7"/>
                    <w:ind w:firstLine="0"/>
                    <w:jc w:val="center"/>
                    <w:rPr>
                      <w:color w:val="auto"/>
                      <w:sz w:val="21"/>
                      <w:szCs w:val="21"/>
                    </w:rPr>
                  </w:pPr>
                  <w:r>
                    <w:rPr>
                      <w:rFonts w:hint="eastAsia"/>
                      <w:color w:val="auto"/>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70" w:type="pct"/>
                  <w:vMerge w:val="continue"/>
                  <w:vAlign w:val="center"/>
                </w:tcPr>
                <w:p>
                  <w:pPr>
                    <w:pStyle w:val="7"/>
                    <w:ind w:firstLine="0"/>
                    <w:jc w:val="center"/>
                    <w:rPr>
                      <w:color w:val="auto"/>
                      <w:sz w:val="21"/>
                      <w:szCs w:val="21"/>
                    </w:rPr>
                  </w:pPr>
                </w:p>
              </w:tc>
              <w:tc>
                <w:tcPr>
                  <w:tcW w:w="621" w:type="pct"/>
                  <w:vMerge w:val="continue"/>
                  <w:vAlign w:val="center"/>
                </w:tcPr>
                <w:p>
                  <w:pPr>
                    <w:pStyle w:val="7"/>
                    <w:ind w:firstLine="0"/>
                    <w:jc w:val="center"/>
                    <w:rPr>
                      <w:color w:val="auto"/>
                      <w:sz w:val="21"/>
                      <w:szCs w:val="21"/>
                    </w:rPr>
                  </w:pPr>
                </w:p>
              </w:tc>
              <w:tc>
                <w:tcPr>
                  <w:tcW w:w="441" w:type="pct"/>
                  <w:vMerge w:val="continue"/>
                  <w:vAlign w:val="center"/>
                </w:tcPr>
                <w:p>
                  <w:pPr>
                    <w:pStyle w:val="7"/>
                    <w:ind w:firstLine="0"/>
                    <w:jc w:val="center"/>
                    <w:rPr>
                      <w:color w:val="auto"/>
                      <w:sz w:val="21"/>
                      <w:szCs w:val="21"/>
                    </w:rPr>
                  </w:pPr>
                </w:p>
              </w:tc>
              <w:tc>
                <w:tcPr>
                  <w:tcW w:w="559" w:type="pct"/>
                  <w:vMerge w:val="continue"/>
                  <w:vAlign w:val="center"/>
                </w:tcPr>
                <w:p>
                  <w:pPr>
                    <w:pStyle w:val="7"/>
                    <w:ind w:firstLine="0"/>
                    <w:jc w:val="center"/>
                    <w:rPr>
                      <w:color w:val="auto"/>
                      <w:sz w:val="21"/>
                      <w:szCs w:val="21"/>
                    </w:rPr>
                  </w:pPr>
                </w:p>
              </w:tc>
              <w:tc>
                <w:tcPr>
                  <w:tcW w:w="892" w:type="pct"/>
                  <w:vAlign w:val="center"/>
                </w:tcPr>
                <w:p>
                  <w:pPr>
                    <w:pStyle w:val="7"/>
                    <w:ind w:firstLine="0"/>
                    <w:jc w:val="center"/>
                    <w:rPr>
                      <w:color w:val="auto"/>
                      <w:sz w:val="21"/>
                      <w:szCs w:val="21"/>
                    </w:rPr>
                  </w:pPr>
                  <w:r>
                    <w:rPr>
                      <w:rFonts w:hint="eastAsia"/>
                      <w:color w:val="auto"/>
                      <w:sz w:val="21"/>
                      <w:szCs w:val="21"/>
                    </w:rPr>
                    <w:t>经度</w:t>
                  </w:r>
                </w:p>
              </w:tc>
              <w:tc>
                <w:tcPr>
                  <w:tcW w:w="859" w:type="pct"/>
                  <w:vAlign w:val="center"/>
                </w:tcPr>
                <w:p>
                  <w:pPr>
                    <w:pStyle w:val="7"/>
                    <w:ind w:firstLine="0"/>
                    <w:jc w:val="center"/>
                    <w:rPr>
                      <w:color w:val="auto"/>
                      <w:sz w:val="21"/>
                      <w:szCs w:val="21"/>
                    </w:rPr>
                  </w:pPr>
                  <w:r>
                    <w:rPr>
                      <w:rFonts w:hint="eastAsia"/>
                      <w:color w:val="auto"/>
                      <w:sz w:val="21"/>
                      <w:szCs w:val="21"/>
                    </w:rPr>
                    <w:t>纬度</w:t>
                  </w:r>
                </w:p>
              </w:tc>
              <w:tc>
                <w:tcPr>
                  <w:tcW w:w="1354" w:type="pct"/>
                  <w:vMerge w:val="continue"/>
                  <w:vAlign w:val="center"/>
                </w:tcPr>
                <w:p>
                  <w:pPr>
                    <w:pStyle w:val="7"/>
                    <w:ind w:firstLine="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pPr>
                    <w:pStyle w:val="7"/>
                    <w:ind w:firstLine="0"/>
                    <w:jc w:val="center"/>
                    <w:rPr>
                      <w:color w:val="auto"/>
                      <w:sz w:val="21"/>
                      <w:szCs w:val="21"/>
                    </w:rPr>
                  </w:pPr>
                  <w:r>
                    <w:rPr>
                      <w:rFonts w:hint="eastAsia"/>
                      <w:color w:val="auto"/>
                      <w:sz w:val="21"/>
                      <w:szCs w:val="21"/>
                    </w:rPr>
                    <w:t>1</w:t>
                  </w:r>
                </w:p>
              </w:tc>
              <w:tc>
                <w:tcPr>
                  <w:tcW w:w="621" w:type="pct"/>
                  <w:vAlign w:val="center"/>
                </w:tcPr>
                <w:p>
                  <w:pPr>
                    <w:pStyle w:val="7"/>
                    <w:ind w:firstLine="0"/>
                    <w:jc w:val="center"/>
                    <w:rPr>
                      <w:color w:val="auto"/>
                      <w:sz w:val="21"/>
                      <w:szCs w:val="21"/>
                    </w:rPr>
                  </w:pPr>
                  <w:r>
                    <w:rPr>
                      <w:rFonts w:hint="eastAsia"/>
                      <w:color w:val="auto"/>
                      <w:sz w:val="21"/>
                      <w:szCs w:val="21"/>
                    </w:rPr>
                    <w:t>DW001</w:t>
                  </w:r>
                </w:p>
              </w:tc>
              <w:tc>
                <w:tcPr>
                  <w:tcW w:w="441" w:type="pct"/>
                  <w:vAlign w:val="center"/>
                </w:tcPr>
                <w:p>
                  <w:pPr>
                    <w:pStyle w:val="7"/>
                    <w:ind w:firstLine="0"/>
                    <w:jc w:val="center"/>
                    <w:rPr>
                      <w:color w:val="auto"/>
                      <w:sz w:val="21"/>
                      <w:szCs w:val="21"/>
                    </w:rPr>
                  </w:pPr>
                  <w:r>
                    <w:rPr>
                      <w:rFonts w:hint="eastAsia"/>
                      <w:color w:val="auto"/>
                      <w:sz w:val="21"/>
                      <w:szCs w:val="21"/>
                    </w:rPr>
                    <w:t>生活污水排放口</w:t>
                  </w:r>
                </w:p>
              </w:tc>
              <w:tc>
                <w:tcPr>
                  <w:tcW w:w="559" w:type="pct"/>
                  <w:vAlign w:val="center"/>
                </w:tcPr>
                <w:p>
                  <w:pPr>
                    <w:pStyle w:val="7"/>
                    <w:ind w:firstLine="0"/>
                    <w:jc w:val="center"/>
                    <w:rPr>
                      <w:color w:val="auto"/>
                      <w:sz w:val="21"/>
                      <w:szCs w:val="21"/>
                    </w:rPr>
                  </w:pPr>
                  <w:r>
                    <w:rPr>
                      <w:rFonts w:hint="eastAsia"/>
                      <w:color w:val="auto"/>
                      <w:sz w:val="21"/>
                      <w:szCs w:val="21"/>
                    </w:rPr>
                    <w:t>一般排放口</w:t>
                  </w:r>
                </w:p>
              </w:tc>
              <w:tc>
                <w:tcPr>
                  <w:tcW w:w="892" w:type="pct"/>
                  <w:vAlign w:val="center"/>
                </w:tcPr>
                <w:p>
                  <w:pPr>
                    <w:pStyle w:val="7"/>
                    <w:ind w:firstLine="0"/>
                    <w:jc w:val="center"/>
                    <w:rPr>
                      <w:color w:val="auto"/>
                      <w:sz w:val="21"/>
                      <w:szCs w:val="21"/>
                    </w:rPr>
                  </w:pPr>
                  <w:r>
                    <w:rPr>
                      <w:rFonts w:hint="eastAsia"/>
                      <w:color w:val="auto"/>
                      <w:sz w:val="21"/>
                      <w:szCs w:val="21"/>
                    </w:rPr>
                    <w:t>113.448880°</w:t>
                  </w:r>
                </w:p>
              </w:tc>
              <w:tc>
                <w:tcPr>
                  <w:tcW w:w="859" w:type="pct"/>
                  <w:vAlign w:val="center"/>
                </w:tcPr>
                <w:p>
                  <w:pPr>
                    <w:pStyle w:val="7"/>
                    <w:ind w:firstLine="0"/>
                    <w:jc w:val="center"/>
                    <w:rPr>
                      <w:color w:val="auto"/>
                      <w:sz w:val="21"/>
                      <w:szCs w:val="21"/>
                    </w:rPr>
                  </w:pPr>
                  <w:r>
                    <w:rPr>
                      <w:rFonts w:hint="eastAsia"/>
                      <w:color w:val="auto"/>
                      <w:sz w:val="21"/>
                      <w:szCs w:val="21"/>
                    </w:rPr>
                    <w:t>39.891278°</w:t>
                  </w:r>
                </w:p>
              </w:tc>
              <w:tc>
                <w:tcPr>
                  <w:tcW w:w="1354" w:type="pct"/>
                  <w:vAlign w:val="center"/>
                </w:tcPr>
                <w:p>
                  <w:pPr>
                    <w:pStyle w:val="7"/>
                    <w:ind w:firstLine="0"/>
                    <w:jc w:val="center"/>
                    <w:rPr>
                      <w:color w:val="auto"/>
                      <w:sz w:val="21"/>
                      <w:szCs w:val="21"/>
                    </w:rPr>
                  </w:pPr>
                  <w:r>
                    <w:rPr>
                      <w:rFonts w:hint="eastAsia"/>
                      <w:color w:val="auto"/>
                      <w:sz w:val="21"/>
                      <w:szCs w:val="21"/>
                    </w:rPr>
                    <w:t>《污水排入城镇下水道水质标准》（GB/T 31962-2015）A 等级</w:t>
                  </w:r>
                </w:p>
              </w:tc>
            </w:tr>
          </w:tbl>
          <w:p>
            <w:pPr>
              <w:pStyle w:val="6"/>
              <w:numPr>
                <w:ilvl w:val="3"/>
                <w:numId w:val="0"/>
              </w:numPr>
              <w:spacing w:line="360" w:lineRule="auto"/>
              <w:ind w:firstLine="241" w:firstLineChars="100"/>
              <w:rPr>
                <w:rFonts w:hAnsi="Times New Roman"/>
                <w:color w:val="auto"/>
                <w:sz w:val="24"/>
              </w:rPr>
            </w:pPr>
            <w:r>
              <w:rPr>
                <w:rFonts w:hint="eastAsia" w:hAnsi="Times New Roman"/>
                <w:color w:val="auto"/>
                <w:sz w:val="24"/>
              </w:rPr>
              <w:t>（5）依托集中污水处理厂可行性分析</w:t>
            </w:r>
          </w:p>
          <w:p>
            <w:pPr>
              <w:pStyle w:val="6"/>
              <w:numPr>
                <w:ilvl w:val="3"/>
                <w:numId w:val="0"/>
              </w:numPr>
              <w:spacing w:line="360" w:lineRule="auto"/>
              <w:ind w:firstLine="480" w:firstLineChars="200"/>
              <w:rPr>
                <w:rFonts w:hint="default" w:hAnsi="Times New Roman" w:eastAsia="宋体"/>
                <w:b w:val="0"/>
                <w:bCs w:val="0"/>
                <w:color w:val="auto"/>
                <w:sz w:val="24"/>
                <w:lang w:val="en-US" w:eastAsia="zh-CN"/>
              </w:rPr>
            </w:pPr>
            <w:r>
              <w:rPr>
                <w:rFonts w:hint="eastAsia" w:hAnsi="Times New Roman"/>
                <w:b w:val="0"/>
                <w:bCs w:val="0"/>
                <w:color w:val="auto"/>
                <w:sz w:val="24"/>
              </w:rPr>
              <w:t>大同市御东污水处理有限责任公司位于御东新区以南，具体为御河东岸与桑干河北岸交叉点的东北角，利仁皂村西南650米。</w:t>
            </w:r>
            <w:r>
              <w:rPr>
                <w:rFonts w:hint="eastAsia" w:hAnsi="Times New Roman"/>
                <w:b w:val="0"/>
                <w:bCs w:val="0"/>
                <w:color w:val="auto"/>
                <w:sz w:val="24"/>
                <w:lang w:val="en-US" w:eastAsia="zh-CN"/>
              </w:rPr>
              <w:t>项目厂区距该污水处理厂园区配套污水管网已经建成。</w:t>
            </w:r>
          </w:p>
          <w:p>
            <w:pPr>
              <w:spacing w:line="360" w:lineRule="auto"/>
              <w:ind w:left="1" w:firstLine="360" w:firstLineChars="150"/>
              <w:rPr>
                <w:rFonts w:hAnsi="Times New Roman"/>
                <w:b w:val="0"/>
                <w:bCs w:val="0"/>
                <w:color w:val="auto"/>
                <w:sz w:val="24"/>
              </w:rPr>
            </w:pPr>
            <w:r>
              <w:rPr>
                <w:rFonts w:hint="eastAsia" w:ascii="Times New Roman" w:cs="Times New Roman"/>
                <w:color w:val="auto"/>
                <w:sz w:val="24"/>
                <w:szCs w:val="24"/>
              </w:rPr>
              <w:t>该污水处理厂</w:t>
            </w:r>
            <w:r>
              <w:rPr>
                <w:rFonts w:ascii="Times New Roman" w:cs="Times New Roman"/>
                <w:color w:val="auto"/>
                <w:sz w:val="24"/>
                <w:szCs w:val="24"/>
              </w:rPr>
              <w:t>设计规模为</w:t>
            </w:r>
            <w:r>
              <w:rPr>
                <w:rFonts w:hint="eastAsia" w:ascii="Times New Roman" w:cs="Times New Roman" w:hAnsiTheme="minorEastAsia"/>
                <w:color w:val="auto"/>
                <w:sz w:val="24"/>
                <w:szCs w:val="24"/>
              </w:rPr>
              <w:t>10万m</w:t>
            </w:r>
            <w:r>
              <w:rPr>
                <w:rFonts w:hint="eastAsia" w:ascii="Times New Roman" w:cs="Times New Roman" w:hAnsiTheme="minorEastAsia"/>
                <w:color w:val="auto"/>
                <w:sz w:val="24"/>
                <w:szCs w:val="24"/>
                <w:vertAlign w:val="superscript"/>
              </w:rPr>
              <w:t>3</w:t>
            </w:r>
            <w:r>
              <w:rPr>
                <w:rFonts w:hint="eastAsia" w:ascii="Times New Roman" w:cs="Times New Roman" w:hAnsiTheme="minorEastAsia"/>
                <w:color w:val="auto"/>
                <w:sz w:val="24"/>
                <w:szCs w:val="24"/>
              </w:rPr>
              <w:t>/d，其中一期为4万m</w:t>
            </w:r>
            <w:r>
              <w:rPr>
                <w:rFonts w:hint="eastAsia" w:ascii="Times New Roman" w:cs="Times New Roman" w:hAnsiTheme="minorEastAsia"/>
                <w:color w:val="auto"/>
                <w:sz w:val="24"/>
                <w:szCs w:val="24"/>
                <w:vertAlign w:val="superscript"/>
              </w:rPr>
              <w:t>3</w:t>
            </w:r>
            <w:r>
              <w:rPr>
                <w:rFonts w:hint="eastAsia" w:ascii="Times New Roman" w:cs="Times New Roman" w:hAnsiTheme="minorEastAsia"/>
                <w:color w:val="auto"/>
                <w:sz w:val="24"/>
                <w:szCs w:val="24"/>
              </w:rPr>
              <w:t>/d、二期为6万m</w:t>
            </w:r>
            <w:r>
              <w:rPr>
                <w:rFonts w:hint="eastAsia" w:ascii="Times New Roman" w:cs="Times New Roman" w:hAnsiTheme="minorEastAsia"/>
                <w:color w:val="auto"/>
                <w:sz w:val="24"/>
                <w:szCs w:val="24"/>
                <w:vertAlign w:val="superscript"/>
              </w:rPr>
              <w:t>3</w:t>
            </w:r>
            <w:r>
              <w:rPr>
                <w:rFonts w:hint="eastAsia" w:ascii="Times New Roman" w:cs="Times New Roman" w:hAnsiTheme="minorEastAsia"/>
                <w:color w:val="auto"/>
                <w:sz w:val="24"/>
                <w:szCs w:val="24"/>
              </w:rPr>
              <w:t>/d。一期工程于2012年6月建成并投入运营，该污水处理厂除需处理上游生活污水外，还包括来自医药园区、装备制造园区的企业生产废水，处理难度和压力较大</w:t>
            </w:r>
            <w:r>
              <w:rPr>
                <w:rFonts w:hint="eastAsia"/>
                <w:color w:val="auto"/>
                <w:sz w:val="17"/>
                <w:szCs w:val="17"/>
              </w:rPr>
              <w:t>，</w:t>
            </w:r>
            <w:r>
              <w:rPr>
                <w:rFonts w:hint="eastAsia" w:ascii="Times New Roman" w:cs="Times New Roman" w:hAnsiTheme="minorEastAsia"/>
                <w:color w:val="auto"/>
                <w:sz w:val="24"/>
                <w:szCs w:val="24"/>
              </w:rPr>
              <w:t>自运营以来处理效果较差，不能实现达标排放。2018年开发区对预处理部分、砂滤池、生物处理单元、深度处理单元、污泥处理和消毒计量单元进行了改扩建，2018年12月15日二期工程建成并投入运营，该污水厂一期、二期总处理能</w:t>
            </w:r>
            <w:r>
              <w:rPr>
                <w:rFonts w:ascii="Times New Roman" w:hAnsi="Times New Roman" w:cs="Times New Roman"/>
                <w:color w:val="auto"/>
                <w:sz w:val="24"/>
                <w:szCs w:val="24"/>
              </w:rPr>
              <w:t>力达到10×10</w:t>
            </w:r>
            <w:r>
              <w:rPr>
                <w:rFonts w:hint="eastAsia" w:ascii="Times New Roman" w:hAnsi="Times New Roman" w:cs="Times New Roman"/>
                <w:color w:val="auto"/>
                <w:sz w:val="24"/>
                <w:szCs w:val="24"/>
                <w:vertAlign w:val="superscript"/>
              </w:rPr>
              <w:t>4</w:t>
            </w:r>
            <w:r>
              <w:rPr>
                <w:rFonts w:ascii="Times New Roman" w:hAnsi="Times New Roman" w:cs="Times New Roman"/>
                <w:color w:val="auto"/>
                <w:sz w:val="24"/>
                <w:szCs w:val="24"/>
              </w:rPr>
              <w:t>m</w:t>
            </w:r>
            <w:r>
              <w:rPr>
                <w:rFonts w:hint="eastAsia" w:ascii="Times New Roman" w:hAnsi="Times New Roman" w:cs="Times New Roman"/>
                <w:color w:val="auto"/>
                <w:sz w:val="24"/>
                <w:szCs w:val="24"/>
                <w:vertAlign w:val="superscript"/>
              </w:rPr>
              <w:t>3</w:t>
            </w:r>
            <w:r>
              <w:rPr>
                <w:rFonts w:ascii="Times New Roman" w:hAnsi="Times New Roman" w:cs="Times New Roman"/>
                <w:color w:val="auto"/>
                <w:sz w:val="24"/>
                <w:szCs w:val="24"/>
              </w:rPr>
              <w:t>/d；并新建了工业企业回用水处理规模2×10</w:t>
            </w:r>
            <w:r>
              <w:rPr>
                <w:rFonts w:ascii="Times New Roman" w:hAnsi="Times New Roman" w:cs="Times New Roman"/>
                <w:color w:val="auto"/>
                <w:sz w:val="24"/>
                <w:szCs w:val="24"/>
                <w:vertAlign w:val="superscript"/>
              </w:rPr>
              <w:t>4</w:t>
            </w:r>
            <w:r>
              <w:rPr>
                <w:rFonts w:ascii="Times New Roman" w:hAnsi="Times New Roman" w:cs="Times New Roman"/>
                <w:color w:val="auto"/>
                <w:sz w:val="24"/>
                <w:szCs w:val="24"/>
              </w:rPr>
              <w:t>m³/d。</w:t>
            </w:r>
            <w:r>
              <w:rPr>
                <w:rFonts w:hint="eastAsia" w:cs="Times New Roman"/>
                <w:color w:val="auto"/>
                <w:sz w:val="24"/>
                <w:szCs w:val="24"/>
                <w:lang w:val="en-US" w:eastAsia="zh-CN"/>
              </w:rPr>
              <w:t>2021年10月20日</w:t>
            </w:r>
            <w:r>
              <w:rPr>
                <w:rFonts w:hint="eastAsia" w:ascii="Times New Roman" w:hAnsi="Times New Roman" w:cs="Times New Roman"/>
                <w:color w:val="auto"/>
                <w:sz w:val="24"/>
                <w:szCs w:val="24"/>
              </w:rPr>
              <w:t>在线监测数据显示，现大同御东污水处理厂出水水质COD</w:t>
            </w:r>
            <w:r>
              <w:rPr>
                <w:rFonts w:hint="eastAsia" w:cs="Times New Roman"/>
                <w:color w:val="auto"/>
                <w:sz w:val="24"/>
                <w:szCs w:val="24"/>
                <w:lang w:eastAsia="zh-CN"/>
              </w:rPr>
              <w:t>—</w:t>
            </w:r>
            <w:r>
              <w:rPr>
                <w:rFonts w:hint="eastAsia" w:cs="Times New Roman"/>
                <w:color w:val="auto"/>
                <w:sz w:val="24"/>
                <w:szCs w:val="24"/>
                <w:lang w:val="en-US" w:eastAsia="zh-CN"/>
              </w:rPr>
              <w:t>20.502mg/L（标准40mg/L）</w:t>
            </w:r>
            <w:r>
              <w:rPr>
                <w:rFonts w:hint="eastAsia" w:ascii="Times New Roman" w:hAnsi="Times New Roman" w:cs="Times New Roman"/>
                <w:color w:val="auto"/>
                <w:sz w:val="24"/>
                <w:szCs w:val="24"/>
              </w:rPr>
              <w:t>、氨氮</w:t>
            </w:r>
            <w:r>
              <w:rPr>
                <w:rFonts w:hint="eastAsia" w:cs="Times New Roman"/>
                <w:color w:val="auto"/>
                <w:sz w:val="24"/>
                <w:szCs w:val="24"/>
                <w:lang w:eastAsia="zh-CN"/>
              </w:rPr>
              <w:t>—</w:t>
            </w:r>
            <w:r>
              <w:rPr>
                <w:rFonts w:hint="eastAsia" w:cs="Times New Roman"/>
                <w:color w:val="auto"/>
                <w:sz w:val="24"/>
                <w:szCs w:val="24"/>
                <w:lang w:val="en-US" w:eastAsia="zh-CN"/>
              </w:rPr>
              <w:t>0.407mg/L（2.0mg/L）</w:t>
            </w:r>
            <w:r>
              <w:rPr>
                <w:rFonts w:hint="eastAsia" w:ascii="Times New Roman" w:hAnsi="Times New Roman" w:cs="Times New Roman"/>
                <w:color w:val="auto"/>
                <w:sz w:val="24"/>
                <w:szCs w:val="24"/>
              </w:rPr>
              <w:t>、总磷</w:t>
            </w:r>
            <w:r>
              <w:rPr>
                <w:rFonts w:hint="eastAsia" w:cs="Times New Roman"/>
                <w:color w:val="auto"/>
                <w:sz w:val="24"/>
                <w:szCs w:val="24"/>
                <w:lang w:eastAsia="zh-CN"/>
              </w:rPr>
              <w:t>—</w:t>
            </w:r>
            <w:r>
              <w:rPr>
                <w:rFonts w:hint="eastAsia" w:cs="Times New Roman"/>
                <w:color w:val="auto"/>
                <w:sz w:val="24"/>
                <w:szCs w:val="24"/>
                <w:lang w:val="en-US" w:eastAsia="zh-CN"/>
              </w:rPr>
              <w:t>0.04mg/L（标准0.4mg/L）</w:t>
            </w:r>
            <w:r>
              <w:rPr>
                <w:rFonts w:hint="eastAsia" w:ascii="Times New Roman" w:hAnsi="Times New Roman" w:cs="Times New Roman"/>
                <w:color w:val="auto"/>
                <w:sz w:val="24"/>
                <w:szCs w:val="24"/>
              </w:rPr>
              <w:t>三项指标已达到地表水V类标准。</w:t>
            </w:r>
          </w:p>
          <w:p>
            <w:pPr>
              <w:pStyle w:val="6"/>
              <w:numPr>
                <w:ilvl w:val="3"/>
                <w:numId w:val="0"/>
              </w:numPr>
              <w:spacing w:line="360" w:lineRule="auto"/>
              <w:ind w:firstLine="480" w:firstLineChars="200"/>
              <w:rPr>
                <w:rFonts w:hAnsi="Times New Roman"/>
                <w:b w:val="0"/>
                <w:bCs w:val="0"/>
                <w:color w:val="auto"/>
                <w:sz w:val="24"/>
              </w:rPr>
            </w:pPr>
            <w:r>
              <w:rPr>
                <w:rFonts w:hint="eastAsia" w:hAnsi="Times New Roman"/>
                <w:b w:val="0"/>
                <w:bCs w:val="0"/>
                <w:color w:val="auto"/>
                <w:sz w:val="24"/>
              </w:rPr>
              <w:t>根据大同市排污单位自行监测信息实时发布平台公布的大同市御东污水处理有限责任公司自行监测数据，2021年</w:t>
            </w:r>
            <w:r>
              <w:rPr>
                <w:rFonts w:hint="eastAsia" w:hAnsi="Times New Roman"/>
                <w:b w:val="0"/>
                <w:bCs w:val="0"/>
                <w:color w:val="auto"/>
                <w:sz w:val="24"/>
                <w:lang w:val="en-US" w:eastAsia="zh-CN"/>
              </w:rPr>
              <w:t>10</w:t>
            </w:r>
            <w:r>
              <w:rPr>
                <w:rFonts w:hint="eastAsia" w:hAnsi="Times New Roman"/>
                <w:b w:val="0"/>
                <w:bCs w:val="0"/>
                <w:color w:val="auto"/>
                <w:sz w:val="24"/>
              </w:rPr>
              <w:t>月</w:t>
            </w:r>
            <w:r>
              <w:rPr>
                <w:rFonts w:hint="eastAsia" w:hAnsi="Times New Roman"/>
                <w:b w:val="0"/>
                <w:bCs w:val="0"/>
                <w:color w:val="auto"/>
                <w:sz w:val="24"/>
                <w:lang w:val="en-US" w:eastAsia="zh-CN"/>
              </w:rPr>
              <w:t>20</w:t>
            </w:r>
            <w:r>
              <w:rPr>
                <w:rFonts w:hint="eastAsia" w:hAnsi="Times New Roman"/>
                <w:b w:val="0"/>
                <w:bCs w:val="0"/>
                <w:color w:val="auto"/>
                <w:sz w:val="24"/>
              </w:rPr>
              <w:t>日，污水处理厂实际处理规模为</w:t>
            </w:r>
            <w:r>
              <w:rPr>
                <w:rFonts w:hint="eastAsia" w:hAnsi="Times New Roman"/>
                <w:b w:val="0"/>
                <w:bCs w:val="0"/>
                <w:color w:val="auto"/>
                <w:sz w:val="24"/>
                <w:lang w:val="en-US" w:eastAsia="zh-CN"/>
              </w:rPr>
              <w:t>66115</w:t>
            </w:r>
            <w:r>
              <w:rPr>
                <w:rFonts w:hint="eastAsia" w:hAnsi="Times New Roman"/>
                <w:b w:val="0"/>
                <w:bCs w:val="0"/>
                <w:color w:val="auto"/>
                <w:sz w:val="24"/>
              </w:rPr>
              <w:t>m</w:t>
            </w:r>
            <w:r>
              <w:rPr>
                <w:rFonts w:hint="eastAsia" w:hAnsi="Times New Roman"/>
                <w:b w:val="0"/>
                <w:bCs w:val="0"/>
                <w:color w:val="auto"/>
                <w:sz w:val="24"/>
                <w:vertAlign w:val="superscript"/>
              </w:rPr>
              <w:t>3</w:t>
            </w:r>
            <w:r>
              <w:rPr>
                <w:rFonts w:hint="eastAsia" w:hAnsi="Times New Roman"/>
                <w:b w:val="0"/>
                <w:bCs w:val="0"/>
                <w:color w:val="auto"/>
                <w:sz w:val="24"/>
              </w:rPr>
              <w:t>/d。此次评价污水处理厂实际日处理规模取值</w:t>
            </w:r>
            <w:r>
              <w:rPr>
                <w:rFonts w:hint="eastAsia" w:hAnsi="Times New Roman"/>
                <w:b w:val="0"/>
                <w:bCs w:val="0"/>
                <w:color w:val="auto"/>
                <w:sz w:val="24"/>
                <w:lang w:val="en-US" w:eastAsia="zh-CN"/>
              </w:rPr>
              <w:t>67</w:t>
            </w:r>
            <w:r>
              <w:rPr>
                <w:rFonts w:hint="eastAsia" w:hAnsi="Times New Roman"/>
                <w:b w:val="0"/>
                <w:bCs w:val="0"/>
                <w:color w:val="auto"/>
                <w:sz w:val="24"/>
              </w:rPr>
              <w:t>000m</w:t>
            </w:r>
            <w:r>
              <w:rPr>
                <w:rFonts w:hint="eastAsia" w:hAnsi="Times New Roman"/>
                <w:b w:val="0"/>
                <w:bCs w:val="0"/>
                <w:color w:val="auto"/>
                <w:sz w:val="24"/>
                <w:vertAlign w:val="superscript"/>
              </w:rPr>
              <w:t>3</w:t>
            </w:r>
            <w:r>
              <w:rPr>
                <w:rFonts w:hint="eastAsia" w:hAnsi="Times New Roman"/>
                <w:b w:val="0"/>
                <w:bCs w:val="0"/>
                <w:color w:val="auto"/>
                <w:sz w:val="24"/>
              </w:rPr>
              <w:t>/d，剩余处理规模</w:t>
            </w:r>
            <w:r>
              <w:rPr>
                <w:rFonts w:hint="eastAsia" w:hAnsi="Times New Roman"/>
                <w:b w:val="0"/>
                <w:bCs w:val="0"/>
                <w:color w:val="auto"/>
                <w:sz w:val="24"/>
                <w:lang w:val="en-US" w:eastAsia="zh-CN"/>
              </w:rPr>
              <w:t>33000</w:t>
            </w:r>
            <w:r>
              <w:rPr>
                <w:rFonts w:hint="eastAsia" w:hAnsi="Times New Roman"/>
                <w:b w:val="0"/>
                <w:bCs w:val="0"/>
                <w:color w:val="auto"/>
                <w:sz w:val="24"/>
              </w:rPr>
              <w:t>m</w:t>
            </w:r>
            <w:r>
              <w:rPr>
                <w:rFonts w:hint="eastAsia" w:hAnsi="Times New Roman"/>
                <w:b w:val="0"/>
                <w:bCs w:val="0"/>
                <w:color w:val="auto"/>
                <w:sz w:val="24"/>
                <w:vertAlign w:val="superscript"/>
              </w:rPr>
              <w:t>3</w:t>
            </w:r>
            <w:r>
              <w:rPr>
                <w:rFonts w:hint="eastAsia" w:hAnsi="Times New Roman"/>
                <w:b w:val="0"/>
                <w:bCs w:val="0"/>
                <w:color w:val="auto"/>
                <w:sz w:val="24"/>
              </w:rPr>
              <w:t>/d，剩余污水处理能力能够容纳项目5.76m</w:t>
            </w:r>
            <w:r>
              <w:rPr>
                <w:rFonts w:hint="eastAsia" w:hAnsi="Times New Roman"/>
                <w:b w:val="0"/>
                <w:bCs w:val="0"/>
                <w:color w:val="auto"/>
                <w:sz w:val="24"/>
                <w:vertAlign w:val="superscript"/>
              </w:rPr>
              <w:t>3</w:t>
            </w:r>
            <w:r>
              <w:rPr>
                <w:rFonts w:hint="eastAsia" w:hAnsi="Times New Roman"/>
                <w:b w:val="0"/>
                <w:bCs w:val="0"/>
                <w:color w:val="auto"/>
                <w:sz w:val="24"/>
              </w:rPr>
              <w:t>/d排水量。</w:t>
            </w:r>
          </w:p>
          <w:p>
            <w:pPr>
              <w:pStyle w:val="6"/>
              <w:numPr>
                <w:ilvl w:val="3"/>
                <w:numId w:val="0"/>
              </w:numPr>
              <w:spacing w:line="360" w:lineRule="auto"/>
              <w:ind w:firstLine="480" w:firstLineChars="200"/>
              <w:rPr>
                <w:rFonts w:hAnsi="Times New Roman"/>
                <w:b w:val="0"/>
                <w:bCs w:val="0"/>
                <w:color w:val="auto"/>
                <w:sz w:val="24"/>
              </w:rPr>
            </w:pPr>
            <w:r>
              <w:rPr>
                <w:rFonts w:hint="eastAsia" w:hAnsi="Times New Roman"/>
                <w:b w:val="0"/>
                <w:bCs w:val="0"/>
                <w:color w:val="auto"/>
                <w:sz w:val="24"/>
              </w:rPr>
              <w:t>因此，项目排水进入大同市御东污水处理有限责任公司处理是可行的。</w:t>
            </w:r>
          </w:p>
          <w:p>
            <w:pPr>
              <w:pStyle w:val="6"/>
              <w:numPr>
                <w:ilvl w:val="3"/>
                <w:numId w:val="0"/>
              </w:numPr>
              <w:spacing w:line="360" w:lineRule="auto"/>
              <w:ind w:firstLine="482" w:firstLineChars="200"/>
              <w:rPr>
                <w:rFonts w:hAnsi="Times New Roman"/>
                <w:color w:val="auto"/>
                <w:sz w:val="24"/>
              </w:rPr>
            </w:pPr>
            <w:r>
              <w:rPr>
                <w:rFonts w:hint="eastAsia" w:hAnsi="Times New Roman"/>
                <w:color w:val="auto"/>
                <w:sz w:val="24"/>
              </w:rPr>
              <w:t>（6）监测计划</w:t>
            </w:r>
          </w:p>
          <w:p>
            <w:pPr>
              <w:pStyle w:val="6"/>
              <w:numPr>
                <w:ilvl w:val="3"/>
                <w:numId w:val="0"/>
              </w:numPr>
              <w:spacing w:line="360" w:lineRule="auto"/>
              <w:ind w:firstLine="480" w:firstLineChars="200"/>
              <w:rPr>
                <w:rFonts w:hAnsi="Times New Roman"/>
                <w:b w:val="0"/>
                <w:bCs w:val="0"/>
                <w:color w:val="auto"/>
                <w:sz w:val="24"/>
              </w:rPr>
            </w:pPr>
            <w:r>
              <w:rPr>
                <w:rFonts w:hint="eastAsia" w:hAnsi="Times New Roman"/>
                <w:b w:val="0"/>
                <w:bCs w:val="0"/>
                <w:color w:val="auto"/>
                <w:sz w:val="24"/>
              </w:rPr>
              <w:t>根据《排污许可证申请与核发技术规范 排污许可证申请与核发技术规范 石墨及其他非金属矿物制品制造》（HJ 11195-2020）具体监测内容见表3</w:t>
            </w:r>
            <w:r>
              <w:rPr>
                <w:rFonts w:hint="eastAsia" w:hAnsi="Times New Roman"/>
                <w:b w:val="0"/>
                <w:bCs w:val="0"/>
                <w:color w:val="auto"/>
                <w:sz w:val="24"/>
                <w:lang w:val="en-US" w:eastAsia="zh-CN"/>
              </w:rPr>
              <w:t>3</w:t>
            </w:r>
            <w:r>
              <w:rPr>
                <w:rFonts w:hint="eastAsia" w:hAnsi="Times New Roman"/>
                <w:b w:val="0"/>
                <w:bCs w:val="0"/>
                <w:color w:val="auto"/>
                <w:sz w:val="24"/>
              </w:rPr>
              <w:t>。</w:t>
            </w:r>
          </w:p>
          <w:p>
            <w:pPr>
              <w:jc w:val="center"/>
              <w:rPr>
                <w:b/>
                <w:bCs/>
                <w:color w:val="auto"/>
                <w:sz w:val="24"/>
              </w:rPr>
            </w:pPr>
            <w:r>
              <w:rPr>
                <w:rFonts w:hint="eastAsia"/>
                <w:b/>
                <w:bCs/>
                <w:color w:val="auto"/>
                <w:sz w:val="24"/>
              </w:rPr>
              <w:t>表3</w:t>
            </w:r>
            <w:r>
              <w:rPr>
                <w:rFonts w:hint="eastAsia"/>
                <w:b/>
                <w:bCs/>
                <w:color w:val="auto"/>
                <w:sz w:val="24"/>
                <w:lang w:val="en-US" w:eastAsia="zh-CN"/>
              </w:rPr>
              <w:t>5</w:t>
            </w:r>
            <w:r>
              <w:rPr>
                <w:rFonts w:hint="eastAsia"/>
                <w:b/>
                <w:bCs/>
                <w:color w:val="auto"/>
                <w:sz w:val="24"/>
              </w:rPr>
              <w:t xml:space="preserve"> 本项目监测计划一览表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927"/>
              <w:gridCol w:w="1032"/>
              <w:gridCol w:w="1085"/>
              <w:gridCol w:w="2963"/>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251" w:type="pct"/>
                  <w:tcBorders>
                    <w:tl2br w:val="nil"/>
                    <w:tr2bl w:val="nil"/>
                  </w:tcBorders>
                  <w:vAlign w:val="center"/>
                </w:tcPr>
                <w:p>
                  <w:pPr>
                    <w:pStyle w:val="38"/>
                    <w:rPr>
                      <w:b/>
                      <w:bCs/>
                      <w:color w:val="auto"/>
                    </w:rPr>
                  </w:pPr>
                  <w:r>
                    <w:rPr>
                      <w:rFonts w:hint="eastAsia"/>
                      <w:b/>
                      <w:bCs/>
                      <w:color w:val="auto"/>
                    </w:rPr>
                    <w:t>监测项目</w:t>
                  </w:r>
                </w:p>
              </w:tc>
              <w:tc>
                <w:tcPr>
                  <w:tcW w:w="670" w:type="pct"/>
                  <w:tcBorders>
                    <w:tl2br w:val="nil"/>
                    <w:tr2bl w:val="nil"/>
                  </w:tcBorders>
                  <w:vAlign w:val="center"/>
                </w:tcPr>
                <w:p>
                  <w:pPr>
                    <w:pStyle w:val="38"/>
                    <w:rPr>
                      <w:b/>
                      <w:bCs/>
                      <w:color w:val="auto"/>
                    </w:rPr>
                  </w:pPr>
                  <w:r>
                    <w:rPr>
                      <w:rFonts w:hint="eastAsia"/>
                      <w:b/>
                      <w:bCs/>
                      <w:color w:val="auto"/>
                    </w:rPr>
                    <w:t>监测点</w:t>
                  </w:r>
                </w:p>
              </w:tc>
              <w:tc>
                <w:tcPr>
                  <w:tcW w:w="704" w:type="pct"/>
                  <w:tcBorders>
                    <w:tl2br w:val="nil"/>
                    <w:tr2bl w:val="nil"/>
                  </w:tcBorders>
                  <w:vAlign w:val="center"/>
                </w:tcPr>
                <w:p>
                  <w:pPr>
                    <w:pStyle w:val="38"/>
                    <w:rPr>
                      <w:b/>
                      <w:bCs/>
                      <w:color w:val="auto"/>
                    </w:rPr>
                  </w:pPr>
                  <w:r>
                    <w:rPr>
                      <w:rFonts w:hint="eastAsia"/>
                      <w:b/>
                      <w:bCs/>
                      <w:color w:val="auto"/>
                    </w:rPr>
                    <w:t>监测频次</w:t>
                  </w:r>
                </w:p>
              </w:tc>
              <w:tc>
                <w:tcPr>
                  <w:tcW w:w="1923" w:type="pct"/>
                  <w:tcBorders>
                    <w:tl2br w:val="nil"/>
                    <w:tr2bl w:val="nil"/>
                  </w:tcBorders>
                  <w:vAlign w:val="center"/>
                </w:tcPr>
                <w:p>
                  <w:pPr>
                    <w:pStyle w:val="38"/>
                    <w:rPr>
                      <w:b/>
                      <w:bCs/>
                      <w:color w:val="auto"/>
                    </w:rPr>
                  </w:pPr>
                  <w:r>
                    <w:rPr>
                      <w:rFonts w:hint="eastAsia"/>
                      <w:b/>
                      <w:bCs/>
                      <w:color w:val="auto"/>
                    </w:rPr>
                    <w:t>执行标准</w:t>
                  </w:r>
                </w:p>
              </w:tc>
              <w:tc>
                <w:tcPr>
                  <w:tcW w:w="450" w:type="pct"/>
                  <w:tcBorders>
                    <w:tl2br w:val="nil"/>
                    <w:tr2bl w:val="nil"/>
                  </w:tcBorders>
                  <w:vAlign w:val="center"/>
                </w:tcPr>
                <w:p>
                  <w:pPr>
                    <w:pStyle w:val="38"/>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251" w:type="pct"/>
                  <w:tcBorders>
                    <w:tl2br w:val="nil"/>
                    <w:tr2bl w:val="nil"/>
                  </w:tcBorders>
                  <w:vAlign w:val="center"/>
                </w:tcPr>
                <w:p>
                  <w:pPr>
                    <w:pStyle w:val="38"/>
                    <w:rPr>
                      <w:color w:val="auto"/>
                    </w:rPr>
                  </w:pPr>
                  <w:r>
                    <w:rPr>
                      <w:rFonts w:hint="eastAsia"/>
                      <w:color w:val="auto"/>
                    </w:rPr>
                    <w:t>pH值、悬浮物、化学需氧量、五日生化需氧量、氨氮、总磷</w:t>
                  </w:r>
                </w:p>
              </w:tc>
              <w:tc>
                <w:tcPr>
                  <w:tcW w:w="670" w:type="pct"/>
                  <w:tcBorders>
                    <w:tl2br w:val="nil"/>
                    <w:tr2bl w:val="nil"/>
                  </w:tcBorders>
                  <w:vAlign w:val="center"/>
                </w:tcPr>
                <w:p>
                  <w:pPr>
                    <w:pStyle w:val="38"/>
                    <w:rPr>
                      <w:color w:val="auto"/>
                    </w:rPr>
                  </w:pPr>
                  <w:r>
                    <w:rPr>
                      <w:rFonts w:hint="eastAsia"/>
                      <w:color w:val="auto"/>
                    </w:rPr>
                    <w:t>污水总</w:t>
                  </w:r>
                </w:p>
                <w:p>
                  <w:pPr>
                    <w:pStyle w:val="38"/>
                    <w:rPr>
                      <w:color w:val="auto"/>
                    </w:rPr>
                  </w:pPr>
                  <w:r>
                    <w:rPr>
                      <w:rFonts w:hint="eastAsia"/>
                      <w:color w:val="auto"/>
                    </w:rPr>
                    <w:t>排口</w:t>
                  </w:r>
                </w:p>
              </w:tc>
              <w:tc>
                <w:tcPr>
                  <w:tcW w:w="704" w:type="pct"/>
                  <w:tcBorders>
                    <w:tl2br w:val="nil"/>
                    <w:tr2bl w:val="nil"/>
                  </w:tcBorders>
                  <w:vAlign w:val="center"/>
                </w:tcPr>
                <w:p>
                  <w:pPr>
                    <w:pStyle w:val="38"/>
                    <w:rPr>
                      <w:color w:val="auto"/>
                    </w:rPr>
                  </w:pPr>
                  <w:r>
                    <w:rPr>
                      <w:rFonts w:hint="eastAsia"/>
                      <w:color w:val="auto"/>
                    </w:rPr>
                    <w:t>半年</w:t>
                  </w:r>
                </w:p>
              </w:tc>
              <w:tc>
                <w:tcPr>
                  <w:tcW w:w="1923" w:type="pct"/>
                  <w:tcBorders>
                    <w:tl2br w:val="nil"/>
                    <w:tr2bl w:val="nil"/>
                  </w:tcBorders>
                  <w:vAlign w:val="center"/>
                </w:tcPr>
                <w:p>
                  <w:pPr>
                    <w:pStyle w:val="38"/>
                    <w:rPr>
                      <w:color w:val="auto"/>
                    </w:rPr>
                  </w:pPr>
                  <w:r>
                    <w:rPr>
                      <w:rFonts w:hint="eastAsia"/>
                      <w:color w:val="auto"/>
                    </w:rPr>
                    <w:t>《污水排入城镇下水道水质标准》（GB/T 31962-2015）A 等级标准</w:t>
                  </w:r>
                </w:p>
              </w:tc>
              <w:tc>
                <w:tcPr>
                  <w:tcW w:w="450" w:type="pct"/>
                  <w:tcBorders>
                    <w:tl2br w:val="nil"/>
                    <w:tr2bl w:val="nil"/>
                  </w:tcBorders>
                  <w:vAlign w:val="center"/>
                </w:tcPr>
                <w:p>
                  <w:pPr>
                    <w:jc w:val="center"/>
                    <w:rPr>
                      <w:color w:val="auto"/>
                    </w:rPr>
                  </w:pPr>
                  <w:r>
                    <w:rPr>
                      <w:rFonts w:hint="eastAsia"/>
                      <w:color w:val="auto"/>
                    </w:rPr>
                    <w:t>/</w:t>
                  </w:r>
                </w:p>
              </w:tc>
            </w:tr>
          </w:tbl>
          <w:p>
            <w:pPr>
              <w:spacing w:before="240" w:beforeLines="100" w:line="360" w:lineRule="auto"/>
              <w:rPr>
                <w:b/>
                <w:bCs/>
                <w:color w:val="auto"/>
                <w:sz w:val="24"/>
              </w:rPr>
            </w:pPr>
            <w:r>
              <w:rPr>
                <w:rFonts w:hint="eastAsia"/>
                <w:b/>
                <w:bCs/>
                <w:color w:val="auto"/>
                <w:sz w:val="24"/>
              </w:rPr>
              <w:t>3、噪声环境影响和保护措施</w:t>
            </w:r>
          </w:p>
          <w:p>
            <w:pPr>
              <w:spacing w:line="360" w:lineRule="auto"/>
              <w:ind w:firstLine="482" w:firstLineChars="200"/>
              <w:rPr>
                <w:b/>
                <w:bCs/>
                <w:color w:val="auto"/>
                <w:sz w:val="24"/>
              </w:rPr>
            </w:pPr>
            <w:r>
              <w:rPr>
                <w:rFonts w:hint="eastAsia"/>
                <w:b/>
                <w:bCs/>
                <w:color w:val="auto"/>
                <w:sz w:val="24"/>
              </w:rPr>
              <w:t>（1）</w:t>
            </w:r>
            <w:r>
              <w:rPr>
                <w:b/>
                <w:bCs/>
                <w:color w:val="auto"/>
                <w:sz w:val="24"/>
              </w:rPr>
              <w:t>噪声源分析</w:t>
            </w:r>
          </w:p>
          <w:p>
            <w:pPr>
              <w:spacing w:line="360" w:lineRule="auto"/>
              <w:ind w:firstLine="480" w:firstLineChars="200"/>
              <w:rPr>
                <w:color w:val="auto"/>
                <w:sz w:val="24"/>
              </w:rPr>
            </w:pPr>
            <w:r>
              <w:rPr>
                <w:color w:val="auto"/>
                <w:sz w:val="24"/>
              </w:rPr>
              <w:t>影响声波从声源到受声点传播的因素有很多，它们主要包括传播发散、气温、平均速度、遮挡物状况、植被状况、风向、风速等，其中对声波的传播影响最大的是与声源到受声点的距离有关的传播发散，即声波随距离的衰减。</w:t>
            </w:r>
          </w:p>
          <w:p>
            <w:pPr>
              <w:spacing w:line="360" w:lineRule="auto"/>
              <w:ind w:firstLine="480" w:firstLineChars="200"/>
              <w:rPr>
                <w:color w:val="auto"/>
                <w:sz w:val="24"/>
              </w:rPr>
            </w:pPr>
            <w:r>
              <w:rPr>
                <w:color w:val="auto"/>
                <w:sz w:val="24"/>
              </w:rPr>
              <w:t>工程主要的噪声设备</w:t>
            </w:r>
            <w:r>
              <w:rPr>
                <w:rFonts w:hint="eastAsia"/>
                <w:color w:val="auto"/>
                <w:sz w:val="24"/>
                <w:lang w:val="en-US" w:eastAsia="zh-CN"/>
              </w:rPr>
              <w:t>为原料转运站、中碎配料混捏车间、成型车间、石墨化车间、机加工车间各设备噪声，以及沥青保温系统导热油炉风机噪声</w:t>
            </w:r>
            <w:r>
              <w:rPr>
                <w:color w:val="auto"/>
                <w:sz w:val="24"/>
              </w:rPr>
              <w:t>，噪声源源强详见表</w:t>
            </w:r>
            <w:r>
              <w:rPr>
                <w:rFonts w:hint="eastAsia"/>
                <w:color w:val="auto"/>
                <w:sz w:val="24"/>
              </w:rPr>
              <w:t>3</w:t>
            </w:r>
            <w:r>
              <w:rPr>
                <w:rFonts w:hint="eastAsia"/>
                <w:color w:val="auto"/>
                <w:sz w:val="24"/>
                <w:lang w:val="en-US" w:eastAsia="zh-CN"/>
              </w:rPr>
              <w:t>6</w:t>
            </w:r>
            <w:r>
              <w:rPr>
                <w:color w:val="auto"/>
                <w:sz w:val="24"/>
              </w:rPr>
              <w:t>。</w:t>
            </w:r>
          </w:p>
          <w:p>
            <w:pPr>
              <w:jc w:val="center"/>
              <w:rPr>
                <w:b/>
                <w:bCs/>
                <w:color w:val="auto"/>
                <w:sz w:val="24"/>
              </w:rPr>
            </w:pPr>
            <w:r>
              <w:rPr>
                <w:b/>
                <w:bCs/>
                <w:color w:val="auto"/>
                <w:sz w:val="24"/>
              </w:rPr>
              <w:t>表</w:t>
            </w:r>
            <w:r>
              <w:rPr>
                <w:rFonts w:hint="eastAsia"/>
                <w:b/>
                <w:bCs/>
                <w:color w:val="auto"/>
                <w:sz w:val="24"/>
              </w:rPr>
              <w:t>3</w:t>
            </w:r>
            <w:r>
              <w:rPr>
                <w:rFonts w:hint="eastAsia"/>
                <w:b/>
                <w:bCs/>
                <w:color w:val="auto"/>
                <w:sz w:val="24"/>
                <w:lang w:val="en-US" w:eastAsia="zh-CN"/>
              </w:rPr>
              <w:t>6</w:t>
            </w:r>
            <w:r>
              <w:rPr>
                <w:b/>
                <w:bCs/>
                <w:color w:val="auto"/>
                <w:sz w:val="24"/>
              </w:rPr>
              <w:t xml:space="preserve"> 项目主要设备噪声源强  单位：dB（A）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749"/>
              <w:gridCol w:w="1617"/>
              <w:gridCol w:w="505"/>
              <w:gridCol w:w="1006"/>
              <w:gridCol w:w="1024"/>
              <w:gridCol w:w="1373"/>
              <w:gridCol w:w="686"/>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15" w:type="dxa"/>
                  <w:gridSpan w:val="2"/>
                  <w:tcMar>
                    <w:left w:w="28" w:type="dxa"/>
                    <w:right w:w="28" w:type="dxa"/>
                  </w:tcMar>
                  <w:vAlign w:val="center"/>
                </w:tcPr>
                <w:p>
                  <w:pPr>
                    <w:contextualSpacing/>
                    <w:jc w:val="center"/>
                    <w:rPr>
                      <w:b/>
                      <w:bCs/>
                      <w:color w:val="auto"/>
                      <w:kern w:val="0"/>
                      <w:szCs w:val="21"/>
                    </w:rPr>
                  </w:pPr>
                  <w:r>
                    <w:rPr>
                      <w:rFonts w:hint="eastAsia"/>
                      <w:b/>
                      <w:bCs/>
                      <w:color w:val="auto"/>
                      <w:kern w:val="0"/>
                      <w:szCs w:val="21"/>
                    </w:rPr>
                    <w:t>声源位置</w:t>
                  </w:r>
                </w:p>
              </w:tc>
              <w:tc>
                <w:tcPr>
                  <w:tcW w:w="1617" w:type="dxa"/>
                  <w:tcMar>
                    <w:left w:w="28" w:type="dxa"/>
                    <w:right w:w="28" w:type="dxa"/>
                  </w:tcMar>
                  <w:vAlign w:val="center"/>
                </w:tcPr>
                <w:p>
                  <w:pPr>
                    <w:contextualSpacing/>
                    <w:jc w:val="center"/>
                    <w:rPr>
                      <w:b/>
                      <w:bCs/>
                      <w:color w:val="auto"/>
                      <w:kern w:val="0"/>
                      <w:szCs w:val="21"/>
                    </w:rPr>
                  </w:pPr>
                  <w:r>
                    <w:rPr>
                      <w:rFonts w:hint="eastAsia"/>
                      <w:b/>
                      <w:bCs/>
                      <w:color w:val="auto"/>
                      <w:kern w:val="0"/>
                      <w:szCs w:val="21"/>
                    </w:rPr>
                    <w:t>声源名称</w:t>
                  </w:r>
                </w:p>
              </w:tc>
              <w:tc>
                <w:tcPr>
                  <w:tcW w:w="505" w:type="dxa"/>
                  <w:tcMar>
                    <w:left w:w="28" w:type="dxa"/>
                    <w:right w:w="28" w:type="dxa"/>
                  </w:tcMar>
                  <w:vAlign w:val="center"/>
                </w:tcPr>
                <w:p>
                  <w:pPr>
                    <w:contextualSpacing/>
                    <w:jc w:val="center"/>
                    <w:rPr>
                      <w:b/>
                      <w:bCs/>
                      <w:color w:val="auto"/>
                      <w:kern w:val="0"/>
                      <w:szCs w:val="21"/>
                    </w:rPr>
                  </w:pPr>
                  <w:r>
                    <w:rPr>
                      <w:rFonts w:hint="eastAsia"/>
                      <w:b/>
                      <w:bCs/>
                      <w:color w:val="auto"/>
                      <w:kern w:val="0"/>
                      <w:szCs w:val="21"/>
                    </w:rPr>
                    <w:t>台套数</w:t>
                  </w:r>
                </w:p>
              </w:tc>
              <w:tc>
                <w:tcPr>
                  <w:tcW w:w="1006" w:type="dxa"/>
                  <w:tcMar>
                    <w:left w:w="28" w:type="dxa"/>
                    <w:right w:w="28" w:type="dxa"/>
                  </w:tcMar>
                  <w:vAlign w:val="center"/>
                </w:tcPr>
                <w:p>
                  <w:pPr>
                    <w:contextualSpacing/>
                    <w:jc w:val="center"/>
                    <w:rPr>
                      <w:b/>
                      <w:bCs/>
                      <w:color w:val="auto"/>
                      <w:kern w:val="0"/>
                      <w:szCs w:val="21"/>
                    </w:rPr>
                  </w:pPr>
                  <w:r>
                    <w:rPr>
                      <w:rFonts w:hint="eastAsia"/>
                      <w:b/>
                      <w:bCs/>
                      <w:color w:val="auto"/>
                      <w:kern w:val="0"/>
                      <w:szCs w:val="21"/>
                    </w:rPr>
                    <w:t>声源强度</w:t>
                  </w:r>
                </w:p>
              </w:tc>
              <w:tc>
                <w:tcPr>
                  <w:tcW w:w="1024" w:type="dxa"/>
                  <w:tcMar>
                    <w:left w:w="28" w:type="dxa"/>
                    <w:right w:w="28" w:type="dxa"/>
                  </w:tcMar>
                  <w:vAlign w:val="center"/>
                </w:tcPr>
                <w:p>
                  <w:pPr>
                    <w:contextualSpacing/>
                    <w:jc w:val="center"/>
                    <w:rPr>
                      <w:b/>
                      <w:bCs/>
                      <w:color w:val="auto"/>
                      <w:kern w:val="0"/>
                      <w:szCs w:val="21"/>
                    </w:rPr>
                  </w:pPr>
                  <w:r>
                    <w:rPr>
                      <w:rFonts w:hint="eastAsia"/>
                      <w:b/>
                      <w:bCs/>
                      <w:color w:val="auto"/>
                      <w:kern w:val="0"/>
                      <w:szCs w:val="21"/>
                    </w:rPr>
                    <w:t>工作特性</w:t>
                  </w:r>
                </w:p>
              </w:tc>
              <w:tc>
                <w:tcPr>
                  <w:tcW w:w="1373" w:type="dxa"/>
                  <w:tcMar>
                    <w:left w:w="28" w:type="dxa"/>
                    <w:right w:w="28" w:type="dxa"/>
                  </w:tcMar>
                  <w:vAlign w:val="center"/>
                </w:tcPr>
                <w:p>
                  <w:pPr>
                    <w:contextualSpacing/>
                    <w:jc w:val="center"/>
                    <w:rPr>
                      <w:b/>
                      <w:bCs/>
                      <w:color w:val="auto"/>
                      <w:kern w:val="0"/>
                      <w:szCs w:val="21"/>
                    </w:rPr>
                  </w:pPr>
                  <w:r>
                    <w:rPr>
                      <w:rFonts w:hint="eastAsia"/>
                      <w:b/>
                      <w:bCs/>
                      <w:color w:val="auto"/>
                      <w:kern w:val="0"/>
                      <w:szCs w:val="21"/>
                    </w:rPr>
                    <w:t>降噪措施</w:t>
                  </w:r>
                </w:p>
              </w:tc>
              <w:tc>
                <w:tcPr>
                  <w:tcW w:w="0" w:type="auto"/>
                  <w:tcMar>
                    <w:left w:w="28" w:type="dxa"/>
                    <w:right w:w="28" w:type="dxa"/>
                  </w:tcMar>
                  <w:vAlign w:val="center"/>
                </w:tcPr>
                <w:p>
                  <w:pPr>
                    <w:contextualSpacing/>
                    <w:jc w:val="center"/>
                    <w:rPr>
                      <w:b/>
                      <w:bCs/>
                      <w:color w:val="auto"/>
                      <w:kern w:val="0"/>
                      <w:szCs w:val="21"/>
                    </w:rPr>
                  </w:pPr>
                  <w:r>
                    <w:rPr>
                      <w:rFonts w:hint="eastAsia"/>
                      <w:b/>
                      <w:bCs/>
                      <w:color w:val="auto"/>
                      <w:kern w:val="0"/>
                      <w:szCs w:val="21"/>
                    </w:rPr>
                    <w:t>治理后声源强度</w:t>
                  </w:r>
                </w:p>
              </w:tc>
              <w:tc>
                <w:tcPr>
                  <w:tcW w:w="0" w:type="auto"/>
                  <w:tcMar>
                    <w:left w:w="28" w:type="dxa"/>
                    <w:right w:w="28" w:type="dxa"/>
                  </w:tcMar>
                  <w:vAlign w:val="center"/>
                </w:tcPr>
                <w:p>
                  <w:pPr>
                    <w:contextualSpacing/>
                    <w:jc w:val="center"/>
                    <w:rPr>
                      <w:b/>
                      <w:bCs/>
                      <w:color w:val="auto"/>
                      <w:kern w:val="0"/>
                      <w:szCs w:val="21"/>
                    </w:rPr>
                  </w:pPr>
                  <w:r>
                    <w:rPr>
                      <w:rFonts w:hint="eastAsia"/>
                      <w:b/>
                      <w:bCs/>
                      <w:color w:val="auto"/>
                      <w:kern w:val="0"/>
                      <w:szCs w:val="21"/>
                    </w:rPr>
                    <w:t>核算方法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color w:val="auto"/>
                      <w:kern w:val="0"/>
                      <w:szCs w:val="21"/>
                    </w:rPr>
                  </w:pPr>
                  <w:r>
                    <w:rPr>
                      <w:color w:val="auto"/>
                      <w:kern w:val="0"/>
                      <w:szCs w:val="21"/>
                    </w:rPr>
                    <w:t>1</w:t>
                  </w:r>
                </w:p>
              </w:tc>
              <w:tc>
                <w:tcPr>
                  <w:tcW w:w="749" w:type="dxa"/>
                  <w:tcMar>
                    <w:left w:w="28" w:type="dxa"/>
                    <w:right w:w="28" w:type="dxa"/>
                  </w:tcMar>
                  <w:vAlign w:val="center"/>
                </w:tcPr>
                <w:p>
                  <w:pPr>
                    <w:adjustRightInd w:val="0"/>
                    <w:snapToGrid w:val="0"/>
                    <w:jc w:val="center"/>
                    <w:rPr>
                      <w:color w:val="auto"/>
                      <w:kern w:val="0"/>
                      <w:szCs w:val="21"/>
                    </w:rPr>
                  </w:pPr>
                  <w:r>
                    <w:rPr>
                      <w:rFonts w:hint="eastAsia"/>
                      <w:color w:val="auto"/>
                      <w:kern w:val="0"/>
                      <w:szCs w:val="21"/>
                    </w:rPr>
                    <w:t>原料转运站</w:t>
                  </w: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风机</w:t>
                  </w:r>
                </w:p>
              </w:tc>
              <w:tc>
                <w:tcPr>
                  <w:tcW w:w="505" w:type="dxa"/>
                  <w:tcMar>
                    <w:left w:w="28" w:type="dxa"/>
                    <w:right w:w="28" w:type="dxa"/>
                  </w:tcMar>
                  <w:vAlign w:val="center"/>
                </w:tcPr>
                <w:p>
                  <w:pPr>
                    <w:adjustRightInd w:val="0"/>
                    <w:snapToGrid w:val="0"/>
                    <w:jc w:val="center"/>
                    <w:rPr>
                      <w:color w:val="auto"/>
                      <w:kern w:val="0"/>
                      <w:szCs w:val="21"/>
                    </w:rPr>
                  </w:pPr>
                  <w:r>
                    <w:rPr>
                      <w:rFonts w:hint="eastAsia"/>
                      <w:color w:val="auto"/>
                      <w:kern w:val="0"/>
                      <w:szCs w:val="21"/>
                    </w:rPr>
                    <w:t>2</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85~95</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restart"/>
                  <w:tcMar>
                    <w:left w:w="28" w:type="dxa"/>
                    <w:right w:w="28" w:type="dxa"/>
                  </w:tcMar>
                  <w:vAlign w:val="center"/>
                </w:tcPr>
                <w:p>
                  <w:pPr>
                    <w:contextualSpacing/>
                    <w:jc w:val="center"/>
                    <w:rPr>
                      <w:color w:val="auto"/>
                      <w:kern w:val="0"/>
                      <w:szCs w:val="21"/>
                    </w:rPr>
                  </w:pPr>
                  <w:r>
                    <w:rPr>
                      <w:rFonts w:hint="eastAsia"/>
                      <w:color w:val="auto"/>
                      <w:kern w:val="0"/>
                      <w:szCs w:val="21"/>
                    </w:rPr>
                    <w:t>选用低噪声设备、减震、消声、隔声。合理布置总评</w:t>
                  </w: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65</w:t>
                  </w:r>
                </w:p>
              </w:tc>
              <w:tc>
                <w:tcPr>
                  <w:tcW w:w="0" w:type="auto"/>
                  <w:vMerge w:val="restart"/>
                  <w:tcMar>
                    <w:left w:w="28" w:type="dxa"/>
                    <w:right w:w="28" w:type="dxa"/>
                  </w:tcMar>
                  <w:vAlign w:val="center"/>
                </w:tcPr>
                <w:p>
                  <w:pPr>
                    <w:contextualSpacing/>
                    <w:jc w:val="center"/>
                    <w:rPr>
                      <w:color w:val="auto"/>
                      <w:kern w:val="0"/>
                      <w:szCs w:val="21"/>
                    </w:rPr>
                  </w:pPr>
                  <w:r>
                    <w:rPr>
                      <w:rFonts w:hint="eastAsia"/>
                      <w:color w:val="auto"/>
                      <w:kern w:val="0"/>
                      <w:szCs w:val="21"/>
                    </w:rPr>
                    <w:t>类比法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color w:val="auto"/>
                      <w:kern w:val="0"/>
                      <w:szCs w:val="21"/>
                    </w:rPr>
                  </w:pPr>
                  <w:r>
                    <w:rPr>
                      <w:bCs/>
                      <w:color w:val="auto"/>
                      <w:kern w:val="0"/>
                      <w:szCs w:val="21"/>
                    </w:rPr>
                    <w:t>2</w:t>
                  </w:r>
                </w:p>
              </w:tc>
              <w:tc>
                <w:tcPr>
                  <w:tcW w:w="749" w:type="dxa"/>
                  <w:vMerge w:val="restart"/>
                  <w:tcMar>
                    <w:left w:w="28" w:type="dxa"/>
                    <w:right w:w="28" w:type="dxa"/>
                  </w:tcMar>
                  <w:vAlign w:val="center"/>
                </w:tcPr>
                <w:p>
                  <w:pPr>
                    <w:jc w:val="center"/>
                    <w:rPr>
                      <w:color w:val="auto"/>
                      <w:kern w:val="0"/>
                      <w:szCs w:val="21"/>
                    </w:rPr>
                  </w:pPr>
                  <w:r>
                    <w:rPr>
                      <w:rFonts w:hint="eastAsia"/>
                      <w:color w:val="auto"/>
                      <w:kern w:val="0"/>
                      <w:szCs w:val="21"/>
                    </w:rPr>
                    <w:t>中碎配料混捏车间</w:t>
                  </w: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双光辊破碎机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6</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3</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廻转筛</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7</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85~95</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65</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4</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油压破碎机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5</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复合破碎机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6</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对辊破碎机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7</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磨粉机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3</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85~95</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65</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8</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旋风收粉器</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3</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85~95</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65</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9</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布袋收尘器</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3</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85~95</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65</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10</w:t>
                  </w:r>
                </w:p>
              </w:tc>
              <w:tc>
                <w:tcPr>
                  <w:tcW w:w="749" w:type="dxa"/>
                  <w:vMerge w:val="restart"/>
                  <w:tcMar>
                    <w:left w:w="28" w:type="dxa"/>
                    <w:right w:w="28" w:type="dxa"/>
                  </w:tcMar>
                  <w:vAlign w:val="center"/>
                </w:tcPr>
                <w:p>
                  <w:pPr>
                    <w:jc w:val="center"/>
                    <w:rPr>
                      <w:color w:val="auto"/>
                      <w:kern w:val="0"/>
                      <w:szCs w:val="21"/>
                    </w:rPr>
                  </w:pPr>
                  <w:r>
                    <w:rPr>
                      <w:rFonts w:hint="eastAsia"/>
                      <w:color w:val="auto"/>
                      <w:kern w:val="0"/>
                      <w:szCs w:val="21"/>
                    </w:rPr>
                    <w:t>成型</w:t>
                  </w:r>
                </w:p>
                <w:p>
                  <w:pPr>
                    <w:jc w:val="center"/>
                    <w:rPr>
                      <w:color w:val="auto"/>
                      <w:kern w:val="0"/>
                      <w:szCs w:val="21"/>
                    </w:rPr>
                  </w:pPr>
                  <w:r>
                    <w:rPr>
                      <w:rFonts w:hint="eastAsia"/>
                      <w:color w:val="auto"/>
                      <w:kern w:val="0"/>
                      <w:szCs w:val="21"/>
                    </w:rPr>
                    <w:t>车间</w:t>
                  </w: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3500t挤压成型机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11</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2500t挤压成型机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12</w:t>
                  </w:r>
                </w:p>
              </w:tc>
              <w:tc>
                <w:tcPr>
                  <w:tcW w:w="749" w:type="dxa"/>
                  <w:vMerge w:val="restart"/>
                  <w:tcMar>
                    <w:left w:w="28" w:type="dxa"/>
                    <w:right w:w="28" w:type="dxa"/>
                  </w:tcMar>
                  <w:vAlign w:val="center"/>
                </w:tcPr>
                <w:p>
                  <w:pPr>
                    <w:jc w:val="center"/>
                    <w:rPr>
                      <w:color w:val="auto"/>
                      <w:kern w:val="0"/>
                      <w:szCs w:val="21"/>
                    </w:rPr>
                  </w:pPr>
                  <w:r>
                    <w:rPr>
                      <w:rFonts w:hint="eastAsia"/>
                      <w:color w:val="auto"/>
                      <w:kern w:val="0"/>
                      <w:szCs w:val="21"/>
                    </w:rPr>
                    <w:t>石墨化车间</w:t>
                  </w: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吸料天车</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13</w:t>
                  </w:r>
                </w:p>
              </w:tc>
              <w:tc>
                <w:tcPr>
                  <w:tcW w:w="749" w:type="dxa"/>
                  <w:vMerge w:val="continue"/>
                  <w:tcMar>
                    <w:left w:w="28" w:type="dxa"/>
                    <w:right w:w="28" w:type="dxa"/>
                  </w:tcMar>
                  <w:vAlign w:val="center"/>
                </w:tcPr>
                <w:p>
                  <w:pPr>
                    <w:jc w:val="center"/>
                    <w:rPr>
                      <w:color w:val="auto"/>
                      <w:kern w:val="0"/>
                      <w:szCs w:val="21"/>
                    </w:rPr>
                  </w:pP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冶金焦筛分系统</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14</w:t>
                  </w:r>
                </w:p>
              </w:tc>
              <w:tc>
                <w:tcPr>
                  <w:tcW w:w="749" w:type="dxa"/>
                  <w:tcMar>
                    <w:left w:w="28" w:type="dxa"/>
                    <w:right w:w="28" w:type="dxa"/>
                  </w:tcMar>
                  <w:vAlign w:val="center"/>
                </w:tcPr>
                <w:p>
                  <w:pPr>
                    <w:jc w:val="center"/>
                    <w:rPr>
                      <w:color w:val="auto"/>
                      <w:kern w:val="0"/>
                      <w:szCs w:val="21"/>
                    </w:rPr>
                  </w:pPr>
                  <w:r>
                    <w:rPr>
                      <w:rFonts w:hint="eastAsia"/>
                      <w:color w:val="auto"/>
                      <w:kern w:val="0"/>
                      <w:szCs w:val="21"/>
                    </w:rPr>
                    <w:t>沥青保温</w:t>
                  </w: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导热油炉</w:t>
                  </w:r>
                </w:p>
                <w:p>
                  <w:pPr>
                    <w:contextualSpacing/>
                    <w:jc w:val="center"/>
                    <w:rPr>
                      <w:color w:val="auto"/>
                      <w:kern w:val="0"/>
                      <w:szCs w:val="21"/>
                    </w:rPr>
                  </w:pPr>
                  <w:r>
                    <w:rPr>
                      <w:rFonts w:hint="eastAsia"/>
                      <w:color w:val="auto"/>
                      <w:kern w:val="0"/>
                      <w:szCs w:val="21"/>
                    </w:rPr>
                    <w:t>风机</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85~95</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65</w:t>
                  </w:r>
                </w:p>
              </w:tc>
              <w:tc>
                <w:tcPr>
                  <w:tcW w:w="0" w:type="auto"/>
                  <w:vMerge w:val="continue"/>
                  <w:tcMar>
                    <w:left w:w="28" w:type="dxa"/>
                    <w:right w:w="28" w:type="dxa"/>
                  </w:tcMar>
                  <w:vAlign w:val="center"/>
                </w:tcPr>
                <w:p>
                  <w:pPr>
                    <w:contextualSpacing/>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Mar>
                    <w:left w:w="28" w:type="dxa"/>
                    <w:right w:w="28" w:type="dxa"/>
                  </w:tcMar>
                  <w:vAlign w:val="center"/>
                </w:tcPr>
                <w:p>
                  <w:pPr>
                    <w:contextualSpacing/>
                    <w:jc w:val="center"/>
                    <w:rPr>
                      <w:bCs/>
                      <w:color w:val="auto"/>
                      <w:kern w:val="0"/>
                      <w:szCs w:val="21"/>
                    </w:rPr>
                  </w:pPr>
                  <w:r>
                    <w:rPr>
                      <w:rFonts w:hint="eastAsia"/>
                      <w:bCs/>
                      <w:color w:val="auto"/>
                      <w:kern w:val="0"/>
                      <w:szCs w:val="21"/>
                    </w:rPr>
                    <w:t>15</w:t>
                  </w:r>
                </w:p>
              </w:tc>
              <w:tc>
                <w:tcPr>
                  <w:tcW w:w="749" w:type="dxa"/>
                  <w:tcMar>
                    <w:left w:w="28" w:type="dxa"/>
                    <w:right w:w="28" w:type="dxa"/>
                  </w:tcMar>
                  <w:vAlign w:val="center"/>
                </w:tcPr>
                <w:p>
                  <w:pPr>
                    <w:jc w:val="center"/>
                    <w:rPr>
                      <w:color w:val="auto"/>
                      <w:kern w:val="0"/>
                      <w:szCs w:val="21"/>
                    </w:rPr>
                  </w:pPr>
                  <w:r>
                    <w:rPr>
                      <w:rFonts w:hint="eastAsia"/>
                      <w:color w:val="auto"/>
                      <w:kern w:val="0"/>
                      <w:szCs w:val="21"/>
                    </w:rPr>
                    <w:t>机加工车间</w:t>
                  </w:r>
                </w:p>
              </w:tc>
              <w:tc>
                <w:tcPr>
                  <w:tcW w:w="1617" w:type="dxa"/>
                  <w:tcMar>
                    <w:left w:w="28" w:type="dxa"/>
                    <w:right w:w="28" w:type="dxa"/>
                  </w:tcMar>
                  <w:vAlign w:val="center"/>
                </w:tcPr>
                <w:p>
                  <w:pPr>
                    <w:contextualSpacing/>
                    <w:jc w:val="center"/>
                    <w:rPr>
                      <w:color w:val="auto"/>
                      <w:kern w:val="0"/>
                      <w:szCs w:val="21"/>
                    </w:rPr>
                  </w:pPr>
                  <w:r>
                    <w:rPr>
                      <w:rFonts w:hint="eastAsia"/>
                      <w:color w:val="auto"/>
                      <w:kern w:val="0"/>
                      <w:szCs w:val="21"/>
                    </w:rPr>
                    <w:t>电极接头加工机组</w:t>
                  </w:r>
                </w:p>
              </w:tc>
              <w:tc>
                <w:tcPr>
                  <w:tcW w:w="505" w:type="dxa"/>
                  <w:tcMar>
                    <w:left w:w="28" w:type="dxa"/>
                    <w:right w:w="28" w:type="dxa"/>
                  </w:tcMar>
                  <w:vAlign w:val="center"/>
                </w:tcPr>
                <w:p>
                  <w:pPr>
                    <w:jc w:val="center"/>
                    <w:rPr>
                      <w:color w:val="auto"/>
                      <w:kern w:val="0"/>
                      <w:szCs w:val="21"/>
                    </w:rPr>
                  </w:pPr>
                  <w:r>
                    <w:rPr>
                      <w:rFonts w:hint="eastAsia"/>
                      <w:color w:val="auto"/>
                      <w:kern w:val="0"/>
                      <w:szCs w:val="21"/>
                    </w:rPr>
                    <w:t>1</w:t>
                  </w:r>
                </w:p>
              </w:tc>
              <w:tc>
                <w:tcPr>
                  <w:tcW w:w="1006" w:type="dxa"/>
                  <w:tcMar>
                    <w:left w:w="28" w:type="dxa"/>
                    <w:right w:w="28" w:type="dxa"/>
                  </w:tcMar>
                  <w:vAlign w:val="center"/>
                </w:tcPr>
                <w:p>
                  <w:pPr>
                    <w:contextualSpacing/>
                    <w:jc w:val="center"/>
                    <w:rPr>
                      <w:color w:val="auto"/>
                      <w:kern w:val="0"/>
                      <w:szCs w:val="21"/>
                    </w:rPr>
                  </w:pPr>
                  <w:r>
                    <w:rPr>
                      <w:rFonts w:hint="eastAsia"/>
                      <w:color w:val="auto"/>
                      <w:kern w:val="0"/>
                      <w:szCs w:val="21"/>
                    </w:rPr>
                    <w:t>90~100</w:t>
                  </w:r>
                </w:p>
              </w:tc>
              <w:tc>
                <w:tcPr>
                  <w:tcW w:w="1024" w:type="dxa"/>
                  <w:tcMar>
                    <w:left w:w="28" w:type="dxa"/>
                    <w:right w:w="28" w:type="dxa"/>
                  </w:tcMar>
                  <w:vAlign w:val="center"/>
                </w:tcPr>
                <w:p>
                  <w:pPr>
                    <w:contextualSpacing/>
                    <w:jc w:val="center"/>
                    <w:rPr>
                      <w:color w:val="auto"/>
                      <w:kern w:val="0"/>
                      <w:szCs w:val="21"/>
                    </w:rPr>
                  </w:pPr>
                  <w:r>
                    <w:rPr>
                      <w:rFonts w:hint="eastAsia"/>
                      <w:color w:val="auto"/>
                      <w:kern w:val="0"/>
                      <w:szCs w:val="21"/>
                    </w:rPr>
                    <w:t>连续</w:t>
                  </w:r>
                </w:p>
              </w:tc>
              <w:tc>
                <w:tcPr>
                  <w:tcW w:w="1373" w:type="dxa"/>
                  <w:vMerge w:val="continue"/>
                  <w:tcMar>
                    <w:left w:w="28" w:type="dxa"/>
                    <w:right w:w="28" w:type="dxa"/>
                  </w:tcMar>
                  <w:vAlign w:val="center"/>
                </w:tcPr>
                <w:p>
                  <w:pPr>
                    <w:contextualSpacing/>
                    <w:jc w:val="center"/>
                    <w:rPr>
                      <w:color w:val="auto"/>
                      <w:kern w:val="0"/>
                      <w:szCs w:val="21"/>
                    </w:rPr>
                  </w:pPr>
                </w:p>
              </w:tc>
              <w:tc>
                <w:tcPr>
                  <w:tcW w:w="0" w:type="auto"/>
                  <w:tcMar>
                    <w:left w:w="28" w:type="dxa"/>
                    <w:right w:w="28" w:type="dxa"/>
                  </w:tcMar>
                  <w:vAlign w:val="center"/>
                </w:tcPr>
                <w:p>
                  <w:pPr>
                    <w:contextualSpacing/>
                    <w:jc w:val="center"/>
                    <w:rPr>
                      <w:color w:val="auto"/>
                      <w:kern w:val="0"/>
                      <w:szCs w:val="21"/>
                    </w:rPr>
                  </w:pPr>
                  <w:r>
                    <w:rPr>
                      <w:rFonts w:hint="eastAsia"/>
                      <w:color w:val="auto"/>
                      <w:kern w:val="0"/>
                      <w:szCs w:val="21"/>
                    </w:rPr>
                    <w:t>70</w:t>
                  </w:r>
                </w:p>
              </w:tc>
              <w:tc>
                <w:tcPr>
                  <w:tcW w:w="0" w:type="auto"/>
                  <w:vMerge w:val="continue"/>
                  <w:tcMar>
                    <w:left w:w="28" w:type="dxa"/>
                    <w:right w:w="28" w:type="dxa"/>
                  </w:tcMar>
                  <w:vAlign w:val="center"/>
                </w:tcPr>
                <w:p>
                  <w:pPr>
                    <w:contextualSpacing/>
                    <w:jc w:val="center"/>
                    <w:rPr>
                      <w:color w:val="auto"/>
                      <w:kern w:val="0"/>
                      <w:szCs w:val="21"/>
                    </w:rPr>
                  </w:pPr>
                </w:p>
              </w:tc>
            </w:tr>
          </w:tbl>
          <w:p>
            <w:pPr>
              <w:spacing w:line="480" w:lineRule="exact"/>
              <w:ind w:firstLine="482" w:firstLineChars="200"/>
              <w:rPr>
                <w:b/>
                <w:bCs/>
                <w:color w:val="auto"/>
                <w:sz w:val="24"/>
              </w:rPr>
            </w:pPr>
            <w:r>
              <w:rPr>
                <w:rFonts w:hint="eastAsia"/>
                <w:b/>
                <w:bCs/>
                <w:color w:val="auto"/>
                <w:sz w:val="24"/>
              </w:rPr>
              <w:t>（2）噪声预测分析</w:t>
            </w:r>
          </w:p>
          <w:p>
            <w:pPr>
              <w:spacing w:line="480" w:lineRule="exact"/>
              <w:ind w:firstLine="480" w:firstLineChars="200"/>
              <w:rPr>
                <w:color w:val="auto"/>
                <w:sz w:val="24"/>
              </w:rPr>
            </w:pPr>
            <w:r>
              <w:rPr>
                <w:color w:val="auto"/>
                <w:sz w:val="24"/>
              </w:rPr>
              <w:t>根据《环境影响评价技术导则 声环境》（HJ2.4-2009）中推荐的噪声预测模式如下：</w:t>
            </w:r>
          </w:p>
          <w:p>
            <w:pPr>
              <w:spacing w:line="480" w:lineRule="exact"/>
              <w:ind w:firstLine="480" w:firstLineChars="200"/>
              <w:rPr>
                <w:color w:val="auto"/>
                <w:sz w:val="24"/>
              </w:rPr>
            </w:pPr>
            <w:r>
              <w:rPr>
                <w:color w:val="auto"/>
                <w:sz w:val="24"/>
              </w:rPr>
              <w:t>对单个点声源的几何衰减用以下公式计算：</w:t>
            </w:r>
          </w:p>
          <w:p>
            <w:pPr>
              <w:spacing w:line="480" w:lineRule="exact"/>
              <w:ind w:firstLine="2400" w:firstLineChars="1000"/>
              <w:rPr>
                <w:color w:val="auto"/>
                <w:sz w:val="24"/>
              </w:rPr>
            </w:pPr>
            <w:r>
              <w:rPr>
                <w:color w:val="auto"/>
                <w:sz w:val="24"/>
              </w:rPr>
              <w:t>L</w:t>
            </w:r>
            <w:r>
              <w:rPr>
                <w:color w:val="auto"/>
                <w:sz w:val="24"/>
                <w:vertAlign w:val="subscript"/>
              </w:rPr>
              <w:t>（r）</w:t>
            </w:r>
            <w:r>
              <w:rPr>
                <w:color w:val="auto"/>
                <w:sz w:val="24"/>
              </w:rPr>
              <w:t>= L</w:t>
            </w:r>
            <w:r>
              <w:rPr>
                <w:color w:val="auto"/>
                <w:sz w:val="24"/>
                <w:vertAlign w:val="subscript"/>
              </w:rPr>
              <w:t>（r0）</w:t>
            </w:r>
            <w:r>
              <w:rPr>
                <w:color w:val="auto"/>
                <w:sz w:val="24"/>
              </w:rPr>
              <w:t>-20lg（r/r</w:t>
            </w:r>
            <w:r>
              <w:rPr>
                <w:color w:val="auto"/>
                <w:sz w:val="24"/>
                <w:vertAlign w:val="subscript"/>
              </w:rPr>
              <w:t>0</w:t>
            </w:r>
            <w:r>
              <w:rPr>
                <w:color w:val="auto"/>
                <w:sz w:val="24"/>
              </w:rPr>
              <w:t>）</w:t>
            </w:r>
          </w:p>
          <w:p>
            <w:pPr>
              <w:spacing w:line="480" w:lineRule="exact"/>
              <w:ind w:firstLine="480" w:firstLineChars="200"/>
              <w:rPr>
                <w:color w:val="auto"/>
                <w:sz w:val="24"/>
              </w:rPr>
            </w:pPr>
            <w:r>
              <w:rPr>
                <w:color w:val="auto"/>
                <w:sz w:val="24"/>
              </w:rPr>
              <w:t>两个以上的多个噪声源同时存在时，总声级计算公式为：</w:t>
            </w:r>
          </w:p>
          <w:p>
            <w:pPr>
              <w:widowControl/>
              <w:spacing w:line="360" w:lineRule="auto"/>
              <w:ind w:firstLine="2400" w:firstLineChars="1000"/>
              <w:rPr>
                <w:color w:val="auto"/>
                <w:sz w:val="24"/>
              </w:rPr>
            </w:pPr>
            <w:r>
              <w:rPr>
                <w:color w:val="auto"/>
                <w:position w:val="-28"/>
                <w:sz w:val="24"/>
              </w:rPr>
              <w:object>
                <v:shape id="_x0000_i1029" o:spt="75" alt="" type="#_x0000_t75" style="height:34.1pt;width:103pt;" o:ole="t"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29" r:id="rId24">
                  <o:LockedField>false</o:LockedField>
                </o:OLEObject>
              </w:object>
            </w:r>
          </w:p>
          <w:p>
            <w:pPr>
              <w:spacing w:line="360" w:lineRule="auto"/>
              <w:ind w:firstLine="480" w:firstLineChars="200"/>
              <w:rPr>
                <w:color w:val="auto"/>
                <w:sz w:val="24"/>
              </w:rPr>
            </w:pPr>
            <w:r>
              <w:rPr>
                <w:color w:val="auto"/>
                <w:sz w:val="24"/>
              </w:rPr>
              <w:t>以上式中：</w:t>
            </w:r>
          </w:p>
          <w:p>
            <w:pPr>
              <w:autoSpaceDE w:val="0"/>
              <w:autoSpaceDN w:val="0"/>
              <w:spacing w:line="360" w:lineRule="auto"/>
              <w:ind w:firstLine="480" w:firstLineChars="200"/>
              <w:rPr>
                <w:color w:val="auto"/>
                <w:sz w:val="24"/>
              </w:rPr>
            </w:pPr>
            <w:r>
              <w:rPr>
                <w:color w:val="auto"/>
                <w:sz w:val="24"/>
              </w:rPr>
              <w:t>r——预测点到声源的距离；</w:t>
            </w:r>
          </w:p>
          <w:p>
            <w:pPr>
              <w:autoSpaceDE w:val="0"/>
              <w:autoSpaceDN w:val="0"/>
              <w:spacing w:line="360" w:lineRule="auto"/>
              <w:ind w:firstLine="480" w:firstLineChars="200"/>
              <w:rPr>
                <w:color w:val="auto"/>
                <w:sz w:val="24"/>
              </w:rPr>
            </w:pPr>
            <w:r>
              <w:rPr>
                <w:color w:val="auto"/>
                <w:sz w:val="24"/>
              </w:rPr>
              <w:t>L</w:t>
            </w:r>
            <w:r>
              <w:rPr>
                <w:color w:val="auto"/>
                <w:sz w:val="24"/>
                <w:vertAlign w:val="subscript"/>
              </w:rPr>
              <w:t>（r）</w:t>
            </w:r>
            <w:r>
              <w:rPr>
                <w:color w:val="auto"/>
                <w:sz w:val="24"/>
              </w:rPr>
              <w:t>——声源衰减至r处的声压级，dB；</w:t>
            </w:r>
          </w:p>
          <w:p>
            <w:pPr>
              <w:autoSpaceDE w:val="0"/>
              <w:autoSpaceDN w:val="0"/>
              <w:spacing w:line="360" w:lineRule="auto"/>
              <w:ind w:firstLine="480" w:firstLineChars="200"/>
              <w:rPr>
                <w:color w:val="auto"/>
                <w:sz w:val="24"/>
              </w:rPr>
            </w:pPr>
            <w:r>
              <w:rPr>
                <w:rFonts w:hint="eastAsia"/>
                <w:color w:val="auto"/>
                <w:sz w:val="24"/>
              </w:rPr>
              <w:t>L</w:t>
            </w:r>
            <w:r>
              <w:rPr>
                <w:rFonts w:hint="eastAsia"/>
                <w:color w:val="auto"/>
                <w:sz w:val="24"/>
                <w:vertAlign w:val="subscript"/>
              </w:rPr>
              <w:t>(r0)</w:t>
            </w:r>
            <w:r>
              <w:rPr>
                <w:color w:val="auto"/>
                <w:sz w:val="24"/>
              </w:rPr>
              <w:t>——声源在参考距离r</w:t>
            </w:r>
            <w:r>
              <w:rPr>
                <w:color w:val="auto"/>
                <w:sz w:val="24"/>
                <w:vertAlign w:val="subscript"/>
              </w:rPr>
              <w:t>0</w:t>
            </w:r>
            <w:r>
              <w:rPr>
                <w:color w:val="auto"/>
                <w:sz w:val="24"/>
              </w:rPr>
              <w:t>处的声压级；</w:t>
            </w:r>
          </w:p>
          <w:p>
            <w:pPr>
              <w:autoSpaceDE w:val="0"/>
              <w:autoSpaceDN w:val="0"/>
              <w:spacing w:line="360" w:lineRule="auto"/>
              <w:ind w:firstLine="480" w:firstLineChars="200"/>
              <w:rPr>
                <w:color w:val="auto"/>
                <w:sz w:val="24"/>
              </w:rPr>
            </w:pPr>
            <w:r>
              <w:rPr>
                <w:color w:val="auto"/>
                <w:sz w:val="24"/>
              </w:rPr>
              <w:t>r</w:t>
            </w:r>
            <w:r>
              <w:rPr>
                <w:color w:val="auto"/>
                <w:sz w:val="24"/>
                <w:vertAlign w:val="subscript"/>
              </w:rPr>
              <w:t>0</w:t>
            </w:r>
            <w:r>
              <w:rPr>
                <w:color w:val="auto"/>
                <w:sz w:val="24"/>
              </w:rPr>
              <w:t>——预测参考距离，m；</w:t>
            </w:r>
          </w:p>
          <w:p>
            <w:pPr>
              <w:autoSpaceDE w:val="0"/>
              <w:autoSpaceDN w:val="0"/>
              <w:spacing w:line="360" w:lineRule="auto"/>
              <w:ind w:firstLine="480" w:firstLineChars="200"/>
              <w:rPr>
                <w:color w:val="auto"/>
                <w:sz w:val="24"/>
              </w:rPr>
            </w:pPr>
            <w:r>
              <w:rPr>
                <w:color w:val="auto"/>
                <w:sz w:val="24"/>
              </w:rPr>
              <w:t>L</w:t>
            </w:r>
            <w:r>
              <w:rPr>
                <w:color w:val="auto"/>
                <w:sz w:val="24"/>
                <w:vertAlign w:val="subscript"/>
              </w:rPr>
              <w:t>0</w:t>
            </w:r>
            <w:r>
              <w:rPr>
                <w:color w:val="auto"/>
                <w:sz w:val="24"/>
              </w:rPr>
              <w:t>——预测点的噪声现状值，dB。</w:t>
            </w:r>
          </w:p>
          <w:p>
            <w:pPr>
              <w:autoSpaceDE w:val="0"/>
              <w:autoSpaceDN w:val="0"/>
              <w:spacing w:line="360" w:lineRule="auto"/>
              <w:ind w:firstLine="480" w:firstLineChars="200"/>
              <w:rPr>
                <w:color w:val="auto"/>
                <w:sz w:val="24"/>
              </w:rPr>
            </w:pPr>
            <w:r>
              <w:rPr>
                <w:color w:val="auto"/>
                <w:sz w:val="24"/>
              </w:rPr>
              <w:t>本次噪声预测计算从偏保守出发，只考虑声波随距离的衰减Adiv，以保证实际效果优于预测结果，本项目运营期噪声贡献值见表</w:t>
            </w:r>
            <w:r>
              <w:rPr>
                <w:rFonts w:hint="eastAsia"/>
                <w:color w:val="auto"/>
                <w:sz w:val="24"/>
                <w:lang w:val="en-US" w:eastAsia="zh-CN"/>
              </w:rPr>
              <w:t>37</w:t>
            </w:r>
            <w:r>
              <w:rPr>
                <w:color w:val="auto"/>
                <w:sz w:val="24"/>
              </w:rPr>
              <w:t>。</w:t>
            </w:r>
          </w:p>
          <w:p>
            <w:pPr>
              <w:jc w:val="center"/>
              <w:rPr>
                <w:b/>
                <w:bCs/>
                <w:color w:val="auto"/>
                <w:sz w:val="24"/>
              </w:rPr>
            </w:pPr>
            <w:r>
              <w:rPr>
                <w:b/>
                <w:bCs/>
                <w:color w:val="auto"/>
                <w:sz w:val="24"/>
              </w:rPr>
              <w:t>表</w:t>
            </w:r>
            <w:r>
              <w:rPr>
                <w:rFonts w:hint="eastAsia"/>
                <w:b/>
                <w:bCs/>
                <w:color w:val="auto"/>
                <w:sz w:val="24"/>
                <w:lang w:val="en-US" w:eastAsia="zh-CN"/>
              </w:rPr>
              <w:t>37</w:t>
            </w:r>
            <w:r>
              <w:rPr>
                <w:b/>
                <w:bCs/>
                <w:color w:val="auto"/>
                <w:sz w:val="24"/>
              </w:rPr>
              <w:t xml:space="preserve"> 噪声预测结果一览表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493"/>
              <w:gridCol w:w="923"/>
              <w:gridCol w:w="1541"/>
              <w:gridCol w:w="154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tcBorders>
                    <w:tl2br w:val="nil"/>
                    <w:tr2bl w:val="nil"/>
                  </w:tcBorders>
                  <w:vAlign w:val="center"/>
                </w:tcPr>
                <w:p>
                  <w:pPr>
                    <w:jc w:val="center"/>
                    <w:rPr>
                      <w:b/>
                      <w:bCs/>
                      <w:color w:val="auto"/>
                      <w:szCs w:val="21"/>
                    </w:rPr>
                  </w:pPr>
                  <w:r>
                    <w:rPr>
                      <w:b/>
                      <w:bCs/>
                      <w:color w:val="auto"/>
                      <w:szCs w:val="21"/>
                    </w:rPr>
                    <w:t>序号</w:t>
                  </w:r>
                </w:p>
              </w:tc>
              <w:tc>
                <w:tcPr>
                  <w:tcW w:w="969" w:type="pct"/>
                  <w:tcBorders>
                    <w:tl2br w:val="nil"/>
                    <w:tr2bl w:val="nil"/>
                  </w:tcBorders>
                  <w:vAlign w:val="center"/>
                </w:tcPr>
                <w:p>
                  <w:pPr>
                    <w:jc w:val="center"/>
                    <w:rPr>
                      <w:b/>
                      <w:bCs/>
                      <w:color w:val="auto"/>
                      <w:szCs w:val="21"/>
                    </w:rPr>
                  </w:pPr>
                  <w:r>
                    <w:rPr>
                      <w:b/>
                      <w:bCs/>
                      <w:color w:val="auto"/>
                      <w:szCs w:val="21"/>
                    </w:rPr>
                    <w:t>名称</w:t>
                  </w:r>
                </w:p>
              </w:tc>
              <w:tc>
                <w:tcPr>
                  <w:tcW w:w="599" w:type="pct"/>
                  <w:tcBorders>
                    <w:tl2br w:val="nil"/>
                    <w:tr2bl w:val="nil"/>
                  </w:tcBorders>
                  <w:vAlign w:val="center"/>
                </w:tcPr>
                <w:p>
                  <w:pPr>
                    <w:jc w:val="center"/>
                    <w:rPr>
                      <w:b/>
                      <w:bCs/>
                      <w:color w:val="auto"/>
                      <w:szCs w:val="21"/>
                    </w:rPr>
                  </w:pPr>
                  <w:r>
                    <w:rPr>
                      <w:rFonts w:hint="eastAsia"/>
                      <w:b/>
                      <w:bCs/>
                      <w:color w:val="auto"/>
                      <w:szCs w:val="21"/>
                    </w:rPr>
                    <w:t>时间</w:t>
                  </w:r>
                </w:p>
              </w:tc>
              <w:tc>
                <w:tcPr>
                  <w:tcW w:w="1000" w:type="pct"/>
                  <w:tcBorders>
                    <w:tl2br w:val="nil"/>
                    <w:tr2bl w:val="nil"/>
                  </w:tcBorders>
                  <w:vAlign w:val="center"/>
                </w:tcPr>
                <w:p>
                  <w:pPr>
                    <w:jc w:val="center"/>
                    <w:rPr>
                      <w:b/>
                      <w:bCs/>
                      <w:color w:val="auto"/>
                      <w:szCs w:val="21"/>
                    </w:rPr>
                  </w:pPr>
                  <w:r>
                    <w:rPr>
                      <w:rFonts w:hint="eastAsia"/>
                      <w:b/>
                      <w:bCs/>
                      <w:color w:val="auto"/>
                      <w:szCs w:val="21"/>
                    </w:rPr>
                    <w:t>贡献值</w:t>
                  </w:r>
                </w:p>
              </w:tc>
              <w:tc>
                <w:tcPr>
                  <w:tcW w:w="1000" w:type="pct"/>
                  <w:tcBorders>
                    <w:tl2br w:val="nil"/>
                    <w:tr2bl w:val="nil"/>
                  </w:tcBorders>
                  <w:vAlign w:val="center"/>
                </w:tcPr>
                <w:p>
                  <w:pPr>
                    <w:jc w:val="center"/>
                    <w:rPr>
                      <w:b/>
                      <w:bCs/>
                      <w:color w:val="auto"/>
                      <w:szCs w:val="21"/>
                    </w:rPr>
                  </w:pPr>
                  <w:r>
                    <w:rPr>
                      <w:b/>
                      <w:bCs/>
                      <w:color w:val="auto"/>
                      <w:szCs w:val="21"/>
                    </w:rPr>
                    <w:t>标准值</w:t>
                  </w:r>
                </w:p>
              </w:tc>
              <w:tc>
                <w:tcPr>
                  <w:tcW w:w="1007" w:type="pct"/>
                  <w:tcBorders>
                    <w:tl2br w:val="nil"/>
                    <w:tr2bl w:val="nil"/>
                  </w:tcBorders>
                  <w:vAlign w:val="center"/>
                </w:tcPr>
                <w:p>
                  <w:pPr>
                    <w:jc w:val="center"/>
                    <w:rPr>
                      <w:b/>
                      <w:bCs/>
                      <w:color w:val="auto"/>
                      <w:szCs w:val="21"/>
                    </w:rPr>
                  </w:pPr>
                  <w:r>
                    <w:rPr>
                      <w:b/>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restart"/>
                  <w:tcBorders>
                    <w:tl2br w:val="nil"/>
                    <w:tr2bl w:val="nil"/>
                  </w:tcBorders>
                  <w:vAlign w:val="center"/>
                </w:tcPr>
                <w:p>
                  <w:pPr>
                    <w:jc w:val="center"/>
                    <w:rPr>
                      <w:color w:val="auto"/>
                      <w:szCs w:val="21"/>
                    </w:rPr>
                  </w:pPr>
                  <w:r>
                    <w:rPr>
                      <w:color w:val="auto"/>
                      <w:szCs w:val="21"/>
                    </w:rPr>
                    <w:t>1</w:t>
                  </w:r>
                </w:p>
              </w:tc>
              <w:tc>
                <w:tcPr>
                  <w:tcW w:w="969" w:type="pct"/>
                  <w:vMerge w:val="restart"/>
                  <w:tcBorders>
                    <w:tl2br w:val="nil"/>
                    <w:tr2bl w:val="nil"/>
                  </w:tcBorders>
                  <w:vAlign w:val="center"/>
                </w:tcPr>
                <w:p>
                  <w:pPr>
                    <w:jc w:val="center"/>
                    <w:rPr>
                      <w:color w:val="auto"/>
                      <w:szCs w:val="21"/>
                    </w:rPr>
                  </w:pPr>
                  <w:r>
                    <w:rPr>
                      <w:color w:val="auto"/>
                      <w:szCs w:val="21"/>
                    </w:rPr>
                    <w:t>厂界</w:t>
                  </w:r>
                  <w:r>
                    <w:rPr>
                      <w:rFonts w:hint="eastAsia"/>
                      <w:color w:val="auto"/>
                      <w:szCs w:val="21"/>
                    </w:rPr>
                    <w:t>北1#</w:t>
                  </w:r>
                </w:p>
              </w:tc>
              <w:tc>
                <w:tcPr>
                  <w:tcW w:w="599" w:type="pct"/>
                  <w:tcBorders>
                    <w:tl2br w:val="nil"/>
                    <w:tr2bl w:val="nil"/>
                  </w:tcBorders>
                  <w:vAlign w:val="center"/>
                </w:tcPr>
                <w:p>
                  <w:pPr>
                    <w:jc w:val="center"/>
                    <w:rPr>
                      <w:color w:val="auto"/>
                      <w:szCs w:val="21"/>
                    </w:rPr>
                  </w:pPr>
                  <w:r>
                    <w:rPr>
                      <w:rFonts w:hint="eastAsia"/>
                      <w:color w:val="auto"/>
                      <w:szCs w:val="21"/>
                    </w:rPr>
                    <w:t>昼间</w:t>
                  </w:r>
                </w:p>
              </w:tc>
              <w:tc>
                <w:tcPr>
                  <w:tcW w:w="1000" w:type="pct"/>
                  <w:vMerge w:val="restart"/>
                  <w:tcBorders>
                    <w:tl2br w:val="nil"/>
                    <w:tr2bl w:val="nil"/>
                  </w:tcBorders>
                  <w:vAlign w:val="center"/>
                </w:tcPr>
                <w:p>
                  <w:pPr>
                    <w:jc w:val="center"/>
                    <w:rPr>
                      <w:color w:val="auto"/>
                      <w:szCs w:val="21"/>
                    </w:rPr>
                  </w:pPr>
                  <w:r>
                    <w:rPr>
                      <w:rFonts w:hint="eastAsia"/>
                      <w:color w:val="auto"/>
                      <w:szCs w:val="21"/>
                    </w:rPr>
                    <w:t>21.13</w:t>
                  </w:r>
                </w:p>
              </w:tc>
              <w:tc>
                <w:tcPr>
                  <w:tcW w:w="1000"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65</w:t>
                  </w:r>
                </w:p>
              </w:tc>
              <w:tc>
                <w:tcPr>
                  <w:tcW w:w="1007" w:type="pct"/>
                  <w:vMerge w:val="restart"/>
                  <w:tcBorders>
                    <w:tl2br w:val="nil"/>
                    <w:tr2bl w:val="nil"/>
                  </w:tcBorders>
                  <w:vAlign w:val="center"/>
                </w:tcPr>
                <w:p>
                  <w:pPr>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2" w:type="pct"/>
                  <w:vMerge w:val="continue"/>
                  <w:tcBorders>
                    <w:tl2br w:val="nil"/>
                    <w:tr2bl w:val="nil"/>
                  </w:tcBorders>
                  <w:vAlign w:val="center"/>
                </w:tcPr>
                <w:p>
                  <w:pPr>
                    <w:jc w:val="center"/>
                    <w:rPr>
                      <w:color w:val="auto"/>
                    </w:rPr>
                  </w:pPr>
                </w:p>
              </w:tc>
              <w:tc>
                <w:tcPr>
                  <w:tcW w:w="969" w:type="pct"/>
                  <w:vMerge w:val="continue"/>
                  <w:tcBorders>
                    <w:tl2br w:val="nil"/>
                    <w:tr2bl w:val="nil"/>
                  </w:tcBorders>
                  <w:vAlign w:val="center"/>
                </w:tcPr>
                <w:p>
                  <w:pPr>
                    <w:jc w:val="center"/>
                    <w:rPr>
                      <w:color w:val="auto"/>
                    </w:rPr>
                  </w:pPr>
                </w:p>
              </w:tc>
              <w:tc>
                <w:tcPr>
                  <w:tcW w:w="599" w:type="pct"/>
                  <w:tcBorders>
                    <w:tl2br w:val="nil"/>
                    <w:tr2bl w:val="nil"/>
                  </w:tcBorders>
                  <w:vAlign w:val="center"/>
                </w:tcPr>
                <w:p>
                  <w:pPr>
                    <w:jc w:val="center"/>
                    <w:rPr>
                      <w:color w:val="auto"/>
                      <w:szCs w:val="21"/>
                    </w:rPr>
                  </w:pPr>
                  <w:r>
                    <w:rPr>
                      <w:rFonts w:hint="eastAsia"/>
                      <w:color w:val="auto"/>
                      <w:szCs w:val="21"/>
                    </w:rPr>
                    <w:t>夜间</w:t>
                  </w:r>
                </w:p>
              </w:tc>
              <w:tc>
                <w:tcPr>
                  <w:tcW w:w="1000" w:type="pct"/>
                  <w:vMerge w:val="continue"/>
                  <w:tcBorders>
                    <w:tl2br w:val="nil"/>
                    <w:tr2bl w:val="nil"/>
                  </w:tcBorders>
                  <w:vAlign w:val="center"/>
                </w:tcPr>
                <w:p>
                  <w:pPr>
                    <w:jc w:val="center"/>
                    <w:rPr>
                      <w:color w:val="auto"/>
                      <w:szCs w:val="21"/>
                    </w:rPr>
                  </w:pPr>
                </w:p>
              </w:tc>
              <w:tc>
                <w:tcPr>
                  <w:tcW w:w="1000"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55</w:t>
                  </w:r>
                </w:p>
              </w:tc>
              <w:tc>
                <w:tcPr>
                  <w:tcW w:w="1007" w:type="pct"/>
                  <w:vMerge w:val="continue"/>
                  <w:tcBorders>
                    <w:tl2br w:val="nil"/>
                    <w:tr2bl w:val="nil"/>
                  </w:tcBorders>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2" w:type="pct"/>
                  <w:vMerge w:val="restart"/>
                  <w:tcBorders>
                    <w:tl2br w:val="nil"/>
                    <w:tr2bl w:val="nil"/>
                  </w:tcBorders>
                  <w:vAlign w:val="center"/>
                </w:tcPr>
                <w:p>
                  <w:pPr>
                    <w:jc w:val="center"/>
                    <w:rPr>
                      <w:color w:val="auto"/>
                      <w:szCs w:val="21"/>
                    </w:rPr>
                  </w:pPr>
                  <w:r>
                    <w:rPr>
                      <w:color w:val="auto"/>
                      <w:szCs w:val="21"/>
                    </w:rPr>
                    <w:t>2</w:t>
                  </w:r>
                </w:p>
              </w:tc>
              <w:tc>
                <w:tcPr>
                  <w:tcW w:w="969" w:type="pct"/>
                  <w:vMerge w:val="restart"/>
                  <w:tcBorders>
                    <w:tl2br w:val="nil"/>
                    <w:tr2bl w:val="nil"/>
                  </w:tcBorders>
                  <w:vAlign w:val="center"/>
                </w:tcPr>
                <w:p>
                  <w:pPr>
                    <w:jc w:val="center"/>
                    <w:rPr>
                      <w:color w:val="auto"/>
                      <w:szCs w:val="21"/>
                    </w:rPr>
                  </w:pPr>
                  <w:r>
                    <w:rPr>
                      <w:color w:val="auto"/>
                      <w:szCs w:val="21"/>
                    </w:rPr>
                    <w:t>厂界</w:t>
                  </w:r>
                  <w:r>
                    <w:rPr>
                      <w:rFonts w:hint="eastAsia"/>
                      <w:color w:val="auto"/>
                      <w:szCs w:val="21"/>
                    </w:rPr>
                    <w:t>东2#</w:t>
                  </w:r>
                </w:p>
              </w:tc>
              <w:tc>
                <w:tcPr>
                  <w:tcW w:w="599" w:type="pct"/>
                  <w:tcBorders>
                    <w:tl2br w:val="nil"/>
                    <w:tr2bl w:val="nil"/>
                  </w:tcBorders>
                  <w:vAlign w:val="center"/>
                </w:tcPr>
                <w:p>
                  <w:pPr>
                    <w:jc w:val="center"/>
                    <w:rPr>
                      <w:color w:val="auto"/>
                      <w:szCs w:val="21"/>
                    </w:rPr>
                  </w:pPr>
                  <w:r>
                    <w:rPr>
                      <w:rFonts w:hint="eastAsia"/>
                      <w:color w:val="auto"/>
                      <w:szCs w:val="21"/>
                    </w:rPr>
                    <w:t>昼间</w:t>
                  </w:r>
                </w:p>
              </w:tc>
              <w:tc>
                <w:tcPr>
                  <w:tcW w:w="1000" w:type="pct"/>
                  <w:vMerge w:val="restart"/>
                  <w:tcBorders>
                    <w:tl2br w:val="nil"/>
                    <w:tr2bl w:val="nil"/>
                  </w:tcBorders>
                  <w:vAlign w:val="center"/>
                </w:tcPr>
                <w:p>
                  <w:pPr>
                    <w:jc w:val="center"/>
                    <w:rPr>
                      <w:color w:val="auto"/>
                      <w:szCs w:val="21"/>
                    </w:rPr>
                  </w:pPr>
                  <w:r>
                    <w:rPr>
                      <w:rFonts w:hint="eastAsia"/>
                      <w:color w:val="auto"/>
                      <w:szCs w:val="21"/>
                    </w:rPr>
                    <w:t>24.40</w:t>
                  </w:r>
                </w:p>
              </w:tc>
              <w:tc>
                <w:tcPr>
                  <w:tcW w:w="1000" w:type="pct"/>
                  <w:tcBorders>
                    <w:tl2br w:val="nil"/>
                    <w:tr2bl w:val="nil"/>
                  </w:tcBorders>
                  <w:vAlign w:val="center"/>
                </w:tcPr>
                <w:p>
                  <w:pPr>
                    <w:jc w:val="center"/>
                    <w:rPr>
                      <w:color w:val="auto"/>
                      <w:szCs w:val="21"/>
                    </w:rPr>
                  </w:pPr>
                  <w:r>
                    <w:rPr>
                      <w:rFonts w:hint="eastAsia"/>
                      <w:color w:val="auto"/>
                      <w:szCs w:val="21"/>
                      <w:lang w:val="en-US" w:eastAsia="zh-CN"/>
                    </w:rPr>
                    <w:t>65</w:t>
                  </w:r>
                </w:p>
              </w:tc>
              <w:tc>
                <w:tcPr>
                  <w:tcW w:w="1007" w:type="pct"/>
                  <w:vMerge w:val="restart"/>
                  <w:tcBorders>
                    <w:tl2br w:val="nil"/>
                    <w:tr2bl w:val="nil"/>
                  </w:tcBorders>
                  <w:vAlign w:val="center"/>
                </w:tcPr>
                <w:p>
                  <w:pPr>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22" w:type="pct"/>
                  <w:vMerge w:val="continue"/>
                  <w:tcBorders>
                    <w:tl2br w:val="nil"/>
                    <w:tr2bl w:val="nil"/>
                  </w:tcBorders>
                  <w:vAlign w:val="center"/>
                </w:tcPr>
                <w:p>
                  <w:pPr>
                    <w:jc w:val="center"/>
                    <w:rPr>
                      <w:color w:val="auto"/>
                    </w:rPr>
                  </w:pPr>
                </w:p>
              </w:tc>
              <w:tc>
                <w:tcPr>
                  <w:tcW w:w="969" w:type="pct"/>
                  <w:vMerge w:val="continue"/>
                  <w:tcBorders>
                    <w:tl2br w:val="nil"/>
                    <w:tr2bl w:val="nil"/>
                  </w:tcBorders>
                  <w:vAlign w:val="center"/>
                </w:tcPr>
                <w:p>
                  <w:pPr>
                    <w:jc w:val="center"/>
                    <w:rPr>
                      <w:color w:val="auto"/>
                    </w:rPr>
                  </w:pPr>
                </w:p>
              </w:tc>
              <w:tc>
                <w:tcPr>
                  <w:tcW w:w="599" w:type="pct"/>
                  <w:tcBorders>
                    <w:tl2br w:val="nil"/>
                    <w:tr2bl w:val="nil"/>
                  </w:tcBorders>
                  <w:vAlign w:val="center"/>
                </w:tcPr>
                <w:p>
                  <w:pPr>
                    <w:jc w:val="center"/>
                    <w:rPr>
                      <w:color w:val="auto"/>
                      <w:szCs w:val="21"/>
                    </w:rPr>
                  </w:pPr>
                  <w:r>
                    <w:rPr>
                      <w:rFonts w:hint="eastAsia"/>
                      <w:color w:val="auto"/>
                      <w:szCs w:val="21"/>
                    </w:rPr>
                    <w:t>夜间</w:t>
                  </w:r>
                </w:p>
              </w:tc>
              <w:tc>
                <w:tcPr>
                  <w:tcW w:w="1000" w:type="pct"/>
                  <w:vMerge w:val="continue"/>
                  <w:tcBorders>
                    <w:tl2br w:val="nil"/>
                    <w:tr2bl w:val="nil"/>
                  </w:tcBorders>
                  <w:vAlign w:val="center"/>
                </w:tcPr>
                <w:p>
                  <w:pPr>
                    <w:jc w:val="center"/>
                    <w:rPr>
                      <w:color w:val="auto"/>
                      <w:szCs w:val="21"/>
                    </w:rPr>
                  </w:pPr>
                </w:p>
              </w:tc>
              <w:tc>
                <w:tcPr>
                  <w:tcW w:w="1000" w:type="pct"/>
                  <w:tcBorders>
                    <w:tl2br w:val="nil"/>
                    <w:tr2bl w:val="nil"/>
                  </w:tcBorders>
                  <w:vAlign w:val="center"/>
                </w:tcPr>
                <w:p>
                  <w:pPr>
                    <w:jc w:val="center"/>
                    <w:rPr>
                      <w:color w:val="auto"/>
                      <w:szCs w:val="21"/>
                    </w:rPr>
                  </w:pPr>
                  <w:r>
                    <w:rPr>
                      <w:rFonts w:hint="eastAsia"/>
                      <w:color w:val="auto"/>
                      <w:szCs w:val="21"/>
                      <w:lang w:val="en-US" w:eastAsia="zh-CN"/>
                    </w:rPr>
                    <w:t>55</w:t>
                  </w:r>
                </w:p>
              </w:tc>
              <w:tc>
                <w:tcPr>
                  <w:tcW w:w="1007" w:type="pct"/>
                  <w:vMerge w:val="continue"/>
                  <w:tcBorders>
                    <w:tl2br w:val="nil"/>
                    <w:tr2bl w:val="nil"/>
                  </w:tcBorders>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2" w:type="pct"/>
                  <w:vMerge w:val="restart"/>
                  <w:tcBorders>
                    <w:tl2br w:val="nil"/>
                    <w:tr2bl w:val="nil"/>
                  </w:tcBorders>
                  <w:vAlign w:val="center"/>
                </w:tcPr>
                <w:p>
                  <w:pPr>
                    <w:jc w:val="center"/>
                    <w:rPr>
                      <w:color w:val="auto"/>
                      <w:szCs w:val="21"/>
                    </w:rPr>
                  </w:pPr>
                  <w:r>
                    <w:rPr>
                      <w:color w:val="auto"/>
                      <w:szCs w:val="21"/>
                    </w:rPr>
                    <w:t>3</w:t>
                  </w:r>
                </w:p>
              </w:tc>
              <w:tc>
                <w:tcPr>
                  <w:tcW w:w="969" w:type="pct"/>
                  <w:vMerge w:val="restart"/>
                  <w:tcBorders>
                    <w:tl2br w:val="nil"/>
                    <w:tr2bl w:val="nil"/>
                  </w:tcBorders>
                  <w:vAlign w:val="center"/>
                </w:tcPr>
                <w:p>
                  <w:pPr>
                    <w:jc w:val="center"/>
                    <w:rPr>
                      <w:color w:val="auto"/>
                      <w:szCs w:val="21"/>
                    </w:rPr>
                  </w:pPr>
                  <w:r>
                    <w:rPr>
                      <w:color w:val="auto"/>
                      <w:szCs w:val="21"/>
                    </w:rPr>
                    <w:t>厂界</w:t>
                  </w:r>
                  <w:r>
                    <w:rPr>
                      <w:rFonts w:hint="eastAsia"/>
                      <w:color w:val="auto"/>
                      <w:szCs w:val="21"/>
                    </w:rPr>
                    <w:t>东3#</w:t>
                  </w:r>
                </w:p>
              </w:tc>
              <w:tc>
                <w:tcPr>
                  <w:tcW w:w="599" w:type="pct"/>
                  <w:tcBorders>
                    <w:tl2br w:val="nil"/>
                    <w:tr2bl w:val="nil"/>
                  </w:tcBorders>
                  <w:vAlign w:val="center"/>
                </w:tcPr>
                <w:p>
                  <w:pPr>
                    <w:jc w:val="center"/>
                    <w:rPr>
                      <w:color w:val="auto"/>
                      <w:szCs w:val="21"/>
                    </w:rPr>
                  </w:pPr>
                  <w:r>
                    <w:rPr>
                      <w:rFonts w:hint="eastAsia"/>
                      <w:color w:val="auto"/>
                      <w:szCs w:val="21"/>
                    </w:rPr>
                    <w:t>昼间</w:t>
                  </w:r>
                </w:p>
              </w:tc>
              <w:tc>
                <w:tcPr>
                  <w:tcW w:w="1000" w:type="pct"/>
                  <w:vMerge w:val="restart"/>
                  <w:tcBorders>
                    <w:tl2br w:val="nil"/>
                    <w:tr2bl w:val="nil"/>
                  </w:tcBorders>
                  <w:vAlign w:val="center"/>
                </w:tcPr>
                <w:p>
                  <w:pPr>
                    <w:jc w:val="center"/>
                    <w:rPr>
                      <w:color w:val="auto"/>
                      <w:szCs w:val="21"/>
                    </w:rPr>
                  </w:pPr>
                  <w:r>
                    <w:rPr>
                      <w:rFonts w:hint="eastAsia"/>
                      <w:color w:val="auto"/>
                      <w:szCs w:val="21"/>
                    </w:rPr>
                    <w:t>33.08</w:t>
                  </w:r>
                </w:p>
              </w:tc>
              <w:tc>
                <w:tcPr>
                  <w:tcW w:w="1000" w:type="pct"/>
                  <w:tcBorders>
                    <w:tl2br w:val="nil"/>
                    <w:tr2bl w:val="nil"/>
                  </w:tcBorders>
                  <w:vAlign w:val="center"/>
                </w:tcPr>
                <w:p>
                  <w:pPr>
                    <w:jc w:val="center"/>
                    <w:rPr>
                      <w:color w:val="auto"/>
                      <w:szCs w:val="21"/>
                    </w:rPr>
                  </w:pPr>
                  <w:r>
                    <w:rPr>
                      <w:rFonts w:hint="eastAsia"/>
                      <w:color w:val="auto"/>
                      <w:szCs w:val="21"/>
                      <w:lang w:val="en-US" w:eastAsia="zh-CN"/>
                    </w:rPr>
                    <w:t>65</w:t>
                  </w:r>
                </w:p>
              </w:tc>
              <w:tc>
                <w:tcPr>
                  <w:tcW w:w="1007" w:type="pct"/>
                  <w:vMerge w:val="restart"/>
                  <w:tcBorders>
                    <w:tl2br w:val="nil"/>
                    <w:tr2bl w:val="nil"/>
                  </w:tcBorders>
                  <w:vAlign w:val="center"/>
                </w:tcPr>
                <w:p>
                  <w:pPr>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2" w:type="pct"/>
                  <w:vMerge w:val="continue"/>
                  <w:tcBorders>
                    <w:tl2br w:val="nil"/>
                    <w:tr2bl w:val="nil"/>
                  </w:tcBorders>
                  <w:vAlign w:val="center"/>
                </w:tcPr>
                <w:p>
                  <w:pPr>
                    <w:jc w:val="center"/>
                    <w:rPr>
                      <w:color w:val="auto"/>
                    </w:rPr>
                  </w:pPr>
                </w:p>
              </w:tc>
              <w:tc>
                <w:tcPr>
                  <w:tcW w:w="969" w:type="pct"/>
                  <w:vMerge w:val="continue"/>
                  <w:tcBorders>
                    <w:tl2br w:val="nil"/>
                    <w:tr2bl w:val="nil"/>
                  </w:tcBorders>
                  <w:vAlign w:val="center"/>
                </w:tcPr>
                <w:p>
                  <w:pPr>
                    <w:jc w:val="center"/>
                    <w:rPr>
                      <w:color w:val="auto"/>
                    </w:rPr>
                  </w:pPr>
                </w:p>
              </w:tc>
              <w:tc>
                <w:tcPr>
                  <w:tcW w:w="599" w:type="pct"/>
                  <w:tcBorders>
                    <w:tl2br w:val="nil"/>
                    <w:tr2bl w:val="nil"/>
                  </w:tcBorders>
                  <w:vAlign w:val="center"/>
                </w:tcPr>
                <w:p>
                  <w:pPr>
                    <w:jc w:val="center"/>
                    <w:rPr>
                      <w:color w:val="auto"/>
                      <w:szCs w:val="21"/>
                    </w:rPr>
                  </w:pPr>
                  <w:r>
                    <w:rPr>
                      <w:rFonts w:hint="eastAsia"/>
                      <w:color w:val="auto"/>
                      <w:szCs w:val="21"/>
                    </w:rPr>
                    <w:t>夜间</w:t>
                  </w:r>
                </w:p>
              </w:tc>
              <w:tc>
                <w:tcPr>
                  <w:tcW w:w="1000" w:type="pct"/>
                  <w:vMerge w:val="continue"/>
                  <w:tcBorders>
                    <w:tl2br w:val="nil"/>
                    <w:tr2bl w:val="nil"/>
                  </w:tcBorders>
                  <w:vAlign w:val="center"/>
                </w:tcPr>
                <w:p>
                  <w:pPr>
                    <w:jc w:val="center"/>
                    <w:rPr>
                      <w:color w:val="auto"/>
                      <w:szCs w:val="21"/>
                    </w:rPr>
                  </w:pPr>
                </w:p>
              </w:tc>
              <w:tc>
                <w:tcPr>
                  <w:tcW w:w="1000" w:type="pct"/>
                  <w:tcBorders>
                    <w:tl2br w:val="nil"/>
                    <w:tr2bl w:val="nil"/>
                  </w:tcBorders>
                  <w:vAlign w:val="center"/>
                </w:tcPr>
                <w:p>
                  <w:pPr>
                    <w:jc w:val="center"/>
                    <w:rPr>
                      <w:color w:val="auto"/>
                      <w:szCs w:val="21"/>
                    </w:rPr>
                  </w:pPr>
                  <w:r>
                    <w:rPr>
                      <w:rFonts w:hint="eastAsia"/>
                      <w:color w:val="auto"/>
                      <w:szCs w:val="21"/>
                      <w:lang w:val="en-US" w:eastAsia="zh-CN"/>
                    </w:rPr>
                    <w:t>55</w:t>
                  </w:r>
                </w:p>
              </w:tc>
              <w:tc>
                <w:tcPr>
                  <w:tcW w:w="1007" w:type="pct"/>
                  <w:vMerge w:val="continue"/>
                  <w:tcBorders>
                    <w:tl2br w:val="nil"/>
                    <w:tr2bl w:val="nil"/>
                  </w:tcBorders>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22" w:type="pct"/>
                  <w:vMerge w:val="restart"/>
                  <w:tcBorders>
                    <w:tl2br w:val="nil"/>
                    <w:tr2bl w:val="nil"/>
                  </w:tcBorders>
                  <w:vAlign w:val="center"/>
                </w:tcPr>
                <w:p>
                  <w:pPr>
                    <w:jc w:val="center"/>
                    <w:rPr>
                      <w:color w:val="auto"/>
                      <w:szCs w:val="21"/>
                    </w:rPr>
                  </w:pPr>
                  <w:r>
                    <w:rPr>
                      <w:color w:val="auto"/>
                      <w:szCs w:val="21"/>
                    </w:rPr>
                    <w:t>4</w:t>
                  </w:r>
                </w:p>
              </w:tc>
              <w:tc>
                <w:tcPr>
                  <w:tcW w:w="969" w:type="pct"/>
                  <w:vMerge w:val="restart"/>
                  <w:tcBorders>
                    <w:tl2br w:val="nil"/>
                    <w:tr2bl w:val="nil"/>
                  </w:tcBorders>
                  <w:vAlign w:val="center"/>
                </w:tcPr>
                <w:p>
                  <w:pPr>
                    <w:jc w:val="center"/>
                    <w:rPr>
                      <w:color w:val="auto"/>
                      <w:szCs w:val="21"/>
                    </w:rPr>
                  </w:pPr>
                  <w:r>
                    <w:rPr>
                      <w:color w:val="auto"/>
                      <w:szCs w:val="21"/>
                    </w:rPr>
                    <w:t>厂界</w:t>
                  </w:r>
                  <w:r>
                    <w:rPr>
                      <w:rFonts w:hint="eastAsia"/>
                      <w:color w:val="auto"/>
                      <w:szCs w:val="21"/>
                    </w:rPr>
                    <w:t>南4#</w:t>
                  </w:r>
                </w:p>
              </w:tc>
              <w:tc>
                <w:tcPr>
                  <w:tcW w:w="599" w:type="pct"/>
                  <w:tcBorders>
                    <w:tl2br w:val="nil"/>
                    <w:tr2bl w:val="nil"/>
                  </w:tcBorders>
                  <w:vAlign w:val="center"/>
                </w:tcPr>
                <w:p>
                  <w:pPr>
                    <w:jc w:val="center"/>
                    <w:rPr>
                      <w:color w:val="auto"/>
                      <w:szCs w:val="21"/>
                    </w:rPr>
                  </w:pPr>
                  <w:r>
                    <w:rPr>
                      <w:rFonts w:hint="eastAsia"/>
                      <w:color w:val="auto"/>
                      <w:szCs w:val="21"/>
                    </w:rPr>
                    <w:t>昼间</w:t>
                  </w:r>
                </w:p>
              </w:tc>
              <w:tc>
                <w:tcPr>
                  <w:tcW w:w="1000" w:type="pct"/>
                  <w:vMerge w:val="restart"/>
                  <w:tcBorders>
                    <w:tl2br w:val="nil"/>
                    <w:tr2bl w:val="nil"/>
                  </w:tcBorders>
                  <w:vAlign w:val="center"/>
                </w:tcPr>
                <w:p>
                  <w:pPr>
                    <w:jc w:val="center"/>
                    <w:rPr>
                      <w:color w:val="auto"/>
                      <w:szCs w:val="21"/>
                    </w:rPr>
                  </w:pPr>
                  <w:r>
                    <w:rPr>
                      <w:rFonts w:hint="eastAsia"/>
                      <w:color w:val="auto"/>
                      <w:szCs w:val="21"/>
                    </w:rPr>
                    <w:t>27.41</w:t>
                  </w:r>
                </w:p>
              </w:tc>
              <w:tc>
                <w:tcPr>
                  <w:tcW w:w="1000" w:type="pct"/>
                  <w:tcBorders>
                    <w:tl2br w:val="nil"/>
                    <w:tr2bl w:val="nil"/>
                  </w:tcBorders>
                  <w:vAlign w:val="center"/>
                </w:tcPr>
                <w:p>
                  <w:pPr>
                    <w:jc w:val="center"/>
                    <w:rPr>
                      <w:color w:val="auto"/>
                      <w:szCs w:val="21"/>
                    </w:rPr>
                  </w:pPr>
                  <w:r>
                    <w:rPr>
                      <w:rFonts w:hint="eastAsia"/>
                      <w:color w:val="auto"/>
                      <w:szCs w:val="21"/>
                      <w:lang w:val="en-US" w:eastAsia="zh-CN"/>
                    </w:rPr>
                    <w:t>65</w:t>
                  </w:r>
                </w:p>
              </w:tc>
              <w:tc>
                <w:tcPr>
                  <w:tcW w:w="1007" w:type="pct"/>
                  <w:vMerge w:val="restart"/>
                  <w:tcBorders>
                    <w:tl2br w:val="nil"/>
                    <w:tr2bl w:val="nil"/>
                  </w:tcBorders>
                  <w:vAlign w:val="center"/>
                </w:tcPr>
                <w:p>
                  <w:pPr>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22" w:type="pct"/>
                  <w:vMerge w:val="continue"/>
                  <w:tcBorders>
                    <w:tl2br w:val="nil"/>
                    <w:tr2bl w:val="nil"/>
                  </w:tcBorders>
                  <w:vAlign w:val="center"/>
                </w:tcPr>
                <w:p>
                  <w:pPr>
                    <w:jc w:val="center"/>
                    <w:rPr>
                      <w:color w:val="auto"/>
                    </w:rPr>
                  </w:pPr>
                </w:p>
              </w:tc>
              <w:tc>
                <w:tcPr>
                  <w:tcW w:w="969" w:type="pct"/>
                  <w:vMerge w:val="continue"/>
                  <w:tcBorders>
                    <w:tl2br w:val="nil"/>
                    <w:tr2bl w:val="nil"/>
                  </w:tcBorders>
                  <w:vAlign w:val="center"/>
                </w:tcPr>
                <w:p>
                  <w:pPr>
                    <w:jc w:val="center"/>
                    <w:rPr>
                      <w:color w:val="auto"/>
                    </w:rPr>
                  </w:pPr>
                </w:p>
              </w:tc>
              <w:tc>
                <w:tcPr>
                  <w:tcW w:w="599" w:type="pct"/>
                  <w:tcBorders>
                    <w:tl2br w:val="nil"/>
                    <w:tr2bl w:val="nil"/>
                  </w:tcBorders>
                  <w:vAlign w:val="center"/>
                </w:tcPr>
                <w:p>
                  <w:pPr>
                    <w:jc w:val="center"/>
                    <w:rPr>
                      <w:color w:val="auto"/>
                      <w:szCs w:val="21"/>
                    </w:rPr>
                  </w:pPr>
                  <w:r>
                    <w:rPr>
                      <w:rFonts w:hint="eastAsia"/>
                      <w:color w:val="auto"/>
                      <w:szCs w:val="21"/>
                    </w:rPr>
                    <w:t>夜间</w:t>
                  </w:r>
                </w:p>
              </w:tc>
              <w:tc>
                <w:tcPr>
                  <w:tcW w:w="1000" w:type="pct"/>
                  <w:vMerge w:val="continue"/>
                  <w:tcBorders>
                    <w:tl2br w:val="nil"/>
                    <w:tr2bl w:val="nil"/>
                  </w:tcBorders>
                  <w:vAlign w:val="center"/>
                </w:tcPr>
                <w:p>
                  <w:pPr>
                    <w:jc w:val="center"/>
                    <w:rPr>
                      <w:color w:val="auto"/>
                      <w:szCs w:val="21"/>
                    </w:rPr>
                  </w:pPr>
                </w:p>
              </w:tc>
              <w:tc>
                <w:tcPr>
                  <w:tcW w:w="1000" w:type="pct"/>
                  <w:tcBorders>
                    <w:tl2br w:val="nil"/>
                    <w:tr2bl w:val="nil"/>
                  </w:tcBorders>
                  <w:vAlign w:val="center"/>
                </w:tcPr>
                <w:p>
                  <w:pPr>
                    <w:jc w:val="center"/>
                    <w:rPr>
                      <w:color w:val="auto"/>
                      <w:szCs w:val="21"/>
                    </w:rPr>
                  </w:pPr>
                  <w:r>
                    <w:rPr>
                      <w:rFonts w:hint="eastAsia"/>
                      <w:color w:val="auto"/>
                      <w:szCs w:val="21"/>
                      <w:lang w:val="en-US" w:eastAsia="zh-CN"/>
                    </w:rPr>
                    <w:t>55</w:t>
                  </w:r>
                </w:p>
              </w:tc>
              <w:tc>
                <w:tcPr>
                  <w:tcW w:w="1007" w:type="pct"/>
                  <w:vMerge w:val="continue"/>
                  <w:tcBorders>
                    <w:tl2br w:val="nil"/>
                    <w:tr2bl w:val="nil"/>
                  </w:tcBorders>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22" w:type="pct"/>
                  <w:vMerge w:val="restart"/>
                  <w:tcBorders>
                    <w:tl2br w:val="nil"/>
                    <w:tr2bl w:val="nil"/>
                  </w:tcBorders>
                  <w:vAlign w:val="center"/>
                </w:tcPr>
                <w:p>
                  <w:pPr>
                    <w:jc w:val="center"/>
                    <w:rPr>
                      <w:color w:val="auto"/>
                    </w:rPr>
                  </w:pPr>
                  <w:r>
                    <w:rPr>
                      <w:rFonts w:hint="eastAsia"/>
                      <w:color w:val="auto"/>
                    </w:rPr>
                    <w:t>5</w:t>
                  </w:r>
                </w:p>
              </w:tc>
              <w:tc>
                <w:tcPr>
                  <w:tcW w:w="969" w:type="pct"/>
                  <w:vMerge w:val="restart"/>
                  <w:tcBorders>
                    <w:tl2br w:val="nil"/>
                    <w:tr2bl w:val="nil"/>
                  </w:tcBorders>
                  <w:vAlign w:val="center"/>
                </w:tcPr>
                <w:p>
                  <w:pPr>
                    <w:jc w:val="center"/>
                    <w:rPr>
                      <w:color w:val="auto"/>
                    </w:rPr>
                  </w:pPr>
                  <w:r>
                    <w:rPr>
                      <w:rFonts w:hint="eastAsia"/>
                      <w:color w:val="auto"/>
                    </w:rPr>
                    <w:t>厂界西5#</w:t>
                  </w:r>
                </w:p>
              </w:tc>
              <w:tc>
                <w:tcPr>
                  <w:tcW w:w="599" w:type="pct"/>
                  <w:tcBorders>
                    <w:tl2br w:val="nil"/>
                    <w:tr2bl w:val="nil"/>
                  </w:tcBorders>
                  <w:vAlign w:val="center"/>
                </w:tcPr>
                <w:p>
                  <w:pPr>
                    <w:jc w:val="center"/>
                    <w:rPr>
                      <w:color w:val="auto"/>
                      <w:szCs w:val="21"/>
                    </w:rPr>
                  </w:pPr>
                  <w:r>
                    <w:rPr>
                      <w:rFonts w:hint="eastAsia"/>
                      <w:color w:val="auto"/>
                      <w:szCs w:val="21"/>
                    </w:rPr>
                    <w:t>昼间</w:t>
                  </w:r>
                </w:p>
              </w:tc>
              <w:tc>
                <w:tcPr>
                  <w:tcW w:w="1000" w:type="pct"/>
                  <w:vMerge w:val="restart"/>
                  <w:tcBorders>
                    <w:tl2br w:val="nil"/>
                    <w:tr2bl w:val="nil"/>
                  </w:tcBorders>
                  <w:vAlign w:val="center"/>
                </w:tcPr>
                <w:p>
                  <w:pPr>
                    <w:jc w:val="center"/>
                    <w:rPr>
                      <w:color w:val="auto"/>
                      <w:szCs w:val="21"/>
                    </w:rPr>
                  </w:pPr>
                  <w:r>
                    <w:rPr>
                      <w:rFonts w:hint="eastAsia"/>
                      <w:color w:val="auto"/>
                      <w:szCs w:val="21"/>
                    </w:rPr>
                    <w:t>27.31</w:t>
                  </w:r>
                </w:p>
              </w:tc>
              <w:tc>
                <w:tcPr>
                  <w:tcW w:w="1000" w:type="pct"/>
                  <w:tcBorders>
                    <w:tl2br w:val="nil"/>
                    <w:tr2bl w:val="nil"/>
                  </w:tcBorders>
                  <w:vAlign w:val="center"/>
                </w:tcPr>
                <w:p>
                  <w:pPr>
                    <w:jc w:val="center"/>
                    <w:rPr>
                      <w:color w:val="auto"/>
                      <w:szCs w:val="21"/>
                    </w:rPr>
                  </w:pPr>
                  <w:r>
                    <w:rPr>
                      <w:rFonts w:hint="eastAsia"/>
                      <w:color w:val="auto"/>
                      <w:szCs w:val="21"/>
                      <w:lang w:val="en-US" w:eastAsia="zh-CN"/>
                    </w:rPr>
                    <w:t>65</w:t>
                  </w:r>
                </w:p>
              </w:tc>
              <w:tc>
                <w:tcPr>
                  <w:tcW w:w="1007" w:type="pct"/>
                  <w:vMerge w:val="restart"/>
                  <w:tcBorders>
                    <w:tl2br w:val="nil"/>
                    <w:tr2bl w:val="nil"/>
                  </w:tcBorders>
                  <w:vAlign w:val="center"/>
                </w:tcPr>
                <w:p>
                  <w:pPr>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22" w:type="pct"/>
                  <w:vMerge w:val="continue"/>
                  <w:tcBorders>
                    <w:tl2br w:val="nil"/>
                    <w:tr2bl w:val="nil"/>
                  </w:tcBorders>
                  <w:vAlign w:val="center"/>
                </w:tcPr>
                <w:p>
                  <w:pPr>
                    <w:jc w:val="center"/>
                    <w:rPr>
                      <w:color w:val="auto"/>
                    </w:rPr>
                  </w:pPr>
                </w:p>
              </w:tc>
              <w:tc>
                <w:tcPr>
                  <w:tcW w:w="969" w:type="pct"/>
                  <w:vMerge w:val="continue"/>
                  <w:tcBorders>
                    <w:tl2br w:val="nil"/>
                    <w:tr2bl w:val="nil"/>
                  </w:tcBorders>
                  <w:vAlign w:val="center"/>
                </w:tcPr>
                <w:p>
                  <w:pPr>
                    <w:jc w:val="center"/>
                    <w:rPr>
                      <w:color w:val="auto"/>
                    </w:rPr>
                  </w:pPr>
                </w:p>
              </w:tc>
              <w:tc>
                <w:tcPr>
                  <w:tcW w:w="599" w:type="pct"/>
                  <w:tcBorders>
                    <w:tl2br w:val="nil"/>
                    <w:tr2bl w:val="nil"/>
                  </w:tcBorders>
                  <w:vAlign w:val="center"/>
                </w:tcPr>
                <w:p>
                  <w:pPr>
                    <w:jc w:val="center"/>
                    <w:rPr>
                      <w:color w:val="auto"/>
                      <w:szCs w:val="21"/>
                    </w:rPr>
                  </w:pPr>
                  <w:r>
                    <w:rPr>
                      <w:rFonts w:hint="eastAsia"/>
                      <w:color w:val="auto"/>
                      <w:szCs w:val="21"/>
                    </w:rPr>
                    <w:t>夜间</w:t>
                  </w:r>
                </w:p>
              </w:tc>
              <w:tc>
                <w:tcPr>
                  <w:tcW w:w="1000" w:type="pct"/>
                  <w:vMerge w:val="continue"/>
                  <w:tcBorders>
                    <w:tl2br w:val="nil"/>
                    <w:tr2bl w:val="nil"/>
                  </w:tcBorders>
                  <w:vAlign w:val="center"/>
                </w:tcPr>
                <w:p>
                  <w:pPr>
                    <w:jc w:val="center"/>
                    <w:rPr>
                      <w:color w:val="auto"/>
                      <w:szCs w:val="21"/>
                    </w:rPr>
                  </w:pPr>
                </w:p>
              </w:tc>
              <w:tc>
                <w:tcPr>
                  <w:tcW w:w="1000" w:type="pct"/>
                  <w:tcBorders>
                    <w:tl2br w:val="nil"/>
                    <w:tr2bl w:val="nil"/>
                  </w:tcBorders>
                  <w:vAlign w:val="center"/>
                </w:tcPr>
                <w:p>
                  <w:pPr>
                    <w:jc w:val="center"/>
                    <w:rPr>
                      <w:color w:val="auto"/>
                      <w:szCs w:val="21"/>
                    </w:rPr>
                  </w:pPr>
                  <w:r>
                    <w:rPr>
                      <w:rFonts w:hint="eastAsia"/>
                      <w:color w:val="auto"/>
                      <w:szCs w:val="21"/>
                      <w:lang w:val="en-US" w:eastAsia="zh-CN"/>
                    </w:rPr>
                    <w:t>55</w:t>
                  </w:r>
                </w:p>
              </w:tc>
              <w:tc>
                <w:tcPr>
                  <w:tcW w:w="1007" w:type="pct"/>
                  <w:vMerge w:val="continue"/>
                  <w:tcBorders>
                    <w:tl2br w:val="nil"/>
                    <w:tr2bl w:val="nil"/>
                  </w:tcBorders>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22" w:type="pct"/>
                  <w:vMerge w:val="restart"/>
                  <w:tcBorders>
                    <w:tl2br w:val="nil"/>
                    <w:tr2bl w:val="nil"/>
                  </w:tcBorders>
                  <w:vAlign w:val="center"/>
                </w:tcPr>
                <w:p>
                  <w:pPr>
                    <w:jc w:val="center"/>
                    <w:rPr>
                      <w:color w:val="auto"/>
                    </w:rPr>
                  </w:pPr>
                  <w:r>
                    <w:rPr>
                      <w:rFonts w:hint="eastAsia"/>
                      <w:color w:val="auto"/>
                    </w:rPr>
                    <w:t>6</w:t>
                  </w:r>
                </w:p>
              </w:tc>
              <w:tc>
                <w:tcPr>
                  <w:tcW w:w="969" w:type="pct"/>
                  <w:vMerge w:val="restart"/>
                  <w:tcBorders>
                    <w:tl2br w:val="nil"/>
                    <w:tr2bl w:val="nil"/>
                  </w:tcBorders>
                  <w:vAlign w:val="center"/>
                </w:tcPr>
                <w:p>
                  <w:pPr>
                    <w:jc w:val="center"/>
                    <w:rPr>
                      <w:color w:val="auto"/>
                    </w:rPr>
                  </w:pPr>
                  <w:r>
                    <w:rPr>
                      <w:rFonts w:hint="eastAsia"/>
                      <w:color w:val="auto"/>
                    </w:rPr>
                    <w:t>厂界西6#</w:t>
                  </w:r>
                </w:p>
              </w:tc>
              <w:tc>
                <w:tcPr>
                  <w:tcW w:w="599" w:type="pct"/>
                  <w:tcBorders>
                    <w:tl2br w:val="nil"/>
                    <w:tr2bl w:val="nil"/>
                  </w:tcBorders>
                  <w:vAlign w:val="center"/>
                </w:tcPr>
                <w:p>
                  <w:pPr>
                    <w:jc w:val="center"/>
                    <w:rPr>
                      <w:color w:val="auto"/>
                      <w:szCs w:val="21"/>
                    </w:rPr>
                  </w:pPr>
                  <w:r>
                    <w:rPr>
                      <w:rFonts w:hint="eastAsia"/>
                      <w:color w:val="auto"/>
                      <w:szCs w:val="21"/>
                    </w:rPr>
                    <w:t>昼间</w:t>
                  </w:r>
                </w:p>
              </w:tc>
              <w:tc>
                <w:tcPr>
                  <w:tcW w:w="1000" w:type="pct"/>
                  <w:vMerge w:val="restart"/>
                  <w:tcBorders>
                    <w:tl2br w:val="nil"/>
                    <w:tr2bl w:val="nil"/>
                  </w:tcBorders>
                  <w:vAlign w:val="center"/>
                </w:tcPr>
                <w:p>
                  <w:pPr>
                    <w:jc w:val="center"/>
                    <w:rPr>
                      <w:color w:val="auto"/>
                      <w:szCs w:val="21"/>
                    </w:rPr>
                  </w:pPr>
                  <w:r>
                    <w:rPr>
                      <w:rFonts w:hint="eastAsia"/>
                      <w:color w:val="auto"/>
                      <w:szCs w:val="21"/>
                    </w:rPr>
                    <w:t>23.09</w:t>
                  </w:r>
                </w:p>
              </w:tc>
              <w:tc>
                <w:tcPr>
                  <w:tcW w:w="1000" w:type="pct"/>
                  <w:tcBorders>
                    <w:tl2br w:val="nil"/>
                    <w:tr2bl w:val="nil"/>
                  </w:tcBorders>
                  <w:vAlign w:val="center"/>
                </w:tcPr>
                <w:p>
                  <w:pPr>
                    <w:jc w:val="center"/>
                    <w:rPr>
                      <w:color w:val="auto"/>
                      <w:szCs w:val="21"/>
                    </w:rPr>
                  </w:pPr>
                  <w:r>
                    <w:rPr>
                      <w:rFonts w:hint="eastAsia"/>
                      <w:color w:val="auto"/>
                      <w:szCs w:val="21"/>
                      <w:lang w:val="en-US" w:eastAsia="zh-CN"/>
                    </w:rPr>
                    <w:t>65</w:t>
                  </w:r>
                </w:p>
              </w:tc>
              <w:tc>
                <w:tcPr>
                  <w:tcW w:w="1007" w:type="pct"/>
                  <w:vMerge w:val="restart"/>
                  <w:tcBorders>
                    <w:tl2br w:val="nil"/>
                    <w:tr2bl w:val="nil"/>
                  </w:tcBorders>
                  <w:vAlign w:val="center"/>
                </w:tcPr>
                <w:p>
                  <w:pPr>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22" w:type="pct"/>
                  <w:vMerge w:val="continue"/>
                  <w:tcBorders>
                    <w:tl2br w:val="nil"/>
                    <w:tr2bl w:val="nil"/>
                  </w:tcBorders>
                  <w:vAlign w:val="center"/>
                </w:tcPr>
                <w:p>
                  <w:pPr>
                    <w:jc w:val="center"/>
                    <w:rPr>
                      <w:color w:val="auto"/>
                    </w:rPr>
                  </w:pPr>
                </w:p>
              </w:tc>
              <w:tc>
                <w:tcPr>
                  <w:tcW w:w="969" w:type="pct"/>
                  <w:vMerge w:val="continue"/>
                  <w:tcBorders>
                    <w:tl2br w:val="nil"/>
                    <w:tr2bl w:val="nil"/>
                  </w:tcBorders>
                  <w:vAlign w:val="center"/>
                </w:tcPr>
                <w:p>
                  <w:pPr>
                    <w:jc w:val="center"/>
                    <w:rPr>
                      <w:color w:val="auto"/>
                    </w:rPr>
                  </w:pPr>
                </w:p>
              </w:tc>
              <w:tc>
                <w:tcPr>
                  <w:tcW w:w="599" w:type="pct"/>
                  <w:tcBorders>
                    <w:tl2br w:val="nil"/>
                    <w:tr2bl w:val="nil"/>
                  </w:tcBorders>
                  <w:vAlign w:val="center"/>
                </w:tcPr>
                <w:p>
                  <w:pPr>
                    <w:jc w:val="center"/>
                    <w:rPr>
                      <w:color w:val="auto"/>
                      <w:szCs w:val="21"/>
                    </w:rPr>
                  </w:pPr>
                  <w:r>
                    <w:rPr>
                      <w:rFonts w:hint="eastAsia"/>
                      <w:color w:val="auto"/>
                      <w:szCs w:val="21"/>
                    </w:rPr>
                    <w:t>夜间</w:t>
                  </w:r>
                </w:p>
              </w:tc>
              <w:tc>
                <w:tcPr>
                  <w:tcW w:w="1000" w:type="pct"/>
                  <w:vMerge w:val="continue"/>
                  <w:tcBorders>
                    <w:tl2br w:val="nil"/>
                    <w:tr2bl w:val="nil"/>
                  </w:tcBorders>
                  <w:vAlign w:val="center"/>
                </w:tcPr>
                <w:p>
                  <w:pPr>
                    <w:jc w:val="center"/>
                    <w:rPr>
                      <w:color w:val="auto"/>
                      <w:szCs w:val="21"/>
                    </w:rPr>
                  </w:pPr>
                </w:p>
              </w:tc>
              <w:tc>
                <w:tcPr>
                  <w:tcW w:w="1000" w:type="pct"/>
                  <w:tcBorders>
                    <w:tl2br w:val="nil"/>
                    <w:tr2bl w:val="nil"/>
                  </w:tcBorders>
                  <w:vAlign w:val="center"/>
                </w:tcPr>
                <w:p>
                  <w:pPr>
                    <w:jc w:val="center"/>
                    <w:rPr>
                      <w:color w:val="auto"/>
                      <w:szCs w:val="21"/>
                    </w:rPr>
                  </w:pPr>
                  <w:r>
                    <w:rPr>
                      <w:rFonts w:hint="eastAsia"/>
                      <w:color w:val="auto"/>
                      <w:szCs w:val="21"/>
                      <w:lang w:val="en-US" w:eastAsia="zh-CN"/>
                    </w:rPr>
                    <w:t>55</w:t>
                  </w:r>
                </w:p>
              </w:tc>
              <w:tc>
                <w:tcPr>
                  <w:tcW w:w="1007" w:type="pct"/>
                  <w:vMerge w:val="continue"/>
                  <w:tcBorders>
                    <w:tl2br w:val="nil"/>
                    <w:tr2bl w:val="nil"/>
                  </w:tcBorders>
                  <w:vAlign w:val="center"/>
                </w:tcPr>
                <w:p>
                  <w:pPr>
                    <w:jc w:val="center"/>
                    <w:rPr>
                      <w:color w:val="auto"/>
                      <w:szCs w:val="21"/>
                    </w:rPr>
                  </w:pPr>
                </w:p>
              </w:tc>
            </w:tr>
          </w:tbl>
          <w:p>
            <w:pPr>
              <w:spacing w:line="360" w:lineRule="auto"/>
              <w:ind w:firstLine="480" w:firstLineChars="200"/>
              <w:rPr>
                <w:color w:val="auto"/>
                <w:sz w:val="24"/>
              </w:rPr>
            </w:pPr>
            <w:r>
              <w:rPr>
                <w:rFonts w:hint="eastAsia"/>
                <w:color w:val="auto"/>
                <w:sz w:val="24"/>
              </w:rPr>
              <w:t>通过预测结果可知，项目在运营期厂界处噪声能达到《工业企业厂界环境噪声排放标准》（</w:t>
            </w:r>
            <w:r>
              <w:rPr>
                <w:color w:val="auto"/>
                <w:sz w:val="24"/>
              </w:rPr>
              <w:t>GB1</w:t>
            </w:r>
            <w:r>
              <w:rPr>
                <w:rFonts w:hint="eastAsia"/>
                <w:color w:val="auto"/>
                <w:sz w:val="24"/>
              </w:rPr>
              <w:t>20</w:t>
            </w:r>
            <w:r>
              <w:rPr>
                <w:color w:val="auto"/>
                <w:sz w:val="24"/>
              </w:rPr>
              <w:t>48-2008</w:t>
            </w:r>
            <w:r>
              <w:rPr>
                <w:rFonts w:hint="eastAsia"/>
                <w:color w:val="auto"/>
                <w:sz w:val="24"/>
              </w:rPr>
              <w:t>）</w:t>
            </w:r>
            <w:r>
              <w:rPr>
                <w:rFonts w:hint="eastAsia"/>
                <w:color w:val="auto"/>
                <w:sz w:val="24"/>
                <w:lang w:val="en-US" w:eastAsia="zh-CN"/>
              </w:rPr>
              <w:t>3</w:t>
            </w:r>
            <w:r>
              <w:rPr>
                <w:rFonts w:hint="eastAsia"/>
                <w:color w:val="auto"/>
                <w:sz w:val="24"/>
              </w:rPr>
              <w:t>类标准限值。</w:t>
            </w:r>
          </w:p>
          <w:p>
            <w:pPr>
              <w:spacing w:line="360" w:lineRule="auto"/>
              <w:ind w:firstLine="480" w:firstLineChars="200"/>
              <w:rPr>
                <w:rFonts w:hint="eastAsia"/>
                <w:color w:val="auto"/>
                <w:sz w:val="24"/>
              </w:rPr>
            </w:pPr>
            <w:r>
              <w:rPr>
                <w:rFonts w:hint="eastAsia"/>
                <w:color w:val="auto"/>
                <w:sz w:val="24"/>
              </w:rPr>
              <w:t>项目厂界外50m范围内无声环境敏感目标，项目运行不会对周围声环境产生较大的影响。</w:t>
            </w: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jc w:val="center"/>
              <w:rPr>
                <w:rFonts w:hint="eastAsia"/>
                <w:color w:val="auto"/>
                <w:sz w:val="24"/>
              </w:rPr>
            </w:pPr>
            <w:r>
              <w:rPr>
                <w:rFonts w:hint="eastAsia"/>
                <w:color w:val="auto"/>
                <w:sz w:val="24"/>
              </w:rPr>
              <w:drawing>
                <wp:inline distT="0" distB="0" distL="114300" distR="114300">
                  <wp:extent cx="4095750" cy="6772275"/>
                  <wp:effectExtent l="9525" t="9525" r="9525" b="190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6"/>
                          <a:stretch>
                            <a:fillRect/>
                          </a:stretch>
                        </pic:blipFill>
                        <pic:spPr>
                          <a:xfrm>
                            <a:off x="0" y="0"/>
                            <a:ext cx="4095750" cy="6772275"/>
                          </a:xfrm>
                          <a:prstGeom prst="rect">
                            <a:avLst/>
                          </a:prstGeom>
                          <a:noFill/>
                          <a:ln>
                            <a:solidFill>
                              <a:srgbClr val="0000FF"/>
                            </a:solidFill>
                          </a:ln>
                        </pic:spPr>
                      </pic:pic>
                    </a:graphicData>
                  </a:graphic>
                </wp:inline>
              </w:drawing>
            </w:r>
          </w:p>
          <w:p>
            <w:pPr>
              <w:spacing w:line="360" w:lineRule="auto"/>
              <w:ind w:firstLine="482" w:firstLineChars="200"/>
              <w:jc w:val="center"/>
              <w:rPr>
                <w:rFonts w:hint="default"/>
                <w:b/>
                <w:bCs/>
                <w:color w:val="auto"/>
                <w:sz w:val="24"/>
                <w:lang w:val="en-US" w:eastAsia="zh-CN"/>
              </w:rPr>
            </w:pPr>
            <w:r>
              <w:rPr>
                <w:rFonts w:hint="eastAsia"/>
                <w:b/>
                <w:bCs/>
                <w:color w:val="auto"/>
                <w:sz w:val="24"/>
                <w:lang w:val="en-US" w:eastAsia="zh-CN"/>
              </w:rPr>
              <w:t>图7 噪声贡献值等值线图</w:t>
            </w:r>
          </w:p>
          <w:p>
            <w:pPr>
              <w:spacing w:line="360" w:lineRule="auto"/>
              <w:ind w:firstLine="241" w:firstLineChars="100"/>
              <w:rPr>
                <w:b/>
                <w:bCs/>
                <w:color w:val="auto"/>
                <w:sz w:val="24"/>
              </w:rPr>
            </w:pPr>
            <w:r>
              <w:rPr>
                <w:rFonts w:hint="eastAsia"/>
                <w:b/>
                <w:bCs/>
                <w:color w:val="auto"/>
                <w:sz w:val="24"/>
              </w:rPr>
              <w:t>（3）噪声防治措施</w:t>
            </w:r>
          </w:p>
          <w:p>
            <w:pPr>
              <w:spacing w:line="360" w:lineRule="auto"/>
              <w:ind w:firstLine="480" w:firstLineChars="200"/>
              <w:rPr>
                <w:color w:val="auto"/>
                <w:sz w:val="24"/>
              </w:rPr>
            </w:pPr>
            <w:r>
              <w:rPr>
                <w:rFonts w:hint="eastAsia"/>
                <w:color w:val="auto"/>
                <w:sz w:val="24"/>
              </w:rPr>
              <w:t>①尽量选用低噪声设备；</w:t>
            </w:r>
          </w:p>
          <w:p>
            <w:pPr>
              <w:spacing w:line="360" w:lineRule="auto"/>
              <w:ind w:firstLine="480" w:firstLineChars="200"/>
              <w:rPr>
                <w:color w:val="auto"/>
                <w:sz w:val="24"/>
              </w:rPr>
            </w:pPr>
            <w:r>
              <w:rPr>
                <w:rFonts w:hint="eastAsia"/>
                <w:color w:val="auto"/>
                <w:sz w:val="24"/>
              </w:rPr>
              <w:t>②噪声较强的设备设隔音罩、消声器，操作岗位设隔音室，噪声源设置在厂房内；</w:t>
            </w:r>
          </w:p>
          <w:p>
            <w:pPr>
              <w:spacing w:line="360" w:lineRule="auto"/>
              <w:ind w:firstLine="480" w:firstLineChars="200"/>
              <w:rPr>
                <w:color w:val="auto"/>
                <w:sz w:val="24"/>
              </w:rPr>
            </w:pPr>
            <w:r>
              <w:rPr>
                <w:rFonts w:hint="eastAsia"/>
                <w:color w:val="auto"/>
                <w:sz w:val="24"/>
              </w:rPr>
              <w:t>③震动设备减震器或减震装置；</w:t>
            </w:r>
          </w:p>
          <w:p>
            <w:pPr>
              <w:spacing w:line="360" w:lineRule="auto"/>
              <w:ind w:firstLine="480" w:firstLineChars="200"/>
              <w:rPr>
                <w:color w:val="auto"/>
                <w:sz w:val="24"/>
              </w:rPr>
            </w:pPr>
            <w:r>
              <w:rPr>
                <w:rFonts w:hint="eastAsia"/>
                <w:color w:val="auto"/>
                <w:sz w:val="24"/>
              </w:rPr>
              <w:t>④管道设计中注意防振、防冲击，以减轻落料、振动噪声。风管及流体输送应注意改善其流畅状况，减少空气动力噪声。</w:t>
            </w:r>
          </w:p>
          <w:p>
            <w:pPr>
              <w:pStyle w:val="2"/>
              <w:spacing w:line="360" w:lineRule="auto"/>
              <w:ind w:left="0" w:leftChars="0" w:firstLine="0" w:firstLineChars="0"/>
              <w:rPr>
                <w:color w:val="auto"/>
              </w:rPr>
            </w:pPr>
            <w:r>
              <w:rPr>
                <w:rFonts w:hint="eastAsia"/>
                <w:color w:val="auto"/>
                <w:sz w:val="24"/>
              </w:rPr>
              <w:t xml:space="preserve">    ⑤通过总图布置合理布局，防止噪声叠加和干扰，经距离衰减实现厂界达标。</w:t>
            </w:r>
          </w:p>
          <w:p>
            <w:pPr>
              <w:spacing w:line="360" w:lineRule="auto"/>
              <w:ind w:firstLine="482" w:firstLineChars="200"/>
              <w:rPr>
                <w:b/>
                <w:bCs/>
                <w:color w:val="auto"/>
                <w:sz w:val="24"/>
              </w:rPr>
            </w:pPr>
            <w:r>
              <w:rPr>
                <w:rFonts w:hint="eastAsia"/>
                <w:b/>
                <w:bCs/>
                <w:color w:val="auto"/>
                <w:sz w:val="24"/>
              </w:rPr>
              <w:t>（4）监测计划</w:t>
            </w:r>
          </w:p>
          <w:p>
            <w:pPr>
              <w:jc w:val="center"/>
              <w:rPr>
                <w:b/>
                <w:bCs/>
                <w:color w:val="auto"/>
                <w:sz w:val="24"/>
              </w:rPr>
            </w:pPr>
            <w:r>
              <w:rPr>
                <w:rFonts w:hint="eastAsia"/>
                <w:b/>
                <w:bCs/>
                <w:color w:val="auto"/>
                <w:sz w:val="24"/>
              </w:rPr>
              <w:t>表</w:t>
            </w:r>
            <w:r>
              <w:rPr>
                <w:rFonts w:hint="eastAsia"/>
                <w:b/>
                <w:bCs/>
                <w:color w:val="auto"/>
                <w:sz w:val="24"/>
                <w:lang w:val="en-US" w:eastAsia="zh-CN"/>
              </w:rPr>
              <w:t>38</w:t>
            </w:r>
            <w:r>
              <w:rPr>
                <w:b/>
                <w:bCs/>
                <w:color w:val="auto"/>
                <w:sz w:val="24"/>
              </w:rPr>
              <w:t xml:space="preserve"> </w:t>
            </w:r>
            <w:r>
              <w:rPr>
                <w:rFonts w:hint="eastAsia"/>
                <w:b/>
                <w:bCs/>
                <w:color w:val="auto"/>
                <w:sz w:val="24"/>
              </w:rPr>
              <w:t>本项目监测计划一览表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7"/>
              <w:gridCol w:w="1673"/>
              <w:gridCol w:w="1109"/>
              <w:gridCol w:w="1021"/>
              <w:gridCol w:w="2781"/>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03" w:type="pct"/>
                  <w:tcBorders>
                    <w:tl2br w:val="nil"/>
                    <w:tr2bl w:val="nil"/>
                  </w:tcBorders>
                  <w:vAlign w:val="center"/>
                </w:tcPr>
                <w:p>
                  <w:pPr>
                    <w:pStyle w:val="38"/>
                    <w:rPr>
                      <w:b/>
                      <w:bCs/>
                      <w:color w:val="auto"/>
                    </w:rPr>
                  </w:pPr>
                  <w:r>
                    <w:rPr>
                      <w:rFonts w:hint="eastAsia"/>
                      <w:b/>
                      <w:bCs/>
                      <w:color w:val="auto"/>
                    </w:rPr>
                    <w:t>内容</w:t>
                  </w:r>
                </w:p>
              </w:tc>
              <w:tc>
                <w:tcPr>
                  <w:tcW w:w="1085" w:type="pct"/>
                  <w:tcBorders>
                    <w:tl2br w:val="nil"/>
                    <w:tr2bl w:val="nil"/>
                  </w:tcBorders>
                  <w:vAlign w:val="center"/>
                </w:tcPr>
                <w:p>
                  <w:pPr>
                    <w:pStyle w:val="38"/>
                    <w:rPr>
                      <w:b/>
                      <w:bCs/>
                      <w:color w:val="auto"/>
                    </w:rPr>
                  </w:pPr>
                  <w:r>
                    <w:rPr>
                      <w:rFonts w:hint="eastAsia"/>
                      <w:b/>
                      <w:bCs/>
                      <w:color w:val="auto"/>
                    </w:rPr>
                    <w:t>监测项目</w:t>
                  </w:r>
                </w:p>
              </w:tc>
              <w:tc>
                <w:tcPr>
                  <w:tcW w:w="719" w:type="pct"/>
                  <w:tcBorders>
                    <w:tl2br w:val="nil"/>
                    <w:tr2bl w:val="nil"/>
                  </w:tcBorders>
                  <w:vAlign w:val="center"/>
                </w:tcPr>
                <w:p>
                  <w:pPr>
                    <w:pStyle w:val="38"/>
                    <w:rPr>
                      <w:b/>
                      <w:bCs/>
                      <w:color w:val="auto"/>
                    </w:rPr>
                  </w:pPr>
                  <w:r>
                    <w:rPr>
                      <w:rFonts w:hint="eastAsia"/>
                      <w:b/>
                      <w:bCs/>
                      <w:color w:val="auto"/>
                    </w:rPr>
                    <w:t>监测点</w:t>
                  </w:r>
                </w:p>
              </w:tc>
              <w:tc>
                <w:tcPr>
                  <w:tcW w:w="662" w:type="pct"/>
                  <w:tcBorders>
                    <w:tl2br w:val="nil"/>
                    <w:tr2bl w:val="nil"/>
                  </w:tcBorders>
                  <w:vAlign w:val="center"/>
                </w:tcPr>
                <w:p>
                  <w:pPr>
                    <w:pStyle w:val="38"/>
                    <w:rPr>
                      <w:b/>
                      <w:bCs/>
                      <w:color w:val="auto"/>
                    </w:rPr>
                  </w:pPr>
                  <w:r>
                    <w:rPr>
                      <w:rFonts w:hint="eastAsia"/>
                      <w:b/>
                      <w:bCs/>
                      <w:color w:val="auto"/>
                    </w:rPr>
                    <w:t>监测频次</w:t>
                  </w:r>
                </w:p>
              </w:tc>
              <w:tc>
                <w:tcPr>
                  <w:tcW w:w="1804" w:type="pct"/>
                  <w:tcBorders>
                    <w:tl2br w:val="nil"/>
                    <w:tr2bl w:val="nil"/>
                  </w:tcBorders>
                  <w:vAlign w:val="center"/>
                </w:tcPr>
                <w:p>
                  <w:pPr>
                    <w:pStyle w:val="38"/>
                    <w:rPr>
                      <w:b/>
                      <w:bCs/>
                      <w:color w:val="auto"/>
                    </w:rPr>
                  </w:pPr>
                  <w:r>
                    <w:rPr>
                      <w:rFonts w:hint="eastAsia"/>
                      <w:b/>
                      <w:bCs/>
                      <w:color w:val="auto"/>
                    </w:rPr>
                    <w:t>执行标准</w:t>
                  </w:r>
                </w:p>
              </w:tc>
              <w:tc>
                <w:tcPr>
                  <w:tcW w:w="423" w:type="pct"/>
                  <w:tcBorders>
                    <w:tl2br w:val="nil"/>
                    <w:tr2bl w:val="nil"/>
                  </w:tcBorders>
                  <w:vAlign w:val="center"/>
                </w:tcPr>
                <w:p>
                  <w:pPr>
                    <w:pStyle w:val="38"/>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03" w:type="pct"/>
                  <w:tcBorders>
                    <w:tl2br w:val="nil"/>
                    <w:tr2bl w:val="nil"/>
                  </w:tcBorders>
                  <w:vAlign w:val="center"/>
                </w:tcPr>
                <w:p>
                  <w:pPr>
                    <w:pStyle w:val="38"/>
                    <w:rPr>
                      <w:color w:val="auto"/>
                    </w:rPr>
                  </w:pPr>
                  <w:r>
                    <w:rPr>
                      <w:rFonts w:hint="eastAsia"/>
                      <w:color w:val="auto"/>
                    </w:rPr>
                    <w:t>噪声监测</w:t>
                  </w:r>
                </w:p>
              </w:tc>
              <w:tc>
                <w:tcPr>
                  <w:tcW w:w="1085" w:type="pct"/>
                  <w:tcBorders>
                    <w:tl2br w:val="nil"/>
                    <w:tr2bl w:val="nil"/>
                  </w:tcBorders>
                  <w:vAlign w:val="center"/>
                </w:tcPr>
                <w:p>
                  <w:pPr>
                    <w:pStyle w:val="38"/>
                    <w:rPr>
                      <w:color w:val="auto"/>
                    </w:rPr>
                  </w:pPr>
                  <w:r>
                    <w:rPr>
                      <w:rFonts w:hint="eastAsia"/>
                      <w:color w:val="auto"/>
                    </w:rPr>
                    <w:t>等效连续</w:t>
                  </w:r>
                  <w:r>
                    <w:rPr>
                      <w:rFonts w:hint="eastAsia"/>
                      <w:color w:val="auto"/>
                      <w:lang w:eastAsia="en-US"/>
                    </w:rPr>
                    <w:t>A</w:t>
                  </w:r>
                  <w:r>
                    <w:rPr>
                      <w:rFonts w:hint="eastAsia"/>
                      <w:color w:val="auto"/>
                    </w:rPr>
                    <w:t>声级</w:t>
                  </w:r>
                  <w:r>
                    <w:rPr>
                      <w:rFonts w:hint="eastAsia"/>
                      <w:color w:val="auto"/>
                      <w:lang w:eastAsia="en-US"/>
                    </w:rPr>
                    <w:t>(Leq(A))</w:t>
                  </w:r>
                </w:p>
              </w:tc>
              <w:tc>
                <w:tcPr>
                  <w:tcW w:w="719" w:type="pct"/>
                  <w:tcBorders>
                    <w:tl2br w:val="nil"/>
                    <w:tr2bl w:val="nil"/>
                  </w:tcBorders>
                  <w:vAlign w:val="center"/>
                </w:tcPr>
                <w:p>
                  <w:pPr>
                    <w:pStyle w:val="38"/>
                    <w:rPr>
                      <w:color w:val="auto"/>
                    </w:rPr>
                  </w:pPr>
                  <w:r>
                    <w:rPr>
                      <w:rFonts w:hint="eastAsia"/>
                      <w:color w:val="auto"/>
                    </w:rPr>
                    <w:t>厂界设6个监测点</w:t>
                  </w:r>
                </w:p>
              </w:tc>
              <w:tc>
                <w:tcPr>
                  <w:tcW w:w="662" w:type="pct"/>
                  <w:tcBorders>
                    <w:tl2br w:val="nil"/>
                    <w:tr2bl w:val="nil"/>
                  </w:tcBorders>
                  <w:vAlign w:val="center"/>
                </w:tcPr>
                <w:p>
                  <w:pPr>
                    <w:pStyle w:val="38"/>
                    <w:rPr>
                      <w:color w:val="auto"/>
                    </w:rPr>
                  </w:pPr>
                  <w:r>
                    <w:rPr>
                      <w:rFonts w:hint="eastAsia"/>
                      <w:color w:val="auto"/>
                    </w:rPr>
                    <w:t>1次/季度</w:t>
                  </w:r>
                </w:p>
              </w:tc>
              <w:tc>
                <w:tcPr>
                  <w:tcW w:w="1804" w:type="pct"/>
                  <w:tcBorders>
                    <w:tl2br w:val="nil"/>
                    <w:tr2bl w:val="nil"/>
                  </w:tcBorders>
                  <w:vAlign w:val="center"/>
                </w:tcPr>
                <w:p>
                  <w:pPr>
                    <w:pStyle w:val="38"/>
                    <w:rPr>
                      <w:color w:val="auto"/>
                    </w:rPr>
                  </w:pPr>
                  <w:r>
                    <w:rPr>
                      <w:rFonts w:hint="eastAsia"/>
                      <w:color w:val="auto"/>
                    </w:rPr>
                    <w:t>《工业企业厂界环境噪声排放标准》(GB12348-2008)</w:t>
                  </w:r>
                </w:p>
                <w:p>
                  <w:pPr>
                    <w:pStyle w:val="38"/>
                    <w:rPr>
                      <w:color w:val="auto"/>
                    </w:rPr>
                  </w:pPr>
                  <w:r>
                    <w:rPr>
                      <w:rFonts w:hint="eastAsia"/>
                      <w:color w:val="auto"/>
                      <w:lang w:val="en-US" w:eastAsia="zh-CN"/>
                    </w:rPr>
                    <w:t>3</w:t>
                  </w:r>
                  <w:r>
                    <w:rPr>
                      <w:rFonts w:hint="eastAsia"/>
                      <w:color w:val="auto"/>
                    </w:rPr>
                    <w:t>类</w:t>
                  </w:r>
                </w:p>
              </w:tc>
              <w:tc>
                <w:tcPr>
                  <w:tcW w:w="423" w:type="pct"/>
                  <w:tcBorders>
                    <w:tl2br w:val="nil"/>
                    <w:tr2bl w:val="nil"/>
                  </w:tcBorders>
                  <w:vAlign w:val="center"/>
                </w:tcPr>
                <w:p>
                  <w:pPr>
                    <w:pStyle w:val="38"/>
                    <w:rPr>
                      <w:color w:val="auto"/>
                    </w:rPr>
                  </w:pPr>
                  <w:r>
                    <w:rPr>
                      <w:rFonts w:hint="eastAsia"/>
                      <w:color w:val="auto"/>
                    </w:rPr>
                    <w:t>/</w:t>
                  </w:r>
                </w:p>
              </w:tc>
            </w:tr>
          </w:tbl>
          <w:p>
            <w:pPr>
              <w:spacing w:line="360" w:lineRule="auto"/>
              <w:rPr>
                <w:b/>
                <w:bCs/>
                <w:color w:val="auto"/>
                <w:sz w:val="24"/>
              </w:rPr>
            </w:pPr>
            <w:r>
              <w:rPr>
                <w:rFonts w:hint="eastAsia"/>
                <w:b/>
                <w:bCs/>
                <w:color w:val="auto"/>
                <w:sz w:val="24"/>
              </w:rPr>
              <w:t>4、固体废物</w:t>
            </w:r>
          </w:p>
          <w:p>
            <w:pPr>
              <w:spacing w:line="360" w:lineRule="auto"/>
              <w:ind w:firstLine="480" w:firstLineChars="200"/>
              <w:rPr>
                <w:rFonts w:hint="eastAsia"/>
                <w:color w:val="auto"/>
                <w:sz w:val="24"/>
              </w:rPr>
            </w:pPr>
            <w:r>
              <w:rPr>
                <w:rFonts w:hint="eastAsia"/>
                <w:color w:val="auto"/>
                <w:sz w:val="24"/>
              </w:rPr>
              <w:t>项目固体废物主要包括混捏成型产生的生碎、石墨化碎及机械加工产生的机加碎、全厂各除尘系统的除尘灰、</w:t>
            </w:r>
            <w:bookmarkStart w:id="14" w:name="OLE_LINK1"/>
            <w:r>
              <w:rPr>
                <w:rFonts w:hint="eastAsia"/>
                <w:color w:val="auto"/>
                <w:sz w:val="24"/>
              </w:rPr>
              <w:t>石墨化炉更换后的保温料</w:t>
            </w:r>
            <w:bookmarkEnd w:id="14"/>
            <w:r>
              <w:rPr>
                <w:rFonts w:hint="eastAsia"/>
                <w:color w:val="auto"/>
                <w:sz w:val="24"/>
              </w:rPr>
              <w:t>、成型冷却水系统隔油沉淀产生的废油、电捕焦油装置收集的废焦油、石墨化炉检修产生的废耐火材料、废冶金焦、烟气净化产生的脱硫渣以及生活垃圾。</w:t>
            </w:r>
          </w:p>
          <w:p>
            <w:pPr>
              <w:spacing w:line="360" w:lineRule="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4.1 生活垃圾</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本项目职工人数为240人，职工生活垃圾按0.5kg/d·人计算，则生活垃圾产生量36t/a，生活垃圾经集中收集后，送环卫部门指定地点处置。</w:t>
            </w:r>
          </w:p>
          <w:p>
            <w:pPr>
              <w:pStyle w:val="2"/>
              <w:ind w:left="0" w:leftChars="0" w:firstLine="0" w:firstLineChars="0"/>
              <w:rPr>
                <w:b/>
                <w:bCs/>
                <w:color w:val="auto"/>
              </w:rPr>
            </w:pPr>
            <w:r>
              <w:rPr>
                <w:rFonts w:hint="eastAsia"/>
                <w:b/>
                <w:bCs/>
                <w:color w:val="auto"/>
                <w:sz w:val="24"/>
              </w:rPr>
              <w:t>4.</w:t>
            </w:r>
            <w:r>
              <w:rPr>
                <w:rFonts w:hint="eastAsia"/>
                <w:b/>
                <w:bCs/>
                <w:color w:val="auto"/>
                <w:sz w:val="24"/>
                <w:lang w:val="en-US" w:eastAsia="zh-CN"/>
              </w:rPr>
              <w:t>2</w:t>
            </w:r>
            <w:r>
              <w:rPr>
                <w:rFonts w:hint="eastAsia"/>
                <w:b/>
                <w:bCs/>
                <w:color w:val="auto"/>
                <w:sz w:val="24"/>
              </w:rPr>
              <w:t xml:space="preserve"> 一般工业固体废物</w:t>
            </w:r>
          </w:p>
          <w:p>
            <w:pPr>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1 \* GB3 </w:instrText>
            </w:r>
            <w:r>
              <w:rPr>
                <w:rFonts w:hint="eastAsia"/>
                <w:color w:val="auto"/>
                <w:sz w:val="24"/>
              </w:rPr>
              <w:fldChar w:fldCharType="separate"/>
            </w:r>
            <w:r>
              <w:rPr>
                <w:rFonts w:hint="eastAsia"/>
                <w:color w:val="auto"/>
                <w:sz w:val="24"/>
              </w:rPr>
              <w:t>①</w:t>
            </w:r>
            <w:r>
              <w:rPr>
                <w:rFonts w:hint="eastAsia"/>
                <w:color w:val="auto"/>
                <w:sz w:val="24"/>
              </w:rPr>
              <w:fldChar w:fldCharType="end"/>
            </w:r>
            <w:r>
              <w:rPr>
                <w:rFonts w:hint="eastAsia"/>
                <w:color w:val="auto"/>
                <w:sz w:val="24"/>
              </w:rPr>
              <w:t>生极成型碎、石墨化碎和机加碎屑</w:t>
            </w:r>
          </w:p>
          <w:p>
            <w:pPr>
              <w:spacing w:line="360" w:lineRule="auto"/>
              <w:ind w:firstLine="480" w:firstLineChars="200"/>
              <w:rPr>
                <w:color w:val="auto"/>
                <w:sz w:val="24"/>
              </w:rPr>
            </w:pPr>
            <w:r>
              <w:rPr>
                <w:rFonts w:hint="eastAsia"/>
                <w:color w:val="auto"/>
                <w:sz w:val="24"/>
              </w:rPr>
              <w:t>项目固体废物主要包括混捏成型过程产生的生碎4500t/a、石墨化碎1200t/a、机械加工产生的机加碎3000t/a，上述不合格品全部经破碎筛分后作为原料返回料仓配料系统回用。</w:t>
            </w:r>
          </w:p>
          <w:p>
            <w:pPr>
              <w:spacing w:line="360" w:lineRule="auto"/>
              <w:ind w:firstLine="480" w:firstLineChars="200"/>
              <w:rPr>
                <w:color w:val="auto"/>
                <w:sz w:val="24"/>
              </w:rPr>
            </w:pPr>
            <w:r>
              <w:rPr>
                <w:rFonts w:hint="eastAsia"/>
                <w:color w:val="auto"/>
                <w:sz w:val="24"/>
              </w:rPr>
              <w:t>②各除尘系统的除尘灰</w:t>
            </w:r>
          </w:p>
          <w:p>
            <w:pPr>
              <w:spacing w:line="360" w:lineRule="auto"/>
              <w:ind w:firstLine="480" w:firstLineChars="200"/>
              <w:rPr>
                <w:color w:val="auto"/>
                <w:sz w:val="24"/>
              </w:rPr>
            </w:pPr>
            <w:r>
              <w:rPr>
                <w:rFonts w:hint="eastAsia"/>
                <w:color w:val="auto"/>
                <w:sz w:val="24"/>
              </w:rPr>
              <w:t>工程贮运系统、压型配料车间、焙烧炉车间、石墨化车间等均设置有布袋除尘装置，年产生除尘灰约为3370t，拟全部收集作为生产超高功率石墨电极的原料综合利用。</w:t>
            </w:r>
          </w:p>
          <w:p>
            <w:pPr>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3 \* GB3 </w:instrText>
            </w:r>
            <w:r>
              <w:rPr>
                <w:rFonts w:hint="eastAsia"/>
                <w:color w:val="auto"/>
                <w:sz w:val="24"/>
              </w:rPr>
              <w:fldChar w:fldCharType="separate"/>
            </w:r>
            <w:r>
              <w:rPr>
                <w:rFonts w:hint="eastAsia"/>
                <w:color w:val="auto"/>
                <w:sz w:val="24"/>
              </w:rPr>
              <w:t>③</w:t>
            </w:r>
            <w:r>
              <w:rPr>
                <w:rFonts w:hint="eastAsia"/>
                <w:color w:val="auto"/>
                <w:sz w:val="24"/>
              </w:rPr>
              <w:fldChar w:fldCharType="end"/>
            </w:r>
            <w:r>
              <w:rPr>
                <w:rFonts w:hint="eastAsia"/>
                <w:color w:val="auto"/>
                <w:sz w:val="24"/>
              </w:rPr>
              <w:t>石墨化炉更换的废保温料</w:t>
            </w:r>
          </w:p>
          <w:p>
            <w:pPr>
              <w:spacing w:line="360" w:lineRule="auto"/>
              <w:ind w:firstLine="480" w:firstLineChars="200"/>
              <w:rPr>
                <w:color w:val="auto"/>
                <w:sz w:val="24"/>
              </w:rPr>
            </w:pPr>
            <w:r>
              <w:rPr>
                <w:rFonts w:hint="eastAsia"/>
                <w:color w:val="auto"/>
                <w:sz w:val="24"/>
              </w:rPr>
              <w:t>由于保温料(冶金焦)使用中需定期更换补充，年产生更换的废冶金焦粉料为3285t，可作为增炭剂全部外售综合利用。</w:t>
            </w:r>
          </w:p>
          <w:p>
            <w:pPr>
              <w:spacing w:line="360" w:lineRule="auto"/>
              <w:ind w:firstLine="480" w:firstLineChars="200"/>
              <w:rPr>
                <w:color w:val="auto"/>
                <w:sz w:val="24"/>
              </w:rPr>
            </w:pPr>
            <w:r>
              <w:rPr>
                <w:rFonts w:hint="eastAsia"/>
                <w:color w:val="auto"/>
                <w:sz w:val="24"/>
              </w:rPr>
              <w:t>④石墨化炉检修产生的废耐火材料</w:t>
            </w:r>
          </w:p>
          <w:p>
            <w:pPr>
              <w:spacing w:line="360" w:lineRule="auto"/>
              <w:ind w:firstLine="480" w:firstLineChars="200"/>
              <w:rPr>
                <w:color w:val="auto"/>
                <w:sz w:val="24"/>
              </w:rPr>
            </w:pPr>
            <w:r>
              <w:rPr>
                <w:rFonts w:hint="eastAsia"/>
                <w:color w:val="auto"/>
                <w:sz w:val="24"/>
              </w:rPr>
              <w:t>石墨化炉每3～5年进行一次维修，期间产生的修理废渣主要由保温砖、耐火砖等组成，产生量约为1350t/a，拟出售给耐火材料厂。</w:t>
            </w:r>
          </w:p>
          <w:p>
            <w:pPr>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5 \* GB3 </w:instrText>
            </w:r>
            <w:r>
              <w:rPr>
                <w:rFonts w:hint="eastAsia"/>
                <w:color w:val="auto"/>
                <w:sz w:val="24"/>
              </w:rPr>
              <w:fldChar w:fldCharType="separate"/>
            </w:r>
            <w:r>
              <w:rPr>
                <w:rFonts w:hint="eastAsia"/>
                <w:color w:val="auto"/>
                <w:sz w:val="24"/>
              </w:rPr>
              <w:t>⑤</w:t>
            </w:r>
            <w:r>
              <w:rPr>
                <w:rFonts w:hint="eastAsia"/>
                <w:color w:val="auto"/>
                <w:sz w:val="24"/>
              </w:rPr>
              <w:fldChar w:fldCharType="end"/>
            </w:r>
            <w:r>
              <w:rPr>
                <w:rFonts w:hint="eastAsia"/>
                <w:color w:val="auto"/>
                <w:sz w:val="24"/>
              </w:rPr>
              <w:t>烟气净化产生的脱硫渣</w:t>
            </w:r>
          </w:p>
          <w:p>
            <w:pPr>
              <w:spacing w:line="360" w:lineRule="auto"/>
              <w:ind w:firstLine="480" w:firstLineChars="200"/>
              <w:rPr>
                <w:color w:val="auto"/>
                <w:sz w:val="24"/>
              </w:rPr>
            </w:pPr>
            <w:r>
              <w:rPr>
                <w:rFonts w:hint="eastAsia"/>
                <w:color w:val="auto"/>
                <w:sz w:val="24"/>
              </w:rPr>
              <w:t>石墨化炉均采用石灰石膏湿法脱硫工艺，经计算烟气脱硫每年产生的副产品—CaSO</w:t>
            </w:r>
            <w:r>
              <w:rPr>
                <w:rFonts w:hint="eastAsia"/>
                <w:color w:val="auto"/>
                <w:sz w:val="24"/>
                <w:vertAlign w:val="subscript"/>
              </w:rPr>
              <w:t>4</w:t>
            </w:r>
            <w:r>
              <w:rPr>
                <w:rFonts w:hint="eastAsia"/>
                <w:color w:val="auto"/>
                <w:sz w:val="24"/>
              </w:rPr>
              <w:t>•2H</w:t>
            </w:r>
            <w:r>
              <w:rPr>
                <w:rFonts w:hint="eastAsia"/>
                <w:color w:val="auto"/>
                <w:sz w:val="24"/>
                <w:vertAlign w:val="subscript"/>
              </w:rPr>
              <w:t>2</w:t>
            </w:r>
            <w:r>
              <w:rPr>
                <w:rFonts w:hint="eastAsia"/>
                <w:color w:val="auto"/>
                <w:sz w:val="24"/>
              </w:rPr>
              <w:t>O（石膏）约为：188t，使用压滤机处理成为滤饼后排出。含水率按约25%计算，则脱硫渣量约为250.6t/a，外售至水泥厂等建材企业进行综合利用。</w:t>
            </w:r>
          </w:p>
          <w:p>
            <w:pPr>
              <w:pStyle w:val="2"/>
              <w:ind w:left="0" w:leftChars="0" w:firstLine="0" w:firstLineChars="0"/>
              <w:rPr>
                <w:b/>
                <w:bCs/>
                <w:color w:val="auto"/>
                <w:sz w:val="24"/>
              </w:rPr>
            </w:pPr>
            <w:r>
              <w:rPr>
                <w:rFonts w:hint="eastAsia"/>
                <w:b/>
                <w:bCs/>
                <w:color w:val="auto"/>
                <w:sz w:val="24"/>
              </w:rPr>
              <w:t>4.</w:t>
            </w:r>
            <w:r>
              <w:rPr>
                <w:rFonts w:hint="eastAsia"/>
                <w:b/>
                <w:bCs/>
                <w:color w:val="auto"/>
                <w:sz w:val="24"/>
                <w:lang w:val="en-US" w:eastAsia="zh-CN"/>
              </w:rPr>
              <w:t>3</w:t>
            </w:r>
            <w:r>
              <w:rPr>
                <w:rFonts w:hint="eastAsia"/>
                <w:b/>
                <w:bCs/>
                <w:color w:val="auto"/>
                <w:sz w:val="24"/>
              </w:rPr>
              <w:t xml:space="preserve"> 危险废物</w:t>
            </w:r>
          </w:p>
          <w:p>
            <w:pPr>
              <w:spacing w:line="360" w:lineRule="auto"/>
              <w:ind w:firstLine="240" w:firstLineChars="100"/>
              <w:rPr>
                <w:color w:val="auto"/>
                <w:sz w:val="24"/>
              </w:rPr>
            </w:pPr>
            <w:r>
              <w:rPr>
                <w:rFonts w:hint="eastAsia"/>
                <w:color w:val="auto"/>
                <w:sz w:val="24"/>
              </w:rPr>
              <w:t>（1）危险废物的判定及产生情况</w:t>
            </w:r>
          </w:p>
          <w:p>
            <w:pPr>
              <w:spacing w:line="360" w:lineRule="auto"/>
              <w:ind w:firstLine="480" w:firstLineChars="200"/>
              <w:rPr>
                <w:color w:val="auto"/>
                <w:sz w:val="24"/>
              </w:rPr>
            </w:pPr>
            <w:r>
              <w:rPr>
                <w:rFonts w:hint="eastAsia"/>
                <w:color w:val="auto"/>
                <w:sz w:val="24"/>
              </w:rPr>
              <w:t>根据《国家危险废物名录》（2021）分类要求、本工程设计资料以及参考国内同类炭素企业运行情况，判定项目运行产生的危险废物包括以下几类：</w:t>
            </w:r>
          </w:p>
          <w:p>
            <w:pPr>
              <w:spacing w:line="360" w:lineRule="auto"/>
              <w:ind w:firstLine="480" w:firstLineChars="200"/>
              <w:rPr>
                <w:color w:val="auto"/>
                <w:sz w:val="24"/>
              </w:rPr>
            </w:pPr>
            <w:r>
              <w:rPr>
                <w:rFonts w:hint="eastAsia"/>
                <w:color w:val="auto"/>
                <w:sz w:val="24"/>
              </w:rPr>
              <w:t>①电捕焦油装置收集的废焦油</w:t>
            </w:r>
          </w:p>
          <w:p>
            <w:pPr>
              <w:spacing w:line="360" w:lineRule="auto"/>
              <w:ind w:firstLine="480" w:firstLineChars="200"/>
              <w:rPr>
                <w:color w:val="auto"/>
                <w:sz w:val="24"/>
              </w:rPr>
            </w:pPr>
            <w:r>
              <w:rPr>
                <w:rFonts w:hint="eastAsia"/>
                <w:color w:val="auto"/>
                <w:sz w:val="24"/>
              </w:rPr>
              <w:t>本工程沥青储罐配套高压电捕焦油器，年产生的电捕废焦油约为96.7t/a，属于危险废物（废物类别为HW11），</w:t>
            </w:r>
            <w:r>
              <w:rPr>
                <w:rFonts w:hint="eastAsia"/>
                <w:color w:val="auto"/>
                <w:sz w:val="24"/>
                <w:lang w:val="en-US" w:eastAsia="zh-CN"/>
              </w:rPr>
              <w:t>该部分废焦油可全部回用于混捏成型工序</w:t>
            </w:r>
            <w:r>
              <w:rPr>
                <w:rFonts w:hint="eastAsia"/>
                <w:color w:val="auto"/>
                <w:sz w:val="24"/>
              </w:rPr>
              <w:t>。</w:t>
            </w:r>
          </w:p>
          <w:p>
            <w:pPr>
              <w:spacing w:line="360" w:lineRule="auto"/>
              <w:ind w:firstLine="480" w:firstLineChars="200"/>
              <w:rPr>
                <w:color w:val="auto"/>
                <w:sz w:val="24"/>
              </w:rPr>
            </w:pPr>
            <w:r>
              <w:rPr>
                <w:rFonts w:hint="eastAsia"/>
                <w:color w:val="auto"/>
                <w:sz w:val="24"/>
              </w:rPr>
              <w:t>②炭块冷却水隔油产生的废油</w:t>
            </w:r>
          </w:p>
          <w:p>
            <w:pPr>
              <w:spacing w:line="360" w:lineRule="auto"/>
              <w:ind w:firstLine="480" w:firstLineChars="200"/>
              <w:rPr>
                <w:color w:val="auto"/>
                <w:sz w:val="24"/>
              </w:rPr>
            </w:pPr>
            <w:r>
              <w:rPr>
                <w:rFonts w:hint="eastAsia"/>
                <w:color w:val="auto"/>
                <w:sz w:val="24"/>
              </w:rPr>
              <w:t>工程成型电极冷却水系统年产生废油约为3t/a，属于危险废物（废物类别为HW</w:t>
            </w:r>
            <w:r>
              <w:rPr>
                <w:rFonts w:hint="eastAsia"/>
                <w:color w:val="auto"/>
                <w:sz w:val="24"/>
                <w:lang w:val="en-US" w:eastAsia="zh-CN"/>
              </w:rPr>
              <w:t>08</w:t>
            </w:r>
            <w:r>
              <w:rPr>
                <w:rFonts w:hint="eastAsia"/>
                <w:color w:val="auto"/>
                <w:sz w:val="24"/>
              </w:rPr>
              <w:t>），拟定期收集后送有相关危废处理资质的单位统一处置。</w:t>
            </w:r>
          </w:p>
          <w:p>
            <w:pPr>
              <w:spacing w:line="360" w:lineRule="auto"/>
              <w:ind w:firstLine="480" w:firstLineChars="200"/>
              <w:rPr>
                <w:color w:val="auto"/>
                <w:sz w:val="24"/>
              </w:rPr>
            </w:pPr>
            <w:r>
              <w:rPr>
                <w:rFonts w:hint="eastAsia"/>
                <w:color w:val="auto"/>
                <w:sz w:val="24"/>
              </w:rPr>
              <w:t>③废机油</w:t>
            </w:r>
          </w:p>
          <w:p>
            <w:pPr>
              <w:spacing w:line="360" w:lineRule="auto"/>
              <w:ind w:firstLine="480" w:firstLineChars="200"/>
              <w:rPr>
                <w:rFonts w:hint="eastAsia"/>
                <w:color w:val="auto"/>
                <w:sz w:val="24"/>
              </w:rPr>
            </w:pPr>
            <w:r>
              <w:rPr>
                <w:rFonts w:hint="eastAsia"/>
                <w:color w:val="auto"/>
                <w:sz w:val="24"/>
              </w:rPr>
              <w:t>机加车间等设备检修、维护年产生废机油约为0.5t/a，属于危险废物HW08，拟收集送有相关危废处理资质的单位统一处置。</w:t>
            </w:r>
          </w:p>
          <w:p>
            <w:pPr>
              <w:pStyle w:val="2"/>
              <w:ind w:left="0" w:leftChars="0" w:firstLine="480" w:firstLineChars="0"/>
              <w:rPr>
                <w:rFonts w:hint="eastAsia"/>
                <w:color w:val="auto"/>
                <w:sz w:val="24"/>
                <w:lang w:val="en-US" w:eastAsia="zh-CN"/>
              </w:rPr>
            </w:pPr>
            <w:r>
              <w:rPr>
                <w:rFonts w:hint="eastAsia"/>
                <w:color w:val="auto"/>
                <w:sz w:val="24"/>
                <w:lang w:val="en-US" w:eastAsia="zh-CN"/>
              </w:rPr>
              <w:t>④黑法吸附产生的废石油焦粉</w:t>
            </w:r>
          </w:p>
          <w:p>
            <w:pPr>
              <w:spacing w:line="360" w:lineRule="auto"/>
              <w:ind w:firstLine="480" w:firstLineChars="200"/>
              <w:rPr>
                <w:rFonts w:hint="default"/>
                <w:color w:val="auto"/>
                <w:sz w:val="24"/>
                <w:lang w:val="en-US" w:eastAsia="zh-CN"/>
              </w:rPr>
            </w:pPr>
            <w:r>
              <w:rPr>
                <w:rFonts w:hint="eastAsia"/>
                <w:color w:val="auto"/>
                <w:sz w:val="24"/>
                <w:lang w:val="en-US" w:eastAsia="zh-CN"/>
              </w:rPr>
              <w:t>项目沥青烟和苯并芘治理采用石油焦粉作为吸附剂吸附处理，吸附后的石油焦粉产生量约380t/a，属于危险废物，废物类别属于HW49，危险代码为900-041-49。可作为石油焦原料全部回用。</w:t>
            </w:r>
          </w:p>
          <w:p>
            <w:pPr>
              <w:spacing w:line="360" w:lineRule="auto"/>
              <w:ind w:firstLine="480" w:firstLineChars="200"/>
              <w:rPr>
                <w:rFonts w:hint="eastAsia"/>
                <w:color w:val="auto"/>
                <w:sz w:val="24"/>
              </w:rPr>
            </w:pPr>
            <w:r>
              <w:rPr>
                <w:rFonts w:hint="eastAsia"/>
                <w:color w:val="auto"/>
                <w:sz w:val="24"/>
              </w:rPr>
              <w:t>项目危险废物汇总情况一览见表3</w:t>
            </w:r>
            <w:r>
              <w:rPr>
                <w:rFonts w:hint="eastAsia"/>
                <w:color w:val="auto"/>
                <w:sz w:val="24"/>
                <w:lang w:val="en-US" w:eastAsia="zh-CN"/>
              </w:rPr>
              <w:t>9</w:t>
            </w:r>
            <w:r>
              <w:rPr>
                <w:rFonts w:hint="eastAsia"/>
                <w:color w:val="auto"/>
                <w:sz w:val="24"/>
              </w:rPr>
              <w:t>。</w:t>
            </w: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ind w:firstLine="482" w:firstLineChars="200"/>
              <w:jc w:val="center"/>
              <w:rPr>
                <w:b/>
                <w:bCs/>
                <w:color w:val="auto"/>
              </w:rPr>
            </w:pPr>
            <w:r>
              <w:rPr>
                <w:rFonts w:hint="eastAsia"/>
                <w:b/>
                <w:bCs/>
                <w:color w:val="auto"/>
                <w:sz w:val="24"/>
              </w:rPr>
              <w:t>表3</w:t>
            </w:r>
            <w:r>
              <w:rPr>
                <w:rFonts w:hint="eastAsia"/>
                <w:b/>
                <w:bCs/>
                <w:color w:val="auto"/>
                <w:sz w:val="24"/>
                <w:lang w:val="en-US" w:eastAsia="zh-CN"/>
              </w:rPr>
              <w:t>9</w:t>
            </w:r>
            <w:r>
              <w:rPr>
                <w:rFonts w:hint="eastAsia"/>
                <w:b/>
                <w:bCs/>
                <w:color w:val="auto"/>
                <w:sz w:val="24"/>
              </w:rPr>
              <w:t xml:space="preserve"> 危险废物汇总表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36"/>
              <w:gridCol w:w="867"/>
              <w:gridCol w:w="1226"/>
              <w:gridCol w:w="651"/>
              <w:gridCol w:w="651"/>
              <w:gridCol w:w="436"/>
              <w:gridCol w:w="602"/>
              <w:gridCol w:w="651"/>
              <w:gridCol w:w="651"/>
              <w:gridCol w:w="436"/>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83" w:type="pct"/>
                  <w:tcBorders>
                    <w:tl2br w:val="nil"/>
                    <w:tr2bl w:val="nil"/>
                  </w:tcBorders>
                  <w:vAlign w:val="center"/>
                </w:tcPr>
                <w:p>
                  <w:pPr>
                    <w:pStyle w:val="66"/>
                    <w:rPr>
                      <w:rFonts w:eastAsia="宋体"/>
                      <w:color w:val="auto"/>
                      <w:szCs w:val="21"/>
                    </w:rPr>
                  </w:pPr>
                  <w:r>
                    <w:rPr>
                      <w:rFonts w:eastAsia="宋体"/>
                      <w:color w:val="auto"/>
                      <w:szCs w:val="21"/>
                    </w:rPr>
                    <w:t>序号</w:t>
                  </w:r>
                </w:p>
              </w:tc>
              <w:tc>
                <w:tcPr>
                  <w:tcW w:w="283" w:type="pct"/>
                  <w:tcBorders>
                    <w:tl2br w:val="nil"/>
                    <w:tr2bl w:val="nil"/>
                  </w:tcBorders>
                  <w:vAlign w:val="center"/>
                </w:tcPr>
                <w:p>
                  <w:pPr>
                    <w:pStyle w:val="66"/>
                    <w:rPr>
                      <w:rFonts w:eastAsia="宋体"/>
                      <w:color w:val="auto"/>
                      <w:szCs w:val="21"/>
                    </w:rPr>
                  </w:pPr>
                  <w:r>
                    <w:rPr>
                      <w:rFonts w:eastAsia="宋体"/>
                      <w:color w:val="auto"/>
                      <w:szCs w:val="21"/>
                    </w:rPr>
                    <w:t>危险废物名称</w:t>
                  </w:r>
                </w:p>
              </w:tc>
              <w:tc>
                <w:tcPr>
                  <w:tcW w:w="563" w:type="pct"/>
                  <w:tcBorders>
                    <w:tl2br w:val="nil"/>
                    <w:tr2bl w:val="nil"/>
                  </w:tcBorders>
                  <w:vAlign w:val="center"/>
                </w:tcPr>
                <w:p>
                  <w:pPr>
                    <w:pStyle w:val="66"/>
                    <w:rPr>
                      <w:rFonts w:eastAsia="宋体"/>
                      <w:color w:val="auto"/>
                      <w:szCs w:val="21"/>
                    </w:rPr>
                  </w:pPr>
                  <w:r>
                    <w:rPr>
                      <w:rFonts w:eastAsia="宋体"/>
                      <w:color w:val="auto"/>
                      <w:szCs w:val="21"/>
                    </w:rPr>
                    <w:t>危险废物类别</w:t>
                  </w:r>
                </w:p>
              </w:tc>
              <w:tc>
                <w:tcPr>
                  <w:tcW w:w="796" w:type="pct"/>
                  <w:tcBorders>
                    <w:tl2br w:val="nil"/>
                    <w:tr2bl w:val="nil"/>
                  </w:tcBorders>
                  <w:vAlign w:val="center"/>
                </w:tcPr>
                <w:p>
                  <w:pPr>
                    <w:pStyle w:val="66"/>
                    <w:rPr>
                      <w:rFonts w:eastAsia="宋体"/>
                      <w:color w:val="auto"/>
                      <w:szCs w:val="21"/>
                    </w:rPr>
                  </w:pPr>
                  <w:r>
                    <w:rPr>
                      <w:rFonts w:eastAsia="宋体"/>
                      <w:color w:val="auto"/>
                      <w:szCs w:val="21"/>
                    </w:rPr>
                    <w:t>危险废物代码</w:t>
                  </w:r>
                </w:p>
              </w:tc>
              <w:tc>
                <w:tcPr>
                  <w:tcW w:w="423" w:type="pct"/>
                  <w:tcBorders>
                    <w:tl2br w:val="nil"/>
                    <w:tr2bl w:val="nil"/>
                  </w:tcBorders>
                  <w:vAlign w:val="center"/>
                </w:tcPr>
                <w:p>
                  <w:pPr>
                    <w:pStyle w:val="66"/>
                    <w:rPr>
                      <w:rFonts w:eastAsia="宋体"/>
                      <w:color w:val="auto"/>
                      <w:szCs w:val="21"/>
                    </w:rPr>
                  </w:pPr>
                  <w:r>
                    <w:rPr>
                      <w:rFonts w:eastAsia="宋体"/>
                      <w:color w:val="auto"/>
                      <w:szCs w:val="21"/>
                    </w:rPr>
                    <w:t>产生量（吨/年）</w:t>
                  </w:r>
                </w:p>
              </w:tc>
              <w:tc>
                <w:tcPr>
                  <w:tcW w:w="423" w:type="pct"/>
                  <w:tcBorders>
                    <w:tl2br w:val="nil"/>
                    <w:tr2bl w:val="nil"/>
                  </w:tcBorders>
                  <w:vAlign w:val="center"/>
                </w:tcPr>
                <w:p>
                  <w:pPr>
                    <w:pStyle w:val="66"/>
                    <w:rPr>
                      <w:rFonts w:eastAsia="宋体"/>
                      <w:color w:val="auto"/>
                      <w:szCs w:val="21"/>
                    </w:rPr>
                  </w:pPr>
                  <w:r>
                    <w:rPr>
                      <w:rFonts w:eastAsia="宋体"/>
                      <w:color w:val="auto"/>
                      <w:szCs w:val="21"/>
                    </w:rPr>
                    <w:t>产生工序及装置</w:t>
                  </w:r>
                </w:p>
              </w:tc>
              <w:tc>
                <w:tcPr>
                  <w:tcW w:w="283" w:type="pct"/>
                  <w:tcBorders>
                    <w:tl2br w:val="nil"/>
                    <w:tr2bl w:val="nil"/>
                  </w:tcBorders>
                  <w:vAlign w:val="center"/>
                </w:tcPr>
                <w:p>
                  <w:pPr>
                    <w:pStyle w:val="66"/>
                    <w:rPr>
                      <w:rFonts w:eastAsia="宋体"/>
                      <w:color w:val="auto"/>
                      <w:szCs w:val="21"/>
                    </w:rPr>
                  </w:pPr>
                  <w:r>
                    <w:rPr>
                      <w:rFonts w:eastAsia="宋体"/>
                      <w:color w:val="auto"/>
                      <w:szCs w:val="21"/>
                    </w:rPr>
                    <w:t>形态</w:t>
                  </w:r>
                </w:p>
              </w:tc>
              <w:tc>
                <w:tcPr>
                  <w:tcW w:w="391" w:type="pct"/>
                  <w:tcBorders>
                    <w:tl2br w:val="nil"/>
                    <w:tr2bl w:val="nil"/>
                  </w:tcBorders>
                  <w:vAlign w:val="center"/>
                </w:tcPr>
                <w:p>
                  <w:pPr>
                    <w:pStyle w:val="66"/>
                    <w:rPr>
                      <w:rFonts w:eastAsia="宋体"/>
                      <w:color w:val="auto"/>
                      <w:szCs w:val="21"/>
                    </w:rPr>
                  </w:pPr>
                  <w:r>
                    <w:rPr>
                      <w:rFonts w:eastAsia="宋体"/>
                      <w:color w:val="auto"/>
                      <w:szCs w:val="21"/>
                    </w:rPr>
                    <w:t>主要成分</w:t>
                  </w:r>
                </w:p>
              </w:tc>
              <w:tc>
                <w:tcPr>
                  <w:tcW w:w="423" w:type="pct"/>
                  <w:tcBorders>
                    <w:tl2br w:val="nil"/>
                    <w:tr2bl w:val="nil"/>
                  </w:tcBorders>
                  <w:vAlign w:val="center"/>
                </w:tcPr>
                <w:p>
                  <w:pPr>
                    <w:pStyle w:val="66"/>
                    <w:rPr>
                      <w:rFonts w:eastAsia="宋体"/>
                      <w:color w:val="auto"/>
                      <w:szCs w:val="21"/>
                    </w:rPr>
                  </w:pPr>
                  <w:r>
                    <w:rPr>
                      <w:rFonts w:eastAsia="宋体"/>
                      <w:color w:val="auto"/>
                      <w:szCs w:val="21"/>
                    </w:rPr>
                    <w:t>有害成分</w:t>
                  </w:r>
                </w:p>
              </w:tc>
              <w:tc>
                <w:tcPr>
                  <w:tcW w:w="423" w:type="pct"/>
                  <w:tcBorders>
                    <w:tl2br w:val="nil"/>
                    <w:tr2bl w:val="nil"/>
                  </w:tcBorders>
                  <w:vAlign w:val="center"/>
                </w:tcPr>
                <w:p>
                  <w:pPr>
                    <w:pStyle w:val="66"/>
                    <w:rPr>
                      <w:rFonts w:eastAsia="宋体"/>
                      <w:color w:val="auto"/>
                      <w:szCs w:val="21"/>
                    </w:rPr>
                  </w:pPr>
                  <w:r>
                    <w:rPr>
                      <w:rFonts w:eastAsia="宋体"/>
                      <w:color w:val="auto"/>
                      <w:szCs w:val="21"/>
                    </w:rPr>
                    <w:t>产废周期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危险</w:t>
                  </w:r>
                </w:p>
                <w:p>
                  <w:pPr>
                    <w:pStyle w:val="66"/>
                    <w:rPr>
                      <w:rFonts w:eastAsia="宋体"/>
                      <w:color w:val="auto"/>
                      <w:szCs w:val="21"/>
                    </w:rPr>
                  </w:pPr>
                  <w:r>
                    <w:rPr>
                      <w:rFonts w:eastAsia="宋体"/>
                      <w:color w:val="auto"/>
                      <w:szCs w:val="21"/>
                    </w:rPr>
                    <w:t>特性</w:t>
                  </w:r>
                </w:p>
              </w:tc>
              <w:tc>
                <w:tcPr>
                  <w:tcW w:w="423" w:type="pct"/>
                  <w:tcBorders>
                    <w:tl2br w:val="nil"/>
                    <w:tr2bl w:val="nil"/>
                  </w:tcBorders>
                  <w:vAlign w:val="center"/>
                </w:tcPr>
                <w:p>
                  <w:pPr>
                    <w:pStyle w:val="66"/>
                    <w:spacing w:line="240" w:lineRule="auto"/>
                    <w:rPr>
                      <w:rFonts w:eastAsia="宋体"/>
                      <w:color w:val="auto"/>
                      <w:szCs w:val="21"/>
                    </w:rPr>
                  </w:pPr>
                  <w:r>
                    <w:rPr>
                      <w:rFonts w:eastAsia="宋体"/>
                      <w:color w:val="auto"/>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tcBorders>
                    <w:tl2br w:val="nil"/>
                    <w:tr2bl w:val="nil"/>
                  </w:tcBorders>
                  <w:vAlign w:val="center"/>
                </w:tcPr>
                <w:p>
                  <w:pPr>
                    <w:pStyle w:val="66"/>
                    <w:rPr>
                      <w:rFonts w:eastAsia="宋体"/>
                      <w:color w:val="auto"/>
                      <w:szCs w:val="21"/>
                    </w:rPr>
                  </w:pPr>
                  <w:r>
                    <w:rPr>
                      <w:rFonts w:eastAsia="宋体"/>
                      <w:color w:val="auto"/>
                      <w:szCs w:val="21"/>
                    </w:rPr>
                    <w:t>1</w:t>
                  </w:r>
                </w:p>
              </w:tc>
              <w:tc>
                <w:tcPr>
                  <w:tcW w:w="283" w:type="pct"/>
                  <w:tcBorders>
                    <w:tl2br w:val="nil"/>
                    <w:tr2bl w:val="nil"/>
                  </w:tcBorders>
                  <w:vAlign w:val="center"/>
                </w:tcPr>
                <w:p>
                  <w:pPr>
                    <w:pStyle w:val="66"/>
                    <w:rPr>
                      <w:rFonts w:eastAsia="宋体"/>
                      <w:color w:val="auto"/>
                      <w:szCs w:val="21"/>
                    </w:rPr>
                  </w:pPr>
                  <w:r>
                    <w:rPr>
                      <w:rFonts w:eastAsia="宋体"/>
                      <w:color w:val="auto"/>
                      <w:szCs w:val="21"/>
                    </w:rPr>
                    <w:t>电捕废焦油</w:t>
                  </w:r>
                </w:p>
              </w:tc>
              <w:tc>
                <w:tcPr>
                  <w:tcW w:w="563" w:type="pct"/>
                  <w:tcBorders>
                    <w:tl2br w:val="nil"/>
                    <w:tr2bl w:val="nil"/>
                  </w:tcBorders>
                  <w:vAlign w:val="center"/>
                </w:tcPr>
                <w:p>
                  <w:pPr>
                    <w:pStyle w:val="66"/>
                    <w:spacing w:line="240" w:lineRule="auto"/>
                    <w:rPr>
                      <w:rFonts w:eastAsia="宋体"/>
                      <w:color w:val="auto"/>
                      <w:szCs w:val="21"/>
                    </w:rPr>
                  </w:pPr>
                  <w:r>
                    <w:rPr>
                      <w:rFonts w:eastAsia="宋体"/>
                      <w:color w:val="auto"/>
                      <w:szCs w:val="21"/>
                    </w:rPr>
                    <w:t>HW11</w:t>
                  </w:r>
                </w:p>
                <w:p>
                  <w:pPr>
                    <w:pStyle w:val="66"/>
                    <w:spacing w:line="240" w:lineRule="auto"/>
                    <w:rPr>
                      <w:rFonts w:eastAsia="宋体"/>
                      <w:color w:val="auto"/>
                      <w:szCs w:val="21"/>
                    </w:rPr>
                  </w:pPr>
                  <w:r>
                    <w:rPr>
                      <w:rFonts w:eastAsia="宋体"/>
                      <w:color w:val="auto"/>
                      <w:szCs w:val="21"/>
                    </w:rPr>
                    <w:t>精（蒸）</w:t>
                  </w:r>
                </w:p>
                <w:p>
                  <w:pPr>
                    <w:pStyle w:val="66"/>
                    <w:spacing w:line="240" w:lineRule="auto"/>
                    <w:rPr>
                      <w:rFonts w:eastAsia="宋体"/>
                      <w:color w:val="auto"/>
                      <w:szCs w:val="21"/>
                    </w:rPr>
                  </w:pPr>
                  <w:r>
                    <w:rPr>
                      <w:rFonts w:eastAsia="宋体"/>
                      <w:color w:val="auto"/>
                      <w:szCs w:val="21"/>
                    </w:rPr>
                    <w:t>馏残渣</w:t>
                  </w:r>
                </w:p>
              </w:tc>
              <w:tc>
                <w:tcPr>
                  <w:tcW w:w="796" w:type="pct"/>
                  <w:tcBorders>
                    <w:tl2br w:val="nil"/>
                    <w:tr2bl w:val="nil"/>
                  </w:tcBorders>
                  <w:vAlign w:val="center"/>
                </w:tcPr>
                <w:p>
                  <w:pPr>
                    <w:pStyle w:val="66"/>
                    <w:rPr>
                      <w:rFonts w:hint="default" w:eastAsia="宋体"/>
                      <w:color w:val="auto"/>
                      <w:szCs w:val="21"/>
                      <w:lang w:val="en-US" w:eastAsia="zh-CN"/>
                    </w:rPr>
                  </w:pPr>
                  <w:r>
                    <w:rPr>
                      <w:rFonts w:hint="eastAsia" w:eastAsia="宋体"/>
                      <w:color w:val="auto"/>
                      <w:szCs w:val="21"/>
                      <w:lang w:val="en-US" w:eastAsia="zh-CN"/>
                    </w:rPr>
                    <w:t>309-001-11</w:t>
                  </w:r>
                </w:p>
              </w:tc>
              <w:tc>
                <w:tcPr>
                  <w:tcW w:w="423" w:type="pct"/>
                  <w:tcBorders>
                    <w:tl2br w:val="nil"/>
                    <w:tr2bl w:val="nil"/>
                  </w:tcBorders>
                  <w:vAlign w:val="center"/>
                </w:tcPr>
                <w:p>
                  <w:pPr>
                    <w:pStyle w:val="66"/>
                    <w:rPr>
                      <w:rFonts w:eastAsia="宋体"/>
                      <w:color w:val="auto"/>
                      <w:szCs w:val="21"/>
                    </w:rPr>
                  </w:pPr>
                  <w:r>
                    <w:rPr>
                      <w:rFonts w:hint="eastAsia" w:eastAsia="宋体"/>
                      <w:color w:val="auto"/>
                      <w:szCs w:val="21"/>
                    </w:rPr>
                    <w:t>96.7</w:t>
                  </w:r>
                </w:p>
              </w:tc>
              <w:tc>
                <w:tcPr>
                  <w:tcW w:w="423" w:type="pct"/>
                  <w:tcBorders>
                    <w:tl2br w:val="nil"/>
                    <w:tr2bl w:val="nil"/>
                  </w:tcBorders>
                  <w:vAlign w:val="center"/>
                </w:tcPr>
                <w:p>
                  <w:pPr>
                    <w:pStyle w:val="66"/>
                    <w:rPr>
                      <w:rFonts w:eastAsia="宋体"/>
                      <w:color w:val="auto"/>
                      <w:szCs w:val="21"/>
                    </w:rPr>
                  </w:pPr>
                  <w:r>
                    <w:rPr>
                      <w:rFonts w:eastAsia="宋体"/>
                      <w:color w:val="auto"/>
                      <w:szCs w:val="21"/>
                    </w:rPr>
                    <w:t>电捕焦油产生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液体</w:t>
                  </w:r>
                </w:p>
              </w:tc>
              <w:tc>
                <w:tcPr>
                  <w:tcW w:w="391" w:type="pct"/>
                  <w:tcBorders>
                    <w:tl2br w:val="nil"/>
                    <w:tr2bl w:val="nil"/>
                  </w:tcBorders>
                  <w:vAlign w:val="center"/>
                </w:tcPr>
                <w:p>
                  <w:pPr>
                    <w:pStyle w:val="66"/>
                    <w:spacing w:line="240" w:lineRule="auto"/>
                    <w:rPr>
                      <w:rFonts w:eastAsia="宋体"/>
                      <w:color w:val="auto"/>
                      <w:spacing w:val="-12"/>
                      <w:szCs w:val="21"/>
                    </w:rPr>
                  </w:pPr>
                  <w:r>
                    <w:rPr>
                      <w:rFonts w:eastAsia="宋体"/>
                      <w:color w:val="auto"/>
                      <w:spacing w:val="-12"/>
                      <w:szCs w:val="21"/>
                    </w:rPr>
                    <w:t>芳烃类、苯系物、酚类、萘、沥青</w:t>
                  </w:r>
                </w:p>
              </w:tc>
              <w:tc>
                <w:tcPr>
                  <w:tcW w:w="423" w:type="pct"/>
                  <w:tcBorders>
                    <w:tl2br w:val="nil"/>
                    <w:tr2bl w:val="nil"/>
                  </w:tcBorders>
                  <w:vAlign w:val="center"/>
                </w:tcPr>
                <w:p>
                  <w:pPr>
                    <w:pStyle w:val="66"/>
                    <w:rPr>
                      <w:rFonts w:eastAsia="宋体"/>
                      <w:color w:val="auto"/>
                      <w:szCs w:val="21"/>
                    </w:rPr>
                  </w:pPr>
                  <w:r>
                    <w:rPr>
                      <w:rFonts w:eastAsia="宋体"/>
                      <w:color w:val="auto"/>
                      <w:szCs w:val="21"/>
                    </w:rPr>
                    <w:t>苯并芘等</w:t>
                  </w:r>
                </w:p>
              </w:tc>
              <w:tc>
                <w:tcPr>
                  <w:tcW w:w="423" w:type="pct"/>
                  <w:tcBorders>
                    <w:tl2br w:val="nil"/>
                    <w:tr2bl w:val="nil"/>
                  </w:tcBorders>
                  <w:vAlign w:val="center"/>
                </w:tcPr>
                <w:p>
                  <w:pPr>
                    <w:pStyle w:val="66"/>
                    <w:rPr>
                      <w:rFonts w:eastAsia="宋体"/>
                      <w:color w:val="auto"/>
                      <w:szCs w:val="21"/>
                    </w:rPr>
                  </w:pPr>
                  <w:r>
                    <w:rPr>
                      <w:rFonts w:eastAsia="宋体"/>
                      <w:color w:val="auto"/>
                      <w:szCs w:val="21"/>
                    </w:rPr>
                    <w:t>连续产生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毒性T</w:t>
                  </w:r>
                </w:p>
              </w:tc>
              <w:tc>
                <w:tcPr>
                  <w:tcW w:w="423" w:type="pct"/>
                  <w:tcBorders>
                    <w:tl2br w:val="nil"/>
                    <w:tr2bl w:val="nil"/>
                  </w:tcBorders>
                  <w:vAlign w:val="center"/>
                </w:tcPr>
                <w:p>
                  <w:pPr>
                    <w:pStyle w:val="66"/>
                    <w:spacing w:line="240" w:lineRule="auto"/>
                    <w:rPr>
                      <w:rFonts w:hint="default" w:eastAsia="宋体"/>
                      <w:color w:val="auto"/>
                      <w:szCs w:val="21"/>
                      <w:lang w:val="en-US" w:eastAsia="zh-CN"/>
                    </w:rPr>
                  </w:pPr>
                  <w:r>
                    <w:rPr>
                      <w:rFonts w:hint="eastAsia" w:eastAsia="宋体"/>
                      <w:color w:val="auto"/>
                      <w:szCs w:val="21"/>
                      <w:lang w:val="en-US" w:eastAsia="zh-CN"/>
                    </w:rPr>
                    <w:t>回用于混捏成型工序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283" w:type="pct"/>
                  <w:tcBorders>
                    <w:tl2br w:val="nil"/>
                    <w:tr2bl w:val="nil"/>
                  </w:tcBorders>
                  <w:vAlign w:val="center"/>
                </w:tcPr>
                <w:p>
                  <w:pPr>
                    <w:pStyle w:val="66"/>
                    <w:rPr>
                      <w:rFonts w:eastAsia="宋体"/>
                      <w:color w:val="auto"/>
                      <w:szCs w:val="21"/>
                    </w:rPr>
                  </w:pPr>
                  <w:r>
                    <w:rPr>
                      <w:rFonts w:eastAsia="宋体"/>
                      <w:color w:val="auto"/>
                      <w:szCs w:val="21"/>
                    </w:rPr>
                    <w:t>2</w:t>
                  </w:r>
                </w:p>
              </w:tc>
              <w:tc>
                <w:tcPr>
                  <w:tcW w:w="283" w:type="pct"/>
                  <w:tcBorders>
                    <w:tl2br w:val="nil"/>
                    <w:tr2bl w:val="nil"/>
                  </w:tcBorders>
                  <w:vAlign w:val="center"/>
                </w:tcPr>
                <w:p>
                  <w:pPr>
                    <w:pStyle w:val="66"/>
                    <w:rPr>
                      <w:rFonts w:eastAsia="宋体"/>
                      <w:color w:val="auto"/>
                      <w:szCs w:val="21"/>
                    </w:rPr>
                  </w:pPr>
                  <w:r>
                    <w:rPr>
                      <w:rFonts w:eastAsia="宋体"/>
                      <w:color w:val="auto"/>
                      <w:szCs w:val="21"/>
                    </w:rPr>
                    <w:t>隔油池废油</w:t>
                  </w:r>
                </w:p>
              </w:tc>
              <w:tc>
                <w:tcPr>
                  <w:tcW w:w="563" w:type="pct"/>
                  <w:tcBorders>
                    <w:tl2br w:val="nil"/>
                    <w:tr2bl w:val="nil"/>
                  </w:tcBorders>
                  <w:vAlign w:val="center"/>
                </w:tcPr>
                <w:p>
                  <w:pPr>
                    <w:pStyle w:val="66"/>
                    <w:spacing w:line="240" w:lineRule="auto"/>
                    <w:rPr>
                      <w:rFonts w:hint="default" w:eastAsia="宋体"/>
                      <w:color w:val="auto"/>
                      <w:szCs w:val="21"/>
                      <w:lang w:val="en-US" w:eastAsia="zh-CN"/>
                    </w:rPr>
                  </w:pPr>
                  <w:r>
                    <w:rPr>
                      <w:rFonts w:eastAsia="宋体"/>
                      <w:color w:val="auto"/>
                      <w:szCs w:val="21"/>
                    </w:rPr>
                    <w:t>HW</w:t>
                  </w:r>
                  <w:r>
                    <w:rPr>
                      <w:rFonts w:hint="eastAsia" w:eastAsia="宋体"/>
                      <w:color w:val="auto"/>
                      <w:szCs w:val="21"/>
                      <w:lang w:val="en-US" w:eastAsia="zh-CN"/>
                    </w:rPr>
                    <w:t>08</w:t>
                  </w:r>
                </w:p>
                <w:p>
                  <w:pPr>
                    <w:pStyle w:val="66"/>
                    <w:spacing w:line="240" w:lineRule="auto"/>
                    <w:rPr>
                      <w:rFonts w:eastAsia="宋体"/>
                      <w:color w:val="auto"/>
                      <w:szCs w:val="21"/>
                    </w:rPr>
                  </w:pPr>
                  <w:r>
                    <w:rPr>
                      <w:rFonts w:eastAsia="宋体"/>
                      <w:color w:val="auto"/>
                      <w:szCs w:val="21"/>
                    </w:rPr>
                    <w:t>精（蒸）</w:t>
                  </w:r>
                </w:p>
                <w:p>
                  <w:pPr>
                    <w:pStyle w:val="66"/>
                    <w:spacing w:line="240" w:lineRule="auto"/>
                    <w:rPr>
                      <w:rFonts w:eastAsia="宋体"/>
                      <w:color w:val="auto"/>
                      <w:szCs w:val="21"/>
                    </w:rPr>
                  </w:pPr>
                  <w:r>
                    <w:rPr>
                      <w:rFonts w:eastAsia="宋体"/>
                      <w:color w:val="auto"/>
                      <w:szCs w:val="21"/>
                    </w:rPr>
                    <w:t>馏残渣</w:t>
                  </w:r>
                </w:p>
              </w:tc>
              <w:tc>
                <w:tcPr>
                  <w:tcW w:w="796" w:type="pct"/>
                  <w:tcBorders>
                    <w:tl2br w:val="nil"/>
                    <w:tr2bl w:val="nil"/>
                  </w:tcBorders>
                  <w:vAlign w:val="center"/>
                </w:tcPr>
                <w:p>
                  <w:pPr>
                    <w:pStyle w:val="66"/>
                    <w:rPr>
                      <w:rFonts w:hint="default" w:eastAsia="宋体"/>
                      <w:color w:val="auto"/>
                      <w:szCs w:val="21"/>
                      <w:lang w:val="en-US"/>
                    </w:rPr>
                  </w:pPr>
                  <w:r>
                    <w:rPr>
                      <w:rFonts w:hint="eastAsia" w:eastAsia="宋体"/>
                      <w:color w:val="auto"/>
                      <w:szCs w:val="21"/>
                      <w:lang w:val="en-US" w:eastAsia="zh-CN"/>
                    </w:rPr>
                    <w:t>900-210-08</w:t>
                  </w:r>
                </w:p>
              </w:tc>
              <w:tc>
                <w:tcPr>
                  <w:tcW w:w="423" w:type="pct"/>
                  <w:tcBorders>
                    <w:tl2br w:val="nil"/>
                    <w:tr2bl w:val="nil"/>
                  </w:tcBorders>
                  <w:vAlign w:val="center"/>
                </w:tcPr>
                <w:p>
                  <w:pPr>
                    <w:pStyle w:val="66"/>
                    <w:rPr>
                      <w:rFonts w:eastAsia="宋体"/>
                      <w:color w:val="auto"/>
                      <w:szCs w:val="21"/>
                    </w:rPr>
                  </w:pPr>
                  <w:r>
                    <w:rPr>
                      <w:rFonts w:eastAsia="宋体"/>
                      <w:color w:val="auto"/>
                      <w:szCs w:val="21"/>
                    </w:rPr>
                    <w:t>3</w:t>
                  </w:r>
                </w:p>
              </w:tc>
              <w:tc>
                <w:tcPr>
                  <w:tcW w:w="423" w:type="pct"/>
                  <w:tcBorders>
                    <w:tl2br w:val="nil"/>
                    <w:tr2bl w:val="nil"/>
                  </w:tcBorders>
                  <w:vAlign w:val="center"/>
                </w:tcPr>
                <w:p>
                  <w:pPr>
                    <w:pStyle w:val="66"/>
                    <w:rPr>
                      <w:rFonts w:eastAsia="宋体"/>
                      <w:color w:val="auto"/>
                      <w:szCs w:val="21"/>
                    </w:rPr>
                  </w:pPr>
                  <w:r>
                    <w:rPr>
                      <w:rFonts w:eastAsia="宋体"/>
                      <w:color w:val="auto"/>
                      <w:szCs w:val="21"/>
                    </w:rPr>
                    <w:t>炭块冷却隔油池产生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液体</w:t>
                  </w:r>
                </w:p>
              </w:tc>
              <w:tc>
                <w:tcPr>
                  <w:tcW w:w="391" w:type="pct"/>
                  <w:tcBorders>
                    <w:tl2br w:val="nil"/>
                    <w:tr2bl w:val="nil"/>
                  </w:tcBorders>
                  <w:vAlign w:val="center"/>
                </w:tcPr>
                <w:p>
                  <w:pPr>
                    <w:pStyle w:val="66"/>
                    <w:rPr>
                      <w:rFonts w:eastAsia="宋体"/>
                      <w:color w:val="auto"/>
                      <w:spacing w:val="-12"/>
                      <w:szCs w:val="21"/>
                    </w:rPr>
                  </w:pPr>
                  <w:r>
                    <w:rPr>
                      <w:rFonts w:eastAsia="宋体"/>
                      <w:color w:val="auto"/>
                      <w:spacing w:val="-12"/>
                      <w:szCs w:val="21"/>
                    </w:rPr>
                    <w:t>芳烃类、苯系物、酚类、萘、沥青</w:t>
                  </w:r>
                </w:p>
              </w:tc>
              <w:tc>
                <w:tcPr>
                  <w:tcW w:w="423" w:type="pct"/>
                  <w:tcBorders>
                    <w:tl2br w:val="nil"/>
                    <w:tr2bl w:val="nil"/>
                  </w:tcBorders>
                  <w:vAlign w:val="center"/>
                </w:tcPr>
                <w:p>
                  <w:pPr>
                    <w:pStyle w:val="66"/>
                    <w:rPr>
                      <w:rFonts w:eastAsia="宋体"/>
                      <w:color w:val="auto"/>
                      <w:szCs w:val="21"/>
                    </w:rPr>
                  </w:pPr>
                  <w:r>
                    <w:rPr>
                      <w:rFonts w:eastAsia="宋体"/>
                      <w:color w:val="auto"/>
                      <w:szCs w:val="21"/>
                    </w:rPr>
                    <w:t>苯并芘等</w:t>
                  </w:r>
                </w:p>
              </w:tc>
              <w:tc>
                <w:tcPr>
                  <w:tcW w:w="423" w:type="pct"/>
                  <w:tcBorders>
                    <w:tl2br w:val="nil"/>
                    <w:tr2bl w:val="nil"/>
                  </w:tcBorders>
                  <w:vAlign w:val="center"/>
                </w:tcPr>
                <w:p>
                  <w:pPr>
                    <w:pStyle w:val="66"/>
                    <w:rPr>
                      <w:rFonts w:eastAsia="宋体"/>
                      <w:color w:val="auto"/>
                      <w:szCs w:val="21"/>
                    </w:rPr>
                  </w:pPr>
                  <w:r>
                    <w:rPr>
                      <w:rFonts w:eastAsia="宋体"/>
                      <w:color w:val="auto"/>
                      <w:szCs w:val="21"/>
                    </w:rPr>
                    <w:t>连续产生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毒性T</w:t>
                  </w:r>
                </w:p>
              </w:tc>
              <w:tc>
                <w:tcPr>
                  <w:tcW w:w="423" w:type="pct"/>
                  <w:vMerge w:val="restart"/>
                  <w:tcBorders>
                    <w:tl2br w:val="nil"/>
                    <w:tr2bl w:val="nil"/>
                  </w:tcBorders>
                  <w:vAlign w:val="center"/>
                </w:tcPr>
                <w:p>
                  <w:pPr>
                    <w:pStyle w:val="66"/>
                    <w:rPr>
                      <w:rFonts w:eastAsia="宋体"/>
                      <w:color w:val="auto"/>
                      <w:szCs w:val="21"/>
                    </w:rPr>
                  </w:pPr>
                  <w:r>
                    <w:rPr>
                      <w:rFonts w:eastAsia="宋体"/>
                      <w:color w:val="auto"/>
                      <w:szCs w:val="21"/>
                    </w:rPr>
                    <w:t>在厂内危废暂存间采用专用容器分区暂存，定期委托有资质单位处置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83" w:type="pct"/>
                  <w:tcBorders>
                    <w:tl2br w:val="nil"/>
                    <w:tr2bl w:val="nil"/>
                  </w:tcBorders>
                  <w:vAlign w:val="center"/>
                </w:tcPr>
                <w:p>
                  <w:pPr>
                    <w:pStyle w:val="66"/>
                    <w:rPr>
                      <w:rFonts w:eastAsia="宋体"/>
                      <w:color w:val="auto"/>
                      <w:szCs w:val="21"/>
                    </w:rPr>
                  </w:pPr>
                  <w:r>
                    <w:rPr>
                      <w:rFonts w:eastAsia="宋体"/>
                      <w:color w:val="auto"/>
                      <w:szCs w:val="21"/>
                    </w:rPr>
                    <w:t>3</w:t>
                  </w:r>
                </w:p>
              </w:tc>
              <w:tc>
                <w:tcPr>
                  <w:tcW w:w="283" w:type="pct"/>
                  <w:tcBorders>
                    <w:tl2br w:val="nil"/>
                    <w:tr2bl w:val="nil"/>
                  </w:tcBorders>
                  <w:vAlign w:val="center"/>
                </w:tcPr>
                <w:p>
                  <w:pPr>
                    <w:pStyle w:val="66"/>
                    <w:rPr>
                      <w:rFonts w:eastAsia="宋体"/>
                      <w:color w:val="auto"/>
                      <w:szCs w:val="21"/>
                    </w:rPr>
                  </w:pPr>
                  <w:r>
                    <w:rPr>
                      <w:rFonts w:eastAsia="宋体"/>
                      <w:color w:val="auto"/>
                      <w:szCs w:val="21"/>
                    </w:rPr>
                    <w:t>废机油</w:t>
                  </w:r>
                </w:p>
              </w:tc>
              <w:tc>
                <w:tcPr>
                  <w:tcW w:w="563" w:type="pct"/>
                  <w:tcBorders>
                    <w:tl2br w:val="nil"/>
                    <w:tr2bl w:val="nil"/>
                  </w:tcBorders>
                  <w:vAlign w:val="center"/>
                </w:tcPr>
                <w:p>
                  <w:pPr>
                    <w:pStyle w:val="66"/>
                    <w:spacing w:line="240" w:lineRule="auto"/>
                    <w:rPr>
                      <w:rFonts w:eastAsia="宋体"/>
                      <w:color w:val="auto"/>
                      <w:szCs w:val="21"/>
                    </w:rPr>
                  </w:pPr>
                  <w:r>
                    <w:rPr>
                      <w:rFonts w:eastAsia="宋体"/>
                      <w:color w:val="auto"/>
                      <w:szCs w:val="21"/>
                    </w:rPr>
                    <w:t>HW08废矿物油</w:t>
                  </w:r>
                </w:p>
                <w:p>
                  <w:pPr>
                    <w:pStyle w:val="66"/>
                    <w:spacing w:line="240" w:lineRule="auto"/>
                    <w:rPr>
                      <w:rFonts w:eastAsia="宋体"/>
                      <w:color w:val="auto"/>
                      <w:szCs w:val="21"/>
                    </w:rPr>
                  </w:pPr>
                  <w:r>
                    <w:rPr>
                      <w:rFonts w:eastAsia="宋体"/>
                      <w:color w:val="auto"/>
                      <w:szCs w:val="21"/>
                    </w:rPr>
                    <w:t>与含矿物油废物</w:t>
                  </w:r>
                </w:p>
              </w:tc>
              <w:tc>
                <w:tcPr>
                  <w:tcW w:w="796" w:type="pct"/>
                  <w:tcBorders>
                    <w:tl2br w:val="nil"/>
                    <w:tr2bl w:val="nil"/>
                  </w:tcBorders>
                  <w:vAlign w:val="center"/>
                </w:tcPr>
                <w:p>
                  <w:pPr>
                    <w:pStyle w:val="66"/>
                    <w:rPr>
                      <w:rFonts w:eastAsia="宋体"/>
                      <w:color w:val="auto"/>
                      <w:szCs w:val="21"/>
                    </w:rPr>
                  </w:pPr>
                  <w:r>
                    <w:rPr>
                      <w:rFonts w:eastAsia="宋体"/>
                      <w:color w:val="auto"/>
                      <w:szCs w:val="21"/>
                    </w:rPr>
                    <w:t>900-214-08</w:t>
                  </w:r>
                </w:p>
              </w:tc>
              <w:tc>
                <w:tcPr>
                  <w:tcW w:w="423" w:type="pct"/>
                  <w:tcBorders>
                    <w:tl2br w:val="nil"/>
                    <w:tr2bl w:val="nil"/>
                  </w:tcBorders>
                  <w:vAlign w:val="center"/>
                </w:tcPr>
                <w:p>
                  <w:pPr>
                    <w:pStyle w:val="66"/>
                    <w:rPr>
                      <w:rFonts w:eastAsia="宋体"/>
                      <w:color w:val="auto"/>
                      <w:szCs w:val="21"/>
                    </w:rPr>
                  </w:pPr>
                  <w:r>
                    <w:rPr>
                      <w:rFonts w:eastAsia="宋体"/>
                      <w:color w:val="auto"/>
                      <w:szCs w:val="21"/>
                    </w:rPr>
                    <w:t>0.</w:t>
                  </w:r>
                  <w:r>
                    <w:rPr>
                      <w:rFonts w:hint="eastAsia" w:eastAsia="宋体"/>
                      <w:color w:val="auto"/>
                      <w:szCs w:val="21"/>
                    </w:rPr>
                    <w:t>5</w:t>
                  </w:r>
                </w:p>
              </w:tc>
              <w:tc>
                <w:tcPr>
                  <w:tcW w:w="423" w:type="pct"/>
                  <w:tcBorders>
                    <w:tl2br w:val="nil"/>
                    <w:tr2bl w:val="nil"/>
                  </w:tcBorders>
                  <w:vAlign w:val="center"/>
                </w:tcPr>
                <w:p>
                  <w:pPr>
                    <w:pStyle w:val="66"/>
                    <w:rPr>
                      <w:rFonts w:eastAsia="宋体"/>
                      <w:color w:val="auto"/>
                      <w:szCs w:val="21"/>
                    </w:rPr>
                  </w:pPr>
                  <w:r>
                    <w:rPr>
                      <w:rFonts w:eastAsia="宋体"/>
                      <w:color w:val="auto"/>
                      <w:szCs w:val="21"/>
                    </w:rPr>
                    <w:t>机械设备检修、维护产生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液体</w:t>
                  </w:r>
                </w:p>
              </w:tc>
              <w:tc>
                <w:tcPr>
                  <w:tcW w:w="391" w:type="pct"/>
                  <w:tcBorders>
                    <w:tl2br w:val="nil"/>
                    <w:tr2bl w:val="nil"/>
                  </w:tcBorders>
                  <w:vAlign w:val="center"/>
                </w:tcPr>
                <w:p>
                  <w:pPr>
                    <w:pStyle w:val="66"/>
                    <w:rPr>
                      <w:rFonts w:eastAsia="宋体"/>
                      <w:color w:val="auto"/>
                      <w:spacing w:val="-12"/>
                      <w:szCs w:val="21"/>
                    </w:rPr>
                  </w:pPr>
                  <w:r>
                    <w:rPr>
                      <w:rFonts w:eastAsia="宋体"/>
                      <w:color w:val="auto"/>
                      <w:spacing w:val="-12"/>
                      <w:szCs w:val="21"/>
                    </w:rPr>
                    <w:t>芳烃类、苯系物、酚类</w:t>
                  </w:r>
                </w:p>
              </w:tc>
              <w:tc>
                <w:tcPr>
                  <w:tcW w:w="423" w:type="pct"/>
                  <w:tcBorders>
                    <w:tl2br w:val="nil"/>
                    <w:tr2bl w:val="nil"/>
                  </w:tcBorders>
                  <w:vAlign w:val="center"/>
                </w:tcPr>
                <w:p>
                  <w:pPr>
                    <w:pStyle w:val="66"/>
                    <w:rPr>
                      <w:rFonts w:eastAsia="宋体"/>
                      <w:color w:val="auto"/>
                      <w:szCs w:val="21"/>
                    </w:rPr>
                  </w:pPr>
                  <w:r>
                    <w:rPr>
                      <w:rFonts w:eastAsia="宋体"/>
                      <w:color w:val="auto"/>
                      <w:szCs w:val="21"/>
                    </w:rPr>
                    <w:t>苯系物、废酸</w:t>
                  </w:r>
                </w:p>
              </w:tc>
              <w:tc>
                <w:tcPr>
                  <w:tcW w:w="423" w:type="pct"/>
                  <w:tcBorders>
                    <w:tl2br w:val="nil"/>
                    <w:tr2bl w:val="nil"/>
                  </w:tcBorders>
                  <w:vAlign w:val="center"/>
                </w:tcPr>
                <w:p>
                  <w:pPr>
                    <w:pStyle w:val="66"/>
                    <w:rPr>
                      <w:rFonts w:eastAsia="宋体"/>
                      <w:color w:val="auto"/>
                      <w:szCs w:val="21"/>
                    </w:rPr>
                  </w:pPr>
                  <w:r>
                    <w:rPr>
                      <w:rFonts w:eastAsia="宋体"/>
                      <w:color w:val="auto"/>
                      <w:szCs w:val="21"/>
                    </w:rPr>
                    <w:t>次/半年（检修周期）</w:t>
                  </w:r>
                </w:p>
              </w:tc>
              <w:tc>
                <w:tcPr>
                  <w:tcW w:w="283" w:type="pct"/>
                  <w:tcBorders>
                    <w:tl2br w:val="nil"/>
                    <w:tr2bl w:val="nil"/>
                  </w:tcBorders>
                  <w:vAlign w:val="center"/>
                </w:tcPr>
                <w:p>
                  <w:pPr>
                    <w:pStyle w:val="66"/>
                    <w:rPr>
                      <w:rFonts w:eastAsia="宋体"/>
                      <w:color w:val="auto"/>
                      <w:szCs w:val="21"/>
                    </w:rPr>
                  </w:pPr>
                  <w:r>
                    <w:rPr>
                      <w:rFonts w:eastAsia="宋体"/>
                      <w:color w:val="auto"/>
                      <w:szCs w:val="21"/>
                    </w:rPr>
                    <w:t>毒性T</w:t>
                  </w:r>
                </w:p>
              </w:tc>
              <w:tc>
                <w:tcPr>
                  <w:tcW w:w="423" w:type="pct"/>
                  <w:vMerge w:val="continue"/>
                  <w:tcBorders>
                    <w:tl2br w:val="nil"/>
                    <w:tr2bl w:val="nil"/>
                  </w:tcBorders>
                  <w:vAlign w:val="center"/>
                </w:tcPr>
                <w:p>
                  <w:pPr>
                    <w:pStyle w:val="66"/>
                    <w:rPr>
                      <w:rFonts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83" w:type="pct"/>
                  <w:tcBorders>
                    <w:tl2br w:val="nil"/>
                    <w:tr2bl w:val="nil"/>
                  </w:tcBorders>
                  <w:vAlign w:val="center"/>
                </w:tcPr>
                <w:p>
                  <w:pPr>
                    <w:pStyle w:val="66"/>
                    <w:rPr>
                      <w:rFonts w:hint="eastAsia" w:eastAsia="宋体"/>
                      <w:color w:val="auto"/>
                      <w:szCs w:val="21"/>
                      <w:lang w:val="en-US" w:eastAsia="zh-CN"/>
                    </w:rPr>
                  </w:pPr>
                  <w:r>
                    <w:rPr>
                      <w:rFonts w:hint="eastAsia" w:eastAsia="宋体"/>
                      <w:color w:val="auto"/>
                      <w:szCs w:val="21"/>
                      <w:lang w:val="en-US" w:eastAsia="zh-CN"/>
                    </w:rPr>
                    <w:t>4</w:t>
                  </w:r>
                </w:p>
              </w:tc>
              <w:tc>
                <w:tcPr>
                  <w:tcW w:w="283" w:type="pct"/>
                  <w:tcBorders>
                    <w:tl2br w:val="nil"/>
                    <w:tr2bl w:val="nil"/>
                  </w:tcBorders>
                  <w:vAlign w:val="center"/>
                </w:tcPr>
                <w:p>
                  <w:pPr>
                    <w:pStyle w:val="66"/>
                    <w:rPr>
                      <w:rFonts w:hint="default" w:eastAsia="宋体"/>
                      <w:color w:val="auto"/>
                      <w:szCs w:val="21"/>
                      <w:lang w:val="en-US" w:eastAsia="zh-CN"/>
                    </w:rPr>
                  </w:pPr>
                  <w:r>
                    <w:rPr>
                      <w:rFonts w:hint="eastAsia" w:eastAsia="宋体"/>
                      <w:color w:val="auto"/>
                      <w:szCs w:val="21"/>
                      <w:lang w:val="en-US" w:eastAsia="zh-CN"/>
                    </w:rPr>
                    <w:t>废石油焦吸附剂</w:t>
                  </w:r>
                </w:p>
              </w:tc>
              <w:tc>
                <w:tcPr>
                  <w:tcW w:w="563" w:type="pct"/>
                  <w:tcBorders>
                    <w:tl2br w:val="nil"/>
                    <w:tr2bl w:val="nil"/>
                  </w:tcBorders>
                  <w:vAlign w:val="center"/>
                </w:tcPr>
                <w:p>
                  <w:pPr>
                    <w:pStyle w:val="66"/>
                    <w:spacing w:line="240" w:lineRule="auto"/>
                    <w:rPr>
                      <w:rFonts w:hint="default" w:eastAsia="宋体"/>
                      <w:color w:val="auto"/>
                      <w:szCs w:val="21"/>
                      <w:lang w:val="en-US" w:eastAsia="zh-CN"/>
                    </w:rPr>
                  </w:pPr>
                  <w:r>
                    <w:rPr>
                      <w:rFonts w:hint="eastAsia" w:eastAsia="宋体"/>
                      <w:color w:val="auto"/>
                      <w:szCs w:val="21"/>
                      <w:lang w:val="en-US" w:eastAsia="zh-CN"/>
                    </w:rPr>
                    <w:t>HW49其他废物</w:t>
                  </w:r>
                </w:p>
              </w:tc>
              <w:tc>
                <w:tcPr>
                  <w:tcW w:w="796" w:type="pct"/>
                  <w:tcBorders>
                    <w:tl2br w:val="nil"/>
                    <w:tr2bl w:val="nil"/>
                  </w:tcBorders>
                  <w:vAlign w:val="center"/>
                </w:tcPr>
                <w:p>
                  <w:pPr>
                    <w:pStyle w:val="66"/>
                    <w:rPr>
                      <w:rFonts w:hint="default" w:eastAsia="宋体"/>
                      <w:color w:val="auto"/>
                      <w:szCs w:val="21"/>
                      <w:lang w:val="en-US" w:eastAsia="zh-CN"/>
                    </w:rPr>
                  </w:pPr>
                  <w:r>
                    <w:rPr>
                      <w:rFonts w:hint="eastAsia" w:eastAsia="宋体"/>
                      <w:color w:val="auto"/>
                      <w:szCs w:val="21"/>
                      <w:lang w:val="en-US" w:eastAsia="zh-CN"/>
                    </w:rPr>
                    <w:t>900-041-49</w:t>
                  </w:r>
                </w:p>
              </w:tc>
              <w:tc>
                <w:tcPr>
                  <w:tcW w:w="423" w:type="pct"/>
                  <w:tcBorders>
                    <w:tl2br w:val="nil"/>
                    <w:tr2bl w:val="nil"/>
                  </w:tcBorders>
                  <w:vAlign w:val="center"/>
                </w:tcPr>
                <w:p>
                  <w:pPr>
                    <w:pStyle w:val="66"/>
                    <w:rPr>
                      <w:rFonts w:hint="default" w:eastAsia="宋体"/>
                      <w:color w:val="auto"/>
                      <w:szCs w:val="21"/>
                      <w:lang w:val="en-US" w:eastAsia="zh-CN"/>
                    </w:rPr>
                  </w:pPr>
                  <w:r>
                    <w:rPr>
                      <w:rFonts w:hint="eastAsia" w:eastAsia="宋体"/>
                      <w:color w:val="auto"/>
                      <w:szCs w:val="21"/>
                      <w:lang w:val="en-US" w:eastAsia="zh-CN"/>
                    </w:rPr>
                    <w:t>380</w:t>
                  </w:r>
                </w:p>
              </w:tc>
              <w:tc>
                <w:tcPr>
                  <w:tcW w:w="423" w:type="pct"/>
                  <w:tcBorders>
                    <w:tl2br w:val="nil"/>
                    <w:tr2bl w:val="nil"/>
                  </w:tcBorders>
                  <w:vAlign w:val="center"/>
                </w:tcPr>
                <w:p>
                  <w:pPr>
                    <w:pStyle w:val="66"/>
                    <w:rPr>
                      <w:rFonts w:hint="default" w:eastAsia="宋体"/>
                      <w:color w:val="auto"/>
                      <w:szCs w:val="21"/>
                      <w:lang w:val="en-US" w:eastAsia="zh-CN"/>
                    </w:rPr>
                  </w:pPr>
                  <w:r>
                    <w:rPr>
                      <w:rFonts w:hint="eastAsia" w:eastAsia="宋体"/>
                      <w:color w:val="auto"/>
                      <w:szCs w:val="21"/>
                      <w:lang w:val="en-US" w:eastAsia="zh-CN"/>
                    </w:rPr>
                    <w:t>混捏成型工序废气处理</w:t>
                  </w:r>
                </w:p>
              </w:tc>
              <w:tc>
                <w:tcPr>
                  <w:tcW w:w="283" w:type="pct"/>
                  <w:tcBorders>
                    <w:tl2br w:val="nil"/>
                    <w:tr2bl w:val="nil"/>
                  </w:tcBorders>
                  <w:vAlign w:val="center"/>
                </w:tcPr>
                <w:p>
                  <w:pPr>
                    <w:pStyle w:val="66"/>
                    <w:rPr>
                      <w:rFonts w:hint="eastAsia" w:eastAsia="宋体"/>
                      <w:color w:val="auto"/>
                      <w:szCs w:val="21"/>
                      <w:lang w:val="en-US" w:eastAsia="zh-CN"/>
                    </w:rPr>
                  </w:pPr>
                  <w:r>
                    <w:rPr>
                      <w:rFonts w:hint="eastAsia" w:eastAsia="宋体"/>
                      <w:color w:val="auto"/>
                      <w:szCs w:val="21"/>
                      <w:lang w:val="en-US" w:eastAsia="zh-CN"/>
                    </w:rPr>
                    <w:t>固体</w:t>
                  </w:r>
                </w:p>
              </w:tc>
              <w:tc>
                <w:tcPr>
                  <w:tcW w:w="391" w:type="pct"/>
                  <w:tcBorders>
                    <w:tl2br w:val="nil"/>
                    <w:tr2bl w:val="nil"/>
                  </w:tcBorders>
                  <w:vAlign w:val="center"/>
                </w:tcPr>
                <w:p>
                  <w:pPr>
                    <w:pStyle w:val="66"/>
                    <w:rPr>
                      <w:rFonts w:eastAsia="宋体"/>
                      <w:color w:val="auto"/>
                      <w:spacing w:val="-12"/>
                      <w:szCs w:val="21"/>
                    </w:rPr>
                  </w:pPr>
                  <w:r>
                    <w:rPr>
                      <w:rFonts w:eastAsia="宋体"/>
                      <w:color w:val="auto"/>
                      <w:spacing w:val="-12"/>
                      <w:szCs w:val="21"/>
                    </w:rPr>
                    <w:t>芳烃类、苯系物、酚类、萘、沥青</w:t>
                  </w:r>
                </w:p>
              </w:tc>
              <w:tc>
                <w:tcPr>
                  <w:tcW w:w="423" w:type="pct"/>
                  <w:tcBorders>
                    <w:tl2br w:val="nil"/>
                    <w:tr2bl w:val="nil"/>
                  </w:tcBorders>
                  <w:vAlign w:val="center"/>
                </w:tcPr>
                <w:p>
                  <w:pPr>
                    <w:pStyle w:val="66"/>
                    <w:rPr>
                      <w:rFonts w:hint="default" w:eastAsia="宋体"/>
                      <w:color w:val="auto"/>
                      <w:szCs w:val="21"/>
                      <w:lang w:val="en-US" w:eastAsia="zh-CN"/>
                    </w:rPr>
                  </w:pPr>
                  <w:r>
                    <w:rPr>
                      <w:rFonts w:hint="eastAsia" w:eastAsia="宋体"/>
                      <w:color w:val="auto"/>
                      <w:szCs w:val="21"/>
                      <w:lang w:val="en-US" w:eastAsia="zh-CN"/>
                    </w:rPr>
                    <w:t>苯并芘等</w:t>
                  </w:r>
                </w:p>
              </w:tc>
              <w:tc>
                <w:tcPr>
                  <w:tcW w:w="423" w:type="pct"/>
                  <w:tcBorders>
                    <w:tl2br w:val="nil"/>
                    <w:tr2bl w:val="nil"/>
                  </w:tcBorders>
                  <w:vAlign w:val="center"/>
                </w:tcPr>
                <w:p>
                  <w:pPr>
                    <w:pStyle w:val="66"/>
                    <w:rPr>
                      <w:rFonts w:ascii="Times New Roman" w:hAnsi="Times New Roman" w:eastAsia="宋体" w:cs="Times New Roman"/>
                      <w:color w:val="auto"/>
                      <w:kern w:val="32"/>
                      <w:sz w:val="21"/>
                      <w:szCs w:val="21"/>
                      <w:lang w:val="en-US" w:eastAsia="zh-CN" w:bidi="ar-SA"/>
                    </w:rPr>
                  </w:pPr>
                  <w:r>
                    <w:rPr>
                      <w:rFonts w:eastAsia="宋体"/>
                      <w:color w:val="auto"/>
                      <w:szCs w:val="21"/>
                    </w:rPr>
                    <w:t>连续产生</w:t>
                  </w:r>
                </w:p>
              </w:tc>
              <w:tc>
                <w:tcPr>
                  <w:tcW w:w="283" w:type="pct"/>
                  <w:tcBorders>
                    <w:tl2br w:val="nil"/>
                    <w:tr2bl w:val="nil"/>
                  </w:tcBorders>
                  <w:vAlign w:val="center"/>
                </w:tcPr>
                <w:p>
                  <w:pPr>
                    <w:pStyle w:val="66"/>
                    <w:rPr>
                      <w:rFonts w:ascii="Times New Roman" w:hAnsi="Times New Roman" w:eastAsia="宋体" w:cs="Times New Roman"/>
                      <w:color w:val="auto"/>
                      <w:kern w:val="32"/>
                      <w:sz w:val="21"/>
                      <w:szCs w:val="21"/>
                      <w:lang w:val="en-US" w:eastAsia="zh-CN" w:bidi="ar-SA"/>
                    </w:rPr>
                  </w:pPr>
                  <w:r>
                    <w:rPr>
                      <w:rFonts w:eastAsia="宋体"/>
                      <w:color w:val="auto"/>
                      <w:szCs w:val="21"/>
                    </w:rPr>
                    <w:t>毒性T</w:t>
                  </w:r>
                </w:p>
              </w:tc>
              <w:tc>
                <w:tcPr>
                  <w:tcW w:w="423" w:type="pct"/>
                  <w:tcBorders>
                    <w:tl2br w:val="nil"/>
                    <w:tr2bl w:val="nil"/>
                  </w:tcBorders>
                  <w:vAlign w:val="center"/>
                </w:tcPr>
                <w:p>
                  <w:pPr>
                    <w:pStyle w:val="66"/>
                    <w:spacing w:line="240" w:lineRule="auto"/>
                    <w:rPr>
                      <w:rFonts w:hint="default" w:ascii="Times New Roman" w:hAnsi="Times New Roman" w:eastAsia="宋体" w:cs="Times New Roman"/>
                      <w:color w:val="auto"/>
                      <w:kern w:val="32"/>
                      <w:sz w:val="21"/>
                      <w:szCs w:val="21"/>
                      <w:lang w:val="en-US" w:eastAsia="zh-CN" w:bidi="ar-SA"/>
                    </w:rPr>
                  </w:pPr>
                  <w:r>
                    <w:rPr>
                      <w:rFonts w:hint="eastAsia" w:eastAsia="宋体" w:cs="Times New Roman"/>
                      <w:color w:val="auto"/>
                      <w:kern w:val="32"/>
                      <w:sz w:val="21"/>
                      <w:szCs w:val="21"/>
                      <w:lang w:val="en-US" w:eastAsia="zh-CN" w:bidi="ar-SA"/>
                    </w:rPr>
                    <w:t>作为原料回用</w:t>
                  </w:r>
                </w:p>
              </w:tc>
            </w:tr>
          </w:tbl>
          <w:p>
            <w:pPr>
              <w:pStyle w:val="18"/>
              <w:widowControl w:val="0"/>
              <w:spacing w:before="0" w:beforeAutospacing="0" w:after="0" w:afterAutospacing="0" w:line="360" w:lineRule="auto"/>
              <w:ind w:firstLine="480" w:firstLineChars="200"/>
              <w:jc w:val="both"/>
              <w:rPr>
                <w:rFonts w:hint="default" w:ascii="Times New Roman" w:hAnsi="Times New Roman" w:eastAsia="宋体"/>
                <w:color w:val="auto"/>
                <w:lang w:val="en-US" w:eastAsia="zh-CN" w:bidi="ar"/>
              </w:rPr>
            </w:pPr>
          </w:p>
          <w:p>
            <w:pPr>
              <w:pStyle w:val="18"/>
              <w:widowControl w:val="0"/>
              <w:spacing w:before="0" w:beforeAutospacing="0" w:after="0" w:afterAutospacing="0" w:line="360" w:lineRule="auto"/>
              <w:ind w:firstLine="480" w:firstLineChars="200"/>
              <w:jc w:val="both"/>
              <w:rPr>
                <w:rFonts w:hint="eastAsia" w:ascii="Times New Roman" w:hAnsi="Times New Roman"/>
                <w:color w:val="auto"/>
                <w:lang w:bidi="ar"/>
              </w:rPr>
            </w:pPr>
          </w:p>
          <w:p>
            <w:pPr>
              <w:pStyle w:val="18"/>
              <w:widowControl w:val="0"/>
              <w:spacing w:before="0" w:beforeAutospacing="0" w:after="0" w:afterAutospacing="0" w:line="360" w:lineRule="auto"/>
              <w:ind w:firstLine="480" w:firstLineChars="200"/>
              <w:jc w:val="both"/>
              <w:rPr>
                <w:rFonts w:hint="eastAsia" w:ascii="Times New Roman" w:hAnsi="Times New Roman"/>
                <w:color w:val="auto"/>
                <w:lang w:bidi="ar"/>
              </w:rPr>
            </w:pPr>
          </w:p>
          <w:p>
            <w:pPr>
              <w:pStyle w:val="18"/>
              <w:widowControl w:val="0"/>
              <w:spacing w:before="0" w:beforeAutospacing="0" w:after="0" w:afterAutospacing="0" w:line="360" w:lineRule="auto"/>
              <w:ind w:firstLine="480" w:firstLineChars="200"/>
              <w:jc w:val="both"/>
              <w:rPr>
                <w:rFonts w:hint="eastAsia" w:ascii="Times New Roman" w:hAnsi="Times New Roman"/>
                <w:color w:val="auto"/>
                <w:lang w:bidi="ar"/>
              </w:rPr>
            </w:pPr>
            <w:r>
              <w:rPr>
                <w:rFonts w:hint="eastAsia" w:ascii="Times New Roman" w:hAnsi="Times New Roman"/>
                <w:color w:val="auto"/>
                <w:lang w:bidi="ar"/>
              </w:rPr>
              <w:t>危废暂存间贮存环境影响分析：</w:t>
            </w:r>
          </w:p>
          <w:p>
            <w:pPr>
              <w:pStyle w:val="18"/>
              <w:widowControl w:val="0"/>
              <w:spacing w:before="0" w:beforeAutospacing="0" w:after="0" w:afterAutospacing="0" w:line="360" w:lineRule="auto"/>
              <w:ind w:firstLine="480" w:firstLineChars="200"/>
              <w:jc w:val="both"/>
              <w:rPr>
                <w:rFonts w:hint="default" w:ascii="Times New Roman" w:hAnsi="Times New Roman" w:eastAsia="宋体"/>
                <w:color w:val="auto"/>
                <w:lang w:val="en-US" w:eastAsia="zh-CN" w:bidi="ar"/>
              </w:rPr>
            </w:pPr>
            <w:r>
              <w:rPr>
                <w:rFonts w:hint="eastAsia" w:ascii="Times New Roman" w:hAnsi="Times New Roman"/>
                <w:color w:val="auto"/>
                <w:lang w:val="en-US" w:eastAsia="zh-CN" w:bidi="ar"/>
              </w:rPr>
              <w:t>建设单位拟在成型循环水池东北角设一个危废暂存间，暂存间面积为20m</w:t>
            </w:r>
            <w:r>
              <w:rPr>
                <w:rFonts w:hint="eastAsia" w:ascii="Times New Roman" w:hAnsi="Times New Roman"/>
                <w:color w:val="auto"/>
                <w:vertAlign w:val="superscript"/>
                <w:lang w:val="en-US" w:eastAsia="zh-CN" w:bidi="ar"/>
              </w:rPr>
              <w:t>2</w:t>
            </w:r>
            <w:r>
              <w:rPr>
                <w:rFonts w:hint="eastAsia" w:ascii="Times New Roman" w:hAnsi="Times New Roman"/>
                <w:color w:val="auto"/>
                <w:lang w:val="en-US" w:eastAsia="zh-CN" w:bidi="ar"/>
              </w:rPr>
              <w:t>。</w:t>
            </w:r>
          </w:p>
          <w:p>
            <w:pPr>
              <w:pStyle w:val="18"/>
              <w:widowControl w:val="0"/>
              <w:spacing w:before="0" w:beforeAutospacing="0" w:after="0" w:afterAutospacing="0" w:line="360" w:lineRule="auto"/>
              <w:ind w:firstLine="480" w:firstLineChars="200"/>
              <w:jc w:val="both"/>
              <w:rPr>
                <w:rFonts w:ascii="Times New Roman" w:hAnsi="Times New Roman"/>
                <w:color w:val="auto"/>
              </w:rPr>
            </w:pPr>
            <w:r>
              <w:rPr>
                <w:rFonts w:hint="eastAsia" w:ascii="Times New Roman" w:hAnsi="Times New Roman"/>
                <w:color w:val="auto"/>
                <w:lang w:bidi="ar"/>
              </w:rPr>
              <w:t>环评要求建设单位按照《危险废物贮存污染控制标准》建造危险废物贮存设施，建成具有防水、防渗、防流失的专用危险废物贮存设施贮存危险废物。贮存设施必须防渗，基础必须防渗，防渗层为至少</w:t>
            </w:r>
            <w:r>
              <w:rPr>
                <w:rFonts w:ascii="Times New Roman" w:hAnsi="Times New Roman"/>
                <w:color w:val="auto"/>
                <w:lang w:bidi="ar"/>
              </w:rPr>
              <w:t>1</w:t>
            </w:r>
            <w:r>
              <w:rPr>
                <w:rFonts w:hint="eastAsia" w:ascii="Times New Roman" w:hAnsi="Times New Roman"/>
                <w:color w:val="auto"/>
                <w:lang w:bidi="ar"/>
              </w:rPr>
              <w:t>米厚粘土层（渗透系数</w:t>
            </w:r>
            <w:r>
              <w:rPr>
                <w:rFonts w:ascii="Times New Roman" w:hAnsi="Times New Roman"/>
                <w:color w:val="auto"/>
                <w:lang w:bidi="ar"/>
              </w:rPr>
              <w:t>≤10</w:t>
            </w:r>
            <w:r>
              <w:rPr>
                <w:rFonts w:ascii="Times New Roman" w:hAnsi="Times New Roman"/>
                <w:color w:val="auto"/>
                <w:vertAlign w:val="superscript"/>
                <w:lang w:bidi="ar"/>
              </w:rPr>
              <w:t>-7</w:t>
            </w:r>
            <w:r>
              <w:rPr>
                <w:rFonts w:hint="eastAsia" w:ascii="Times New Roman" w:hAnsi="Times New Roman"/>
                <w:color w:val="auto"/>
                <w:lang w:bidi="ar"/>
              </w:rPr>
              <w:t>厘米</w:t>
            </w:r>
            <w:r>
              <w:rPr>
                <w:rFonts w:ascii="Times New Roman" w:hAnsi="Times New Roman"/>
                <w:color w:val="auto"/>
                <w:lang w:bidi="ar"/>
              </w:rPr>
              <w:t>/</w:t>
            </w:r>
            <w:r>
              <w:rPr>
                <w:rFonts w:hint="eastAsia" w:ascii="Times New Roman" w:hAnsi="Times New Roman"/>
                <w:color w:val="auto"/>
                <w:lang w:bidi="ar"/>
              </w:rPr>
              <w:t>秒），或</w:t>
            </w:r>
            <w:r>
              <w:rPr>
                <w:rFonts w:ascii="Times New Roman" w:hAnsi="Times New Roman"/>
                <w:color w:val="auto"/>
                <w:lang w:bidi="ar"/>
              </w:rPr>
              <w:t>2</w:t>
            </w:r>
            <w:r>
              <w:rPr>
                <w:rFonts w:hint="eastAsia" w:ascii="Times New Roman" w:hAnsi="Times New Roman"/>
                <w:color w:val="auto"/>
                <w:lang w:bidi="ar"/>
              </w:rPr>
              <w:t>毫米厚高密度聚乙烯，或至少</w:t>
            </w:r>
            <w:r>
              <w:rPr>
                <w:rFonts w:ascii="Times New Roman" w:hAnsi="Times New Roman"/>
                <w:color w:val="auto"/>
                <w:lang w:bidi="ar"/>
              </w:rPr>
              <w:t>2</w:t>
            </w:r>
            <w:r>
              <w:rPr>
                <w:rFonts w:hint="eastAsia" w:ascii="Times New Roman" w:hAnsi="Times New Roman"/>
                <w:color w:val="auto"/>
                <w:lang w:bidi="ar"/>
              </w:rPr>
              <w:t>毫米厚的其它人工材料，渗透系数</w:t>
            </w:r>
            <w:r>
              <w:rPr>
                <w:rFonts w:ascii="Times New Roman" w:hAnsi="Times New Roman"/>
                <w:color w:val="auto"/>
                <w:lang w:bidi="ar"/>
              </w:rPr>
              <w:t>≤10</w:t>
            </w:r>
            <w:r>
              <w:rPr>
                <w:rFonts w:ascii="Times New Roman" w:hAnsi="Times New Roman"/>
                <w:color w:val="auto"/>
                <w:vertAlign w:val="superscript"/>
                <w:lang w:bidi="ar"/>
              </w:rPr>
              <w:t>-10</w:t>
            </w:r>
            <w:r>
              <w:rPr>
                <w:rFonts w:hint="eastAsia" w:ascii="Times New Roman" w:hAnsi="Times New Roman"/>
                <w:color w:val="auto"/>
                <w:lang w:bidi="ar"/>
              </w:rPr>
              <w:t>厘米</w:t>
            </w:r>
            <w:r>
              <w:rPr>
                <w:rFonts w:ascii="Times New Roman" w:hAnsi="Times New Roman"/>
                <w:color w:val="auto"/>
                <w:lang w:bidi="ar"/>
              </w:rPr>
              <w:t>/</w:t>
            </w:r>
            <w:r>
              <w:rPr>
                <w:rFonts w:hint="eastAsia" w:ascii="Times New Roman" w:hAnsi="Times New Roman"/>
                <w:color w:val="auto"/>
                <w:lang w:bidi="ar"/>
              </w:rPr>
              <w:t>秒。有足够地面承载能力，并能确保雨水不会流至贮存设施内，贮存设施应封闭，以防风、防雨、防日晒；贮存设施内应有安全照明设施及安全防护设施，并由专人负责对贮存设施及危险废物进行定期检查。</w:t>
            </w:r>
          </w:p>
          <w:p>
            <w:pPr>
              <w:pStyle w:val="18"/>
              <w:widowControl w:val="0"/>
              <w:spacing w:before="0" w:beforeAutospacing="0" w:after="0" w:afterAutospacing="0" w:line="360" w:lineRule="auto"/>
              <w:ind w:firstLine="496" w:firstLineChars="200"/>
              <w:jc w:val="both"/>
              <w:rPr>
                <w:color w:val="auto"/>
                <w:spacing w:val="4"/>
              </w:rPr>
            </w:pPr>
            <w:r>
              <w:rPr>
                <w:rFonts w:hint="eastAsia" w:ascii="Times New Roman" w:hAnsi="Times New Roman" w:cs="宋体"/>
                <w:color w:val="auto"/>
                <w:spacing w:val="4"/>
                <w:kern w:val="2"/>
                <w:szCs w:val="22"/>
                <w:lang w:bidi="ar"/>
              </w:rPr>
              <w:t>建设单位按照上述要求采取严格的防渗措施后，危废暂存间不会对大气环境、地表水、地下水环境及土壤造成不良影响。</w:t>
            </w:r>
          </w:p>
          <w:p>
            <w:pPr>
              <w:pStyle w:val="18"/>
              <w:widowControl w:val="0"/>
              <w:spacing w:before="0" w:beforeAutospacing="0" w:after="0" w:afterAutospacing="0" w:line="360" w:lineRule="auto"/>
              <w:ind w:firstLine="496" w:firstLineChars="200"/>
              <w:jc w:val="both"/>
              <w:rPr>
                <w:color w:val="auto"/>
                <w:spacing w:val="4"/>
              </w:rPr>
            </w:pPr>
            <w:r>
              <w:rPr>
                <w:rFonts w:hint="eastAsia" w:ascii="Times New Roman" w:hAnsi="Times New Roman" w:cs="宋体"/>
                <w:color w:val="auto"/>
                <w:spacing w:val="4"/>
                <w:kern w:val="2"/>
                <w:lang w:bidi="ar"/>
              </w:rPr>
              <w:t>根据《危险废物贮存污染控制标准》（</w:t>
            </w:r>
            <w:r>
              <w:rPr>
                <w:rFonts w:ascii="Times New Roman" w:hAnsi="Times New Roman"/>
                <w:color w:val="auto"/>
                <w:spacing w:val="4"/>
                <w:kern w:val="2"/>
                <w:lang w:bidi="ar"/>
              </w:rPr>
              <w:t>GB18597-2001</w:t>
            </w:r>
            <w:r>
              <w:rPr>
                <w:rFonts w:hint="eastAsia" w:ascii="Times New Roman" w:hAnsi="Times New Roman" w:cs="宋体"/>
                <w:color w:val="auto"/>
                <w:spacing w:val="4"/>
                <w:kern w:val="2"/>
                <w:lang w:bidi="ar"/>
              </w:rPr>
              <w:t>）及《危险废物转移联单管理办法》（国家环境保护总局令第</w:t>
            </w:r>
            <w:r>
              <w:rPr>
                <w:rFonts w:ascii="Times New Roman" w:hAnsi="Times New Roman"/>
                <w:color w:val="auto"/>
                <w:spacing w:val="4"/>
                <w:kern w:val="2"/>
                <w:lang w:bidi="ar"/>
              </w:rPr>
              <w:t>5</w:t>
            </w:r>
            <w:r>
              <w:rPr>
                <w:rFonts w:hint="eastAsia" w:ascii="Times New Roman" w:hAnsi="Times New Roman" w:cs="宋体"/>
                <w:color w:val="auto"/>
                <w:spacing w:val="4"/>
                <w:kern w:val="2"/>
                <w:lang w:bidi="ar"/>
              </w:rPr>
              <w:t>号）的要求，环评对项目产生的危险废物的贮存、管理提出如下要求：</w:t>
            </w:r>
          </w:p>
          <w:p>
            <w:pPr>
              <w:pStyle w:val="18"/>
              <w:widowControl w:val="0"/>
              <w:spacing w:before="0" w:beforeAutospacing="0" w:after="0" w:afterAutospacing="0" w:line="360" w:lineRule="auto"/>
              <w:ind w:firstLine="496" w:firstLineChars="200"/>
              <w:jc w:val="both"/>
              <w:rPr>
                <w:rFonts w:ascii="Times New Roman" w:hAnsi="Times New Roman" w:cs="宋体"/>
                <w:color w:val="auto"/>
                <w:spacing w:val="4"/>
                <w:kern w:val="2"/>
                <w:lang w:bidi="ar"/>
              </w:rPr>
            </w:pPr>
            <w:r>
              <w:rPr>
                <w:rFonts w:ascii="Times New Roman" w:hAnsi="Times New Roman"/>
                <w:color w:val="auto"/>
                <w:spacing w:val="4"/>
                <w:kern w:val="2"/>
                <w:lang w:bidi="ar"/>
              </w:rPr>
              <w:fldChar w:fldCharType="begin"/>
            </w:r>
            <w:r>
              <w:rPr>
                <w:rFonts w:ascii="Times New Roman" w:hAnsi="Times New Roman"/>
                <w:color w:val="auto"/>
                <w:spacing w:val="4"/>
                <w:kern w:val="2"/>
                <w:lang w:bidi="ar"/>
              </w:rPr>
              <w:instrText xml:space="preserve"> = 1 \* GB3 </w:instrText>
            </w:r>
            <w:r>
              <w:rPr>
                <w:rFonts w:ascii="Times New Roman" w:hAnsi="Times New Roman"/>
                <w:color w:val="auto"/>
                <w:spacing w:val="4"/>
                <w:kern w:val="2"/>
                <w:lang w:bidi="ar"/>
              </w:rPr>
              <w:fldChar w:fldCharType="separate"/>
            </w:r>
            <w:r>
              <w:rPr>
                <w:rFonts w:hint="eastAsia" w:cs="宋体"/>
                <w:color w:val="auto"/>
                <w:spacing w:val="4"/>
                <w:kern w:val="2"/>
                <w:lang w:bidi="ar"/>
              </w:rPr>
              <w:t>①</w:t>
            </w:r>
            <w:r>
              <w:rPr>
                <w:rFonts w:ascii="Times New Roman" w:hAnsi="Times New Roman"/>
                <w:color w:val="auto"/>
                <w:spacing w:val="4"/>
                <w:kern w:val="2"/>
                <w:lang w:bidi="ar"/>
              </w:rPr>
              <w:fldChar w:fldCharType="end"/>
            </w:r>
            <w:r>
              <w:rPr>
                <w:rFonts w:hint="eastAsia" w:ascii="Times New Roman" w:hAnsi="Times New Roman" w:cs="宋体"/>
                <w:color w:val="auto"/>
                <w:spacing w:val="4"/>
                <w:kern w:val="2"/>
                <w:lang w:bidi="ar"/>
              </w:rPr>
              <w:t>暂存要求：</w:t>
            </w:r>
          </w:p>
          <w:p>
            <w:pPr>
              <w:pStyle w:val="18"/>
              <w:widowControl w:val="0"/>
              <w:spacing w:before="0" w:beforeAutospacing="0" w:after="0" w:afterAutospacing="0" w:line="360" w:lineRule="auto"/>
              <w:ind w:firstLine="496" w:firstLineChars="200"/>
              <w:jc w:val="both"/>
              <w:rPr>
                <w:rFonts w:ascii="Times New Roman" w:hAnsi="Times New Roman" w:cs="宋体"/>
                <w:color w:val="auto"/>
                <w:spacing w:val="4"/>
                <w:kern w:val="2"/>
                <w:lang w:bidi="ar"/>
              </w:rPr>
            </w:pPr>
            <w:r>
              <w:rPr>
                <w:rFonts w:hint="eastAsia" w:ascii="Times New Roman" w:hAnsi="Times New Roman" w:cs="宋体"/>
                <w:color w:val="auto"/>
                <w:spacing w:val="4"/>
                <w:kern w:val="2"/>
                <w:lang w:bidi="ar"/>
              </w:rPr>
              <w:t>a.盛装废变压油的容器内必须留有足够的空间，容器顶部与液体表面之间保留100mm以上的空间。</w:t>
            </w:r>
          </w:p>
          <w:p>
            <w:pPr>
              <w:pStyle w:val="18"/>
              <w:widowControl w:val="0"/>
              <w:spacing w:before="0" w:beforeAutospacing="0" w:after="0" w:afterAutospacing="0" w:line="360" w:lineRule="auto"/>
              <w:ind w:firstLine="496" w:firstLineChars="200"/>
              <w:jc w:val="both"/>
              <w:rPr>
                <w:color w:val="auto"/>
                <w:spacing w:val="4"/>
              </w:rPr>
            </w:pPr>
            <w:r>
              <w:rPr>
                <w:rFonts w:hint="eastAsia" w:ascii="Times New Roman" w:hAnsi="Times New Roman"/>
                <w:color w:val="auto"/>
                <w:spacing w:val="4"/>
                <w:kern w:val="2"/>
                <w:lang w:bidi="ar"/>
              </w:rPr>
              <w:t>b</w:t>
            </w:r>
            <w:r>
              <w:rPr>
                <w:rFonts w:ascii="Times New Roman" w:hAnsi="Times New Roman"/>
                <w:color w:val="auto"/>
                <w:spacing w:val="4"/>
                <w:kern w:val="2"/>
                <w:lang w:bidi="ar"/>
              </w:rPr>
              <w:t>.</w:t>
            </w:r>
            <w:r>
              <w:rPr>
                <w:rFonts w:hint="eastAsia" w:ascii="Times New Roman" w:hAnsi="Times New Roman" w:cs="宋体"/>
                <w:color w:val="auto"/>
                <w:spacing w:val="4"/>
                <w:kern w:val="2"/>
                <w:lang w:bidi="ar"/>
              </w:rPr>
              <w:t>盛装危险废物的容器上必须粘贴符合《危险废物贮存污染控制标准》（</w:t>
            </w:r>
            <w:r>
              <w:rPr>
                <w:rFonts w:ascii="Times New Roman" w:hAnsi="Times New Roman"/>
                <w:color w:val="auto"/>
                <w:spacing w:val="4"/>
                <w:kern w:val="2"/>
                <w:lang w:bidi="ar"/>
              </w:rPr>
              <w:t>GB18597-2001</w:t>
            </w:r>
            <w:r>
              <w:rPr>
                <w:rFonts w:hint="eastAsia" w:ascii="Times New Roman" w:hAnsi="Times New Roman" w:cs="宋体"/>
                <w:color w:val="auto"/>
                <w:spacing w:val="4"/>
                <w:kern w:val="2"/>
                <w:lang w:bidi="ar"/>
              </w:rPr>
              <w:t>）附录</w:t>
            </w:r>
            <w:r>
              <w:rPr>
                <w:rFonts w:ascii="Times New Roman" w:hAnsi="Times New Roman"/>
                <w:color w:val="auto"/>
                <w:spacing w:val="4"/>
                <w:kern w:val="2"/>
                <w:lang w:bidi="ar"/>
              </w:rPr>
              <w:t>A</w:t>
            </w:r>
            <w:r>
              <w:rPr>
                <w:rFonts w:hint="eastAsia" w:ascii="Times New Roman" w:hAnsi="Times New Roman" w:cs="宋体"/>
                <w:color w:val="auto"/>
                <w:spacing w:val="4"/>
                <w:kern w:val="2"/>
                <w:lang w:bidi="ar"/>
              </w:rPr>
              <w:t>所示的标签。</w:t>
            </w:r>
          </w:p>
          <w:p>
            <w:pPr>
              <w:pStyle w:val="18"/>
              <w:widowControl w:val="0"/>
              <w:spacing w:before="0" w:beforeAutospacing="0" w:after="0" w:afterAutospacing="0" w:line="360" w:lineRule="auto"/>
              <w:ind w:firstLine="496" w:firstLineChars="200"/>
              <w:jc w:val="both"/>
              <w:rPr>
                <w:color w:val="auto"/>
                <w:spacing w:val="4"/>
              </w:rPr>
            </w:pPr>
            <w:r>
              <w:rPr>
                <w:rFonts w:hint="eastAsia" w:ascii="Times New Roman" w:hAnsi="Times New Roman"/>
                <w:color w:val="auto"/>
                <w:spacing w:val="4"/>
                <w:kern w:val="2"/>
                <w:lang w:bidi="ar"/>
              </w:rPr>
              <w:t>c</w:t>
            </w:r>
            <w:r>
              <w:rPr>
                <w:rFonts w:ascii="Times New Roman" w:hAnsi="Times New Roman"/>
                <w:color w:val="auto"/>
                <w:spacing w:val="4"/>
                <w:kern w:val="2"/>
                <w:lang w:bidi="ar"/>
              </w:rPr>
              <w:t>.</w:t>
            </w:r>
            <w:r>
              <w:rPr>
                <w:rFonts w:hint="eastAsia" w:ascii="Times New Roman" w:hAnsi="Times New Roman" w:cs="宋体"/>
                <w:color w:val="auto"/>
                <w:spacing w:val="4"/>
                <w:kern w:val="2"/>
                <w:lang w:bidi="ar"/>
              </w:rPr>
              <w:t>危险废物暂存库房不得接收未粘贴上述规定的标签或标签填写不规范的危险废物；</w:t>
            </w:r>
          </w:p>
          <w:p>
            <w:pPr>
              <w:pStyle w:val="18"/>
              <w:widowControl w:val="0"/>
              <w:spacing w:before="0" w:beforeAutospacing="0" w:after="0" w:afterAutospacing="0" w:line="360" w:lineRule="auto"/>
              <w:ind w:firstLine="496" w:firstLineChars="200"/>
              <w:jc w:val="both"/>
              <w:rPr>
                <w:color w:val="auto"/>
                <w:spacing w:val="4"/>
              </w:rPr>
            </w:pPr>
            <w:r>
              <w:rPr>
                <w:rFonts w:ascii="Times New Roman" w:hAnsi="Times New Roman"/>
                <w:color w:val="auto"/>
                <w:spacing w:val="4"/>
                <w:kern w:val="2"/>
                <w:lang w:bidi="ar"/>
              </w:rPr>
              <w:t>d.</w:t>
            </w:r>
            <w:r>
              <w:rPr>
                <w:rFonts w:hint="eastAsia" w:ascii="Times New Roman" w:hAnsi="Times New Roman" w:cs="宋体"/>
                <w:color w:val="auto"/>
                <w:spacing w:val="4"/>
                <w:kern w:val="2"/>
                <w:lang w:bidi="ar"/>
              </w:rPr>
              <w:t>必须作好危险废物记录，记录上须注明危险废物的名称、来源、数量、特性和包装容器的类别、入库日期、存放库位、废物出库日期及接收单位名称；</w:t>
            </w:r>
            <w:r>
              <w:rPr>
                <w:rFonts w:ascii="Times New Roman" w:hAnsi="Times New Roman"/>
                <w:color w:val="auto"/>
                <w:spacing w:val="4"/>
                <w:kern w:val="2"/>
                <w:lang w:bidi="ar"/>
              </w:rPr>
              <w:t xml:space="preserve"> </w:t>
            </w:r>
          </w:p>
          <w:p>
            <w:pPr>
              <w:pStyle w:val="18"/>
              <w:widowControl w:val="0"/>
              <w:spacing w:before="0" w:beforeAutospacing="0" w:after="0" w:afterAutospacing="0" w:line="360" w:lineRule="auto"/>
              <w:ind w:firstLine="496" w:firstLineChars="200"/>
              <w:jc w:val="both"/>
              <w:rPr>
                <w:color w:val="auto"/>
                <w:spacing w:val="4"/>
              </w:rPr>
            </w:pPr>
            <w:r>
              <w:rPr>
                <w:rFonts w:hint="eastAsia" w:ascii="Times New Roman" w:hAnsi="Times New Roman" w:cs="宋体"/>
                <w:color w:val="auto"/>
                <w:spacing w:val="4"/>
                <w:kern w:val="2"/>
                <w:lang w:bidi="ar"/>
              </w:rPr>
              <w:t>危险废物的记录和货单在危险废物回取后应继续保留三年；所有危险废物在厂内暂存不得超过一年。</w:t>
            </w:r>
          </w:p>
          <w:p>
            <w:pPr>
              <w:pStyle w:val="18"/>
              <w:widowControl w:val="0"/>
              <w:spacing w:before="0" w:beforeAutospacing="0" w:after="0" w:afterAutospacing="0" w:line="360" w:lineRule="auto"/>
              <w:ind w:firstLine="496" w:firstLineChars="200"/>
              <w:jc w:val="both"/>
              <w:rPr>
                <w:color w:val="auto"/>
                <w:spacing w:val="4"/>
              </w:rPr>
            </w:pPr>
            <w:r>
              <w:rPr>
                <w:rFonts w:ascii="Times New Roman" w:hAnsi="Times New Roman"/>
                <w:color w:val="auto"/>
                <w:spacing w:val="4"/>
                <w:kern w:val="2"/>
                <w:lang w:bidi="ar"/>
              </w:rPr>
              <w:t>e.</w:t>
            </w:r>
            <w:r>
              <w:rPr>
                <w:rFonts w:hint="eastAsia" w:ascii="Times New Roman" w:hAnsi="Times New Roman" w:cs="宋体"/>
                <w:color w:val="auto"/>
                <w:spacing w:val="4"/>
                <w:kern w:val="2"/>
                <w:lang w:bidi="ar"/>
              </w:rPr>
              <w:t>必须定期对所贮存的危险废物包装容器及贮存设施进行检查，发现破损，应及时采取措施清理更换；</w:t>
            </w:r>
          </w:p>
          <w:p>
            <w:pPr>
              <w:spacing w:line="360" w:lineRule="auto"/>
              <w:ind w:firstLine="496" w:firstLineChars="200"/>
              <w:rPr>
                <w:color w:val="auto"/>
                <w:sz w:val="24"/>
              </w:rPr>
            </w:pPr>
            <w:r>
              <w:rPr>
                <w:color w:val="auto"/>
                <w:spacing w:val="4"/>
                <w:sz w:val="24"/>
                <w:lang w:bidi="ar"/>
              </w:rPr>
              <w:t>f.</w:t>
            </w:r>
            <w:r>
              <w:rPr>
                <w:rFonts w:hint="eastAsia" w:cs="宋体"/>
                <w:color w:val="auto"/>
                <w:spacing w:val="4"/>
                <w:sz w:val="24"/>
                <w:lang w:bidi="ar"/>
              </w:rPr>
              <w:t>危险废物贮存库房设置灭火器等防火设备，做好火灾的预防工作。</w:t>
            </w:r>
          </w:p>
          <w:p>
            <w:pPr>
              <w:pStyle w:val="18"/>
              <w:widowControl w:val="0"/>
              <w:spacing w:before="0" w:beforeAutospacing="0" w:after="0" w:afterAutospacing="0" w:line="360" w:lineRule="auto"/>
              <w:ind w:firstLine="496" w:firstLineChars="200"/>
              <w:jc w:val="both"/>
              <w:rPr>
                <w:color w:val="auto"/>
                <w:spacing w:val="4"/>
              </w:rPr>
            </w:pPr>
            <w:r>
              <w:rPr>
                <w:rFonts w:ascii="Times New Roman" w:hAnsi="Times New Roman"/>
                <w:color w:val="auto"/>
                <w:spacing w:val="4"/>
                <w:kern w:val="2"/>
                <w:lang w:bidi="ar"/>
              </w:rPr>
              <w:t>g.</w:t>
            </w:r>
            <w:r>
              <w:rPr>
                <w:rFonts w:hint="eastAsia" w:ascii="Times New Roman" w:hAnsi="Times New Roman" w:cs="宋体"/>
                <w:color w:val="auto"/>
                <w:spacing w:val="4"/>
                <w:kern w:val="2"/>
                <w:lang w:bidi="ar"/>
              </w:rPr>
              <w:t>危废暂存库必须做好防渗措施。目前设计的方案为基础防渗，评价要求防渗层为至少</w:t>
            </w:r>
            <w:r>
              <w:rPr>
                <w:rFonts w:ascii="Times New Roman" w:hAnsi="Times New Roman"/>
                <w:color w:val="auto"/>
                <w:spacing w:val="4"/>
                <w:kern w:val="2"/>
                <w:lang w:bidi="ar"/>
              </w:rPr>
              <w:t>1m</w:t>
            </w:r>
            <w:r>
              <w:rPr>
                <w:rFonts w:hint="eastAsia" w:ascii="Times New Roman" w:hAnsi="Times New Roman" w:cs="宋体"/>
                <w:color w:val="auto"/>
                <w:spacing w:val="4"/>
                <w:kern w:val="2"/>
                <w:lang w:bidi="ar"/>
              </w:rPr>
              <w:t>厚粘土层</w:t>
            </w:r>
            <w:r>
              <w:rPr>
                <w:rFonts w:ascii="Times New Roman" w:hAnsi="Times New Roman"/>
                <w:color w:val="auto"/>
                <w:spacing w:val="4"/>
                <w:kern w:val="2"/>
                <w:lang w:bidi="ar"/>
              </w:rPr>
              <w:t>(</w:t>
            </w:r>
            <w:r>
              <w:rPr>
                <w:rFonts w:hint="eastAsia" w:ascii="Times New Roman" w:hAnsi="Times New Roman" w:cs="宋体"/>
                <w:color w:val="auto"/>
                <w:spacing w:val="4"/>
                <w:kern w:val="2"/>
                <w:lang w:bidi="ar"/>
              </w:rPr>
              <w:t>渗透系数</w:t>
            </w:r>
            <w:r>
              <w:rPr>
                <w:rFonts w:ascii="Times New Roman" w:hAnsi="Times New Roman"/>
                <w:color w:val="auto"/>
                <w:spacing w:val="4"/>
                <w:kern w:val="2"/>
                <w:lang w:bidi="ar"/>
              </w:rPr>
              <w:t>≤10</w:t>
            </w:r>
            <w:r>
              <w:rPr>
                <w:rFonts w:ascii="Times New Roman" w:hAnsi="Times New Roman"/>
                <w:color w:val="auto"/>
                <w:spacing w:val="4"/>
                <w:kern w:val="2"/>
                <w:vertAlign w:val="superscript"/>
                <w:lang w:bidi="ar"/>
              </w:rPr>
              <w:t>-7</w:t>
            </w:r>
            <w:r>
              <w:rPr>
                <w:rFonts w:ascii="Times New Roman" w:hAnsi="Times New Roman"/>
                <w:color w:val="auto"/>
                <w:spacing w:val="4"/>
                <w:kern w:val="2"/>
                <w:lang w:bidi="ar"/>
              </w:rPr>
              <w:t>cm/s)</w:t>
            </w:r>
            <w:r>
              <w:rPr>
                <w:rFonts w:hint="eastAsia" w:ascii="Times New Roman" w:hAnsi="Times New Roman" w:cs="宋体"/>
                <w:color w:val="auto"/>
                <w:spacing w:val="4"/>
                <w:kern w:val="2"/>
                <w:lang w:bidi="ar"/>
              </w:rPr>
              <w:t>，或至少</w:t>
            </w:r>
            <w:r>
              <w:rPr>
                <w:rFonts w:ascii="Times New Roman" w:hAnsi="Times New Roman"/>
                <w:color w:val="auto"/>
                <w:spacing w:val="4"/>
                <w:kern w:val="2"/>
                <w:lang w:bidi="ar"/>
              </w:rPr>
              <w:t>2mm</w:t>
            </w:r>
            <w:r>
              <w:rPr>
                <w:rFonts w:hint="eastAsia" w:ascii="Times New Roman" w:hAnsi="Times New Roman" w:cs="宋体"/>
                <w:color w:val="auto"/>
                <w:spacing w:val="4"/>
                <w:kern w:val="2"/>
                <w:lang w:bidi="ar"/>
              </w:rPr>
              <w:t>厚高密度聚乙烯</w:t>
            </w:r>
            <w:r>
              <w:rPr>
                <w:rFonts w:ascii="Times New Roman" w:hAnsi="Times New Roman"/>
                <w:color w:val="auto"/>
                <w:spacing w:val="4"/>
                <w:kern w:val="2"/>
                <w:lang w:bidi="ar"/>
              </w:rPr>
              <w:t>(HDPE)</w:t>
            </w:r>
            <w:r>
              <w:rPr>
                <w:rFonts w:hint="eastAsia" w:ascii="Times New Roman" w:hAnsi="Times New Roman" w:cs="宋体"/>
                <w:color w:val="auto"/>
                <w:spacing w:val="4"/>
                <w:kern w:val="2"/>
                <w:lang w:bidi="ar"/>
              </w:rPr>
              <w:t>，渗透系数</w:t>
            </w:r>
            <w:r>
              <w:rPr>
                <w:rFonts w:ascii="Times New Roman" w:hAnsi="Times New Roman"/>
                <w:color w:val="auto"/>
                <w:spacing w:val="4"/>
                <w:kern w:val="2"/>
                <w:lang w:bidi="ar"/>
              </w:rPr>
              <w:t>≤10</w:t>
            </w:r>
            <w:r>
              <w:rPr>
                <w:rFonts w:ascii="Times New Roman" w:hAnsi="Times New Roman"/>
                <w:color w:val="auto"/>
                <w:spacing w:val="4"/>
                <w:kern w:val="2"/>
                <w:vertAlign w:val="superscript"/>
                <w:lang w:bidi="ar"/>
              </w:rPr>
              <w:t>-7</w:t>
            </w:r>
            <w:r>
              <w:rPr>
                <w:rFonts w:ascii="Times New Roman" w:hAnsi="Times New Roman"/>
                <w:color w:val="auto"/>
                <w:spacing w:val="4"/>
                <w:kern w:val="2"/>
                <w:lang w:bidi="ar"/>
              </w:rPr>
              <w:t>cm/s</w:t>
            </w:r>
            <w:r>
              <w:rPr>
                <w:rFonts w:hint="eastAsia" w:ascii="Times New Roman" w:hAnsi="Times New Roman" w:cs="宋体"/>
                <w:color w:val="auto"/>
                <w:spacing w:val="4"/>
                <w:kern w:val="2"/>
                <w:lang w:bidi="ar"/>
              </w:rPr>
              <w:t>。</w:t>
            </w:r>
          </w:p>
          <w:p>
            <w:pPr>
              <w:pStyle w:val="18"/>
              <w:widowControl w:val="0"/>
              <w:spacing w:before="0" w:beforeAutospacing="0" w:after="0" w:afterAutospacing="0" w:line="360" w:lineRule="auto"/>
              <w:jc w:val="both"/>
              <w:rPr>
                <w:color w:val="auto"/>
                <w:spacing w:val="4"/>
              </w:rPr>
            </w:pPr>
            <w:r>
              <w:rPr>
                <w:rFonts w:ascii="Times New Roman" w:hAnsi="Times New Roman"/>
                <w:color w:val="auto"/>
                <w:spacing w:val="4"/>
                <w:kern w:val="2"/>
                <w:sz w:val="21"/>
                <w:szCs w:val="22"/>
                <w:lang w:bidi="ar"/>
              </w:rPr>
              <w:t xml:space="preserve">  </w:t>
            </w:r>
            <w:r>
              <w:rPr>
                <w:rFonts w:ascii="Times New Roman" w:hAnsi="Times New Roman"/>
                <w:color w:val="auto"/>
                <w:spacing w:val="4"/>
                <w:kern w:val="2"/>
                <w:lang w:bidi="ar"/>
              </w:rPr>
              <w:t xml:space="preserve"> </w:t>
            </w:r>
            <w:r>
              <w:rPr>
                <w:rFonts w:ascii="Times New Roman" w:hAnsi="Times New Roman"/>
                <w:color w:val="auto"/>
                <w:spacing w:val="4"/>
                <w:kern w:val="2"/>
                <w:lang w:bidi="ar"/>
              </w:rPr>
              <w:fldChar w:fldCharType="begin"/>
            </w:r>
            <w:r>
              <w:rPr>
                <w:rFonts w:ascii="Times New Roman" w:hAnsi="Times New Roman"/>
                <w:color w:val="auto"/>
                <w:spacing w:val="4"/>
                <w:kern w:val="2"/>
                <w:lang w:bidi="ar"/>
              </w:rPr>
              <w:instrText xml:space="preserve"> = 2 \* GB3 </w:instrText>
            </w:r>
            <w:r>
              <w:rPr>
                <w:rFonts w:ascii="Times New Roman" w:hAnsi="Times New Roman"/>
                <w:color w:val="auto"/>
                <w:spacing w:val="4"/>
                <w:kern w:val="2"/>
                <w:lang w:bidi="ar"/>
              </w:rPr>
              <w:fldChar w:fldCharType="separate"/>
            </w:r>
            <w:r>
              <w:rPr>
                <w:rFonts w:hint="eastAsia" w:cs="宋体"/>
                <w:color w:val="auto"/>
                <w:spacing w:val="4"/>
                <w:kern w:val="2"/>
                <w:lang w:bidi="ar"/>
              </w:rPr>
              <w:t>②</w:t>
            </w:r>
            <w:r>
              <w:rPr>
                <w:rFonts w:ascii="Times New Roman" w:hAnsi="Times New Roman"/>
                <w:color w:val="auto"/>
                <w:spacing w:val="4"/>
                <w:kern w:val="2"/>
                <w:lang w:bidi="ar"/>
              </w:rPr>
              <w:fldChar w:fldCharType="end"/>
            </w:r>
            <w:r>
              <w:rPr>
                <w:rFonts w:hint="eastAsia" w:ascii="Times New Roman" w:hAnsi="Times New Roman" w:cs="宋体"/>
                <w:color w:val="auto"/>
                <w:spacing w:val="4"/>
                <w:kern w:val="2"/>
                <w:lang w:bidi="ar"/>
              </w:rPr>
              <w:t>转移要求：</w:t>
            </w:r>
          </w:p>
          <w:p>
            <w:pPr>
              <w:pStyle w:val="18"/>
              <w:widowControl w:val="0"/>
              <w:spacing w:before="0" w:beforeAutospacing="0" w:after="0" w:afterAutospacing="0" w:line="360" w:lineRule="auto"/>
              <w:ind w:firstLine="496" w:firstLineChars="200"/>
              <w:jc w:val="both"/>
              <w:rPr>
                <w:color w:val="auto"/>
                <w:spacing w:val="4"/>
              </w:rPr>
            </w:pPr>
            <w:r>
              <w:rPr>
                <w:rFonts w:ascii="Times New Roman" w:hAnsi="Times New Roman"/>
                <w:color w:val="auto"/>
                <w:spacing w:val="4"/>
                <w:kern w:val="2"/>
                <w:lang w:bidi="ar"/>
              </w:rPr>
              <w:t>a.</w:t>
            </w:r>
            <w:r>
              <w:rPr>
                <w:rFonts w:hint="eastAsia" w:ascii="Times New Roman" w:hAnsi="Times New Roman" w:cs="宋体"/>
                <w:color w:val="auto"/>
                <w:spacing w:val="4"/>
                <w:kern w:val="2"/>
                <w:lang w:bidi="ar"/>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r>
              <w:rPr>
                <w:rFonts w:ascii="Times New Roman" w:hAnsi="Times New Roman"/>
                <w:color w:val="auto"/>
                <w:spacing w:val="4"/>
                <w:kern w:val="2"/>
                <w:lang w:bidi="ar"/>
              </w:rPr>
              <w:t xml:space="preserve"> </w:t>
            </w:r>
          </w:p>
          <w:p>
            <w:pPr>
              <w:pStyle w:val="18"/>
              <w:widowControl w:val="0"/>
              <w:spacing w:before="0" w:beforeAutospacing="0" w:after="0" w:afterAutospacing="0" w:line="360" w:lineRule="auto"/>
              <w:ind w:firstLine="496" w:firstLineChars="200"/>
              <w:jc w:val="both"/>
              <w:rPr>
                <w:color w:val="auto"/>
                <w:spacing w:val="4"/>
              </w:rPr>
            </w:pPr>
            <w:r>
              <w:rPr>
                <w:rFonts w:ascii="Times New Roman" w:hAnsi="Times New Roman"/>
                <w:color w:val="auto"/>
                <w:spacing w:val="4"/>
                <w:kern w:val="2"/>
                <w:lang w:bidi="ar"/>
              </w:rPr>
              <w:t>b.</w:t>
            </w:r>
            <w:r>
              <w:rPr>
                <w:rFonts w:hint="eastAsia" w:ascii="Times New Roman" w:hAnsi="Times New Roman" w:cs="宋体"/>
                <w:color w:val="auto"/>
                <w:spacing w:val="4"/>
                <w:kern w:val="2"/>
                <w:lang w:bidi="ar"/>
              </w:rPr>
              <w:t>建设单位必须如实填写联单中产生单位栏目，并加盖公章，经交付危险废物运输单位核实验收签字后，将联单第一联副联自留存档，将联单第二联交当地环境保护</w:t>
            </w:r>
            <w:r>
              <w:rPr>
                <w:rFonts w:ascii="Times New Roman" w:hAnsi="Times New Roman"/>
                <w:color w:val="auto"/>
                <w:spacing w:val="4"/>
                <w:kern w:val="2"/>
                <w:lang w:bidi="ar"/>
              </w:rPr>
              <w:t>“</w:t>
            </w:r>
            <w:r>
              <w:rPr>
                <w:rFonts w:hint="eastAsia" w:ascii="Times New Roman" w:hAnsi="Times New Roman" w:cs="宋体"/>
                <w:color w:val="auto"/>
                <w:spacing w:val="4"/>
                <w:kern w:val="2"/>
                <w:lang w:bidi="ar"/>
              </w:rPr>
              <w:t>行政主管部门，联单第一联正联及其余各联交付运输单位随危险废物转移运行。</w:t>
            </w:r>
            <w:r>
              <w:rPr>
                <w:rFonts w:ascii="Times New Roman" w:hAnsi="Times New Roman"/>
                <w:color w:val="auto"/>
                <w:spacing w:val="4"/>
                <w:kern w:val="2"/>
                <w:lang w:bidi="ar"/>
              </w:rPr>
              <w:t xml:space="preserve"> </w:t>
            </w:r>
          </w:p>
          <w:p>
            <w:pPr>
              <w:pStyle w:val="18"/>
              <w:widowControl w:val="0"/>
              <w:spacing w:before="0" w:beforeAutospacing="0" w:after="0" w:afterAutospacing="0" w:line="360" w:lineRule="auto"/>
              <w:ind w:firstLine="496" w:firstLineChars="200"/>
              <w:jc w:val="both"/>
              <w:rPr>
                <w:color w:val="auto"/>
                <w:spacing w:val="4"/>
              </w:rPr>
            </w:pPr>
            <w:r>
              <w:rPr>
                <w:rFonts w:ascii="Times New Roman" w:hAnsi="Times New Roman"/>
                <w:color w:val="auto"/>
                <w:spacing w:val="4"/>
                <w:kern w:val="2"/>
                <w:lang w:bidi="ar"/>
              </w:rPr>
              <w:t>c.</w:t>
            </w:r>
            <w:r>
              <w:rPr>
                <w:rFonts w:hint="eastAsia" w:ascii="Times New Roman" w:hAnsi="Times New Roman" w:cs="宋体"/>
                <w:color w:val="auto"/>
                <w:spacing w:val="4"/>
                <w:kern w:val="2"/>
                <w:lang w:bidi="ar"/>
              </w:rPr>
              <w:t>联单保存期限为五年；贮存危险废物的，其联单保存期限与危险废物贮存期限相同。</w:t>
            </w:r>
          </w:p>
          <w:p>
            <w:pPr>
              <w:pStyle w:val="18"/>
              <w:widowControl w:val="0"/>
              <w:spacing w:before="0" w:beforeAutospacing="0" w:after="0" w:afterAutospacing="0" w:line="360" w:lineRule="auto"/>
              <w:ind w:firstLine="496" w:firstLineChars="200"/>
              <w:jc w:val="both"/>
              <w:rPr>
                <w:color w:val="auto"/>
                <w:spacing w:val="4"/>
              </w:rPr>
            </w:pPr>
            <w:r>
              <w:rPr>
                <w:rFonts w:hint="eastAsia" w:ascii="Times New Roman" w:hAnsi="Times New Roman" w:cs="宋体"/>
                <w:color w:val="auto"/>
                <w:spacing w:val="4"/>
                <w:kern w:val="2"/>
                <w:lang w:bidi="ar"/>
              </w:rPr>
              <w:t>为预防项目运行期间含锌废渣和废电解银催化剂装运过程中出现洒落现象发生，环评要求建设单位在危险废物转运过程中责令委托单位对危险废物采用专用容器盛装。</w:t>
            </w:r>
          </w:p>
          <w:p>
            <w:pPr>
              <w:spacing w:line="360" w:lineRule="auto"/>
              <w:ind w:firstLine="480" w:firstLineChars="200"/>
              <w:rPr>
                <w:color w:val="auto"/>
                <w:sz w:val="24"/>
              </w:rPr>
            </w:pPr>
            <w:r>
              <w:rPr>
                <w:rFonts w:hint="eastAsia"/>
                <w:color w:val="auto"/>
                <w:sz w:val="24"/>
              </w:rPr>
              <w:t>通过采取以上措施，本项目所产生的固体废物均得到妥善处理，处置措施合理可行，可以有效防止固体废物对院址周围环境空气、水环境以及生态环境产生影响。</w:t>
            </w:r>
          </w:p>
          <w:p>
            <w:pPr>
              <w:spacing w:before="120" w:beforeLines="50" w:line="360" w:lineRule="auto"/>
              <w:rPr>
                <w:b/>
                <w:bCs/>
                <w:color w:val="auto"/>
                <w:sz w:val="24"/>
              </w:rPr>
            </w:pPr>
            <w:r>
              <w:rPr>
                <w:rFonts w:hint="eastAsia"/>
                <w:b/>
                <w:bCs/>
                <w:color w:val="auto"/>
                <w:sz w:val="24"/>
              </w:rPr>
              <w:t>5、地下水、土壤环境影响和保护措施</w:t>
            </w:r>
          </w:p>
          <w:p>
            <w:pPr>
              <w:spacing w:line="360" w:lineRule="auto"/>
              <w:ind w:firstLine="480" w:firstLineChars="200"/>
              <w:rPr>
                <w:color w:val="auto"/>
                <w:sz w:val="24"/>
              </w:rPr>
            </w:pPr>
            <w:r>
              <w:rPr>
                <w:rFonts w:hint="eastAsia"/>
                <w:color w:val="auto"/>
                <w:sz w:val="24"/>
              </w:rPr>
              <w:t xml:space="preserve">（1）地下水环境影响分析 </w:t>
            </w:r>
          </w:p>
          <w:p>
            <w:pPr>
              <w:spacing w:line="360" w:lineRule="auto"/>
              <w:ind w:firstLine="480" w:firstLineChars="200"/>
              <w:rPr>
                <w:color w:val="auto"/>
                <w:sz w:val="24"/>
              </w:rPr>
            </w:pPr>
            <w:r>
              <w:rPr>
                <w:rFonts w:hint="eastAsia"/>
                <w:color w:val="auto"/>
                <w:sz w:val="24"/>
              </w:rPr>
              <w:t xml:space="preserve"> 项目可能造成地下水污染的污染源为</w:t>
            </w:r>
            <w:r>
              <w:rPr>
                <w:rFonts w:hint="eastAsia"/>
                <w:color w:val="auto"/>
                <w:sz w:val="24"/>
                <w:highlight w:val="none"/>
              </w:rPr>
              <w:t>炭块冷却水循环水池</w:t>
            </w:r>
            <w:r>
              <w:rPr>
                <w:rFonts w:hint="eastAsia"/>
                <w:color w:val="auto"/>
                <w:sz w:val="24"/>
              </w:rPr>
              <w:t>，主要污染因子为石油类。该循环水池防渗措施划定为重点防渗，防渗技术要求为：等效粘土防渗层Mb≥6.0m，K≤1.0×10</w:t>
            </w:r>
            <w:r>
              <w:rPr>
                <w:rFonts w:hint="eastAsia"/>
                <w:color w:val="auto"/>
                <w:sz w:val="24"/>
                <w:vertAlign w:val="superscript"/>
              </w:rPr>
              <w:t>-7</w:t>
            </w:r>
            <w:r>
              <w:rPr>
                <w:rFonts w:hint="eastAsia"/>
                <w:color w:val="auto"/>
                <w:sz w:val="24"/>
              </w:rPr>
              <w:t>cm/s，具体措施为：钢筋混凝土抗渗等级不宜低于P8，池底和池壁厚度均≥160mm。</w:t>
            </w:r>
          </w:p>
          <w:p>
            <w:pPr>
              <w:pStyle w:val="2"/>
              <w:spacing w:line="360" w:lineRule="auto"/>
              <w:ind w:left="0" w:leftChars="0" w:firstLine="0" w:firstLineChars="0"/>
              <w:rPr>
                <w:color w:val="auto"/>
              </w:rPr>
            </w:pPr>
            <w:r>
              <w:rPr>
                <w:rFonts w:hint="eastAsia"/>
                <w:color w:val="auto"/>
                <w:sz w:val="24"/>
              </w:rPr>
              <w:t xml:space="preserve">   采取上述防渗措施后，项目炭块冷却水循环水池对地下水环境影响较小。</w:t>
            </w:r>
          </w:p>
          <w:p>
            <w:pPr>
              <w:spacing w:line="360" w:lineRule="auto"/>
              <w:ind w:firstLine="482" w:firstLineChars="200"/>
              <w:rPr>
                <w:b/>
                <w:bCs/>
                <w:color w:val="auto"/>
                <w:sz w:val="24"/>
              </w:rPr>
            </w:pPr>
            <w:r>
              <w:rPr>
                <w:rFonts w:hint="eastAsia"/>
                <w:b/>
                <w:bCs/>
                <w:color w:val="auto"/>
                <w:sz w:val="24"/>
              </w:rPr>
              <w:t xml:space="preserve">（2）土壤 </w:t>
            </w:r>
          </w:p>
          <w:p>
            <w:pPr>
              <w:spacing w:line="360" w:lineRule="auto"/>
              <w:ind w:firstLine="480" w:firstLineChars="200"/>
              <w:rPr>
                <w:color w:val="auto"/>
                <w:sz w:val="24"/>
              </w:rPr>
            </w:pPr>
            <w:r>
              <w:rPr>
                <w:rFonts w:hint="eastAsia"/>
                <w:color w:val="auto"/>
                <w:sz w:val="24"/>
              </w:rPr>
              <w:t>项目可能对土壤环境产生影响的污染源及污染途径包括：混捏、成型工序废气排放口排放苯并芘废气通过大气沉降作用沉降至地表，以及炭块冷却水循环水池石油类物质泄漏通过垂直入渗方式污染土壤环境。</w:t>
            </w:r>
          </w:p>
          <w:p>
            <w:pPr>
              <w:spacing w:line="360" w:lineRule="auto"/>
              <w:ind w:firstLine="480" w:firstLineChars="200"/>
              <w:rPr>
                <w:color w:val="auto"/>
                <w:sz w:val="24"/>
              </w:rPr>
            </w:pPr>
            <w:r>
              <w:rPr>
                <w:rFonts w:hint="eastAsia"/>
                <w:color w:val="auto"/>
                <w:sz w:val="24"/>
              </w:rPr>
              <w:t>项目废气外排苯并芘共计0.062t/a，按该部分废气全部沉降至项目厂区中心外0.5km范围内，包气带粉土密度取值1.53g/cm</w:t>
            </w:r>
            <w:r>
              <w:rPr>
                <w:rFonts w:hint="eastAsia"/>
                <w:color w:val="auto"/>
                <w:sz w:val="24"/>
                <w:vertAlign w:val="superscript"/>
              </w:rPr>
              <w:t>3</w:t>
            </w:r>
            <w:r>
              <w:rPr>
                <w:rFonts w:hint="eastAsia"/>
                <w:color w:val="auto"/>
                <w:sz w:val="24"/>
              </w:rPr>
              <w:t>，经计算分析，10年后，0.2m包气带土壤环境苯并芘预测值为0.1mg/kg，《土壤环境质量 建设用土壤污染风险管控标准》GB3660中苯丙比的第二类用地筛选值为1.5mg/kg，预测结果小于第二类用地的筛选值，故在10a内，项目运营对土壤环境影响较小。</w:t>
            </w:r>
          </w:p>
          <w:p>
            <w:pPr>
              <w:pStyle w:val="2"/>
              <w:spacing w:line="360" w:lineRule="auto"/>
              <w:ind w:left="0" w:leftChars="0" w:firstLine="0" w:firstLineChars="0"/>
              <w:rPr>
                <w:color w:val="auto"/>
                <w:sz w:val="24"/>
              </w:rPr>
            </w:pPr>
            <w:r>
              <w:rPr>
                <w:rFonts w:hint="eastAsia"/>
                <w:color w:val="auto"/>
                <w:sz w:val="24"/>
              </w:rPr>
              <w:t xml:space="preserve">    项目炭块冷却水循环水池按照要求采取防渗措施，不存在垂直入渗防渗途径，不对土壤环境产生较大影响。</w:t>
            </w:r>
          </w:p>
          <w:p>
            <w:pPr>
              <w:spacing w:before="120" w:beforeLines="50" w:line="360" w:lineRule="auto"/>
              <w:rPr>
                <w:b/>
                <w:bCs/>
                <w:color w:val="auto"/>
                <w:sz w:val="24"/>
              </w:rPr>
            </w:pPr>
            <w:r>
              <w:rPr>
                <w:rFonts w:hint="eastAsia"/>
                <w:b/>
                <w:bCs/>
                <w:color w:val="auto"/>
                <w:sz w:val="24"/>
              </w:rPr>
              <w:t xml:space="preserve">6、生态 </w:t>
            </w:r>
          </w:p>
          <w:p>
            <w:pPr>
              <w:spacing w:line="360" w:lineRule="auto"/>
              <w:ind w:firstLine="480" w:firstLineChars="200"/>
              <w:rPr>
                <w:color w:val="auto"/>
                <w:sz w:val="24"/>
              </w:rPr>
            </w:pPr>
            <w:r>
              <w:rPr>
                <w:rFonts w:hint="eastAsia"/>
                <w:color w:val="auto"/>
                <w:sz w:val="24"/>
              </w:rPr>
              <w:t>项目占地范围内无珍惜濒危野生动植物分布，无生态环境敏感目标。项目建成后，场地范围内将完成道路硬化和绿化带植被种植，能够有效控制占地范围内水土流失，生态环境也能够得到有效恢复。</w:t>
            </w:r>
          </w:p>
          <w:p>
            <w:pPr>
              <w:spacing w:before="120" w:beforeLines="50" w:line="360" w:lineRule="auto"/>
              <w:rPr>
                <w:b/>
                <w:bCs/>
                <w:color w:val="auto"/>
                <w:sz w:val="24"/>
              </w:rPr>
            </w:pPr>
            <w:r>
              <w:rPr>
                <w:rFonts w:hint="eastAsia"/>
                <w:b/>
                <w:bCs/>
                <w:color w:val="auto"/>
                <w:sz w:val="24"/>
              </w:rPr>
              <w:t>7、环境风险</w:t>
            </w:r>
            <w:r>
              <w:rPr>
                <w:b/>
                <w:bCs/>
                <w:color w:val="auto"/>
                <w:sz w:val="24"/>
              </w:rPr>
              <w:t>分析</w:t>
            </w:r>
          </w:p>
          <w:p>
            <w:pPr>
              <w:spacing w:line="360" w:lineRule="auto"/>
              <w:ind w:firstLine="480" w:firstLineChars="200"/>
              <w:rPr>
                <w:color w:val="auto"/>
                <w:kern w:val="0"/>
                <w:sz w:val="24"/>
              </w:rPr>
            </w:pPr>
            <w:r>
              <w:rPr>
                <w:color w:val="auto"/>
                <w:kern w:val="0"/>
                <w:sz w:val="24"/>
              </w:rPr>
              <w:t xml:space="preserve">项目超高功率石墨电极主要原料为针状焦、煅后石油焦、沥青，辅助材料为冶金焦等，使用燃料为天然气。其中，天然气易燃；沥青遇明火、高热可燃；沥青具有致癌性，在燃烧时放出有毒的刺激性烟雾。此外，在石墨化工段还会产生一氧化碳、二氧化氮、二氧化硫；混捏造型工段会产生苯并芘废气，一氧化碳为有毒易燃气体，二氧化氮和二氧化硫为毒性气体；苯并[α]芘具有致癌性。 </w:t>
            </w:r>
          </w:p>
          <w:p>
            <w:pPr>
              <w:spacing w:line="360" w:lineRule="auto"/>
              <w:ind w:firstLine="480" w:firstLineChars="200"/>
              <w:rPr>
                <w:color w:val="auto"/>
                <w:kern w:val="0"/>
                <w:sz w:val="24"/>
              </w:rPr>
            </w:pPr>
            <w:r>
              <w:rPr>
                <w:color w:val="auto"/>
                <w:kern w:val="0"/>
                <w:sz w:val="24"/>
              </w:rPr>
              <w:t>因此，本项目主要危险性物质为沥青、天然气、一氧化碳二氧化氮、二氧化硫和苯并[α]芘。其中，液态沥青主要存在于沥青熔化车间、混捏成型车间；天然气由市政管道供应，主要使用点为导热油站；一氧化碳、二氧化氮、二氧化硫主要产生于石墨化车间，苯并[α]芘存在于沥青熔化车间、混捏成型车间。</w:t>
            </w:r>
          </w:p>
          <w:p>
            <w:pPr>
              <w:pStyle w:val="2"/>
              <w:spacing w:after="0" w:line="360" w:lineRule="auto"/>
              <w:ind w:left="0" w:leftChars="0" w:firstLine="0" w:firstLineChars="0"/>
              <w:rPr>
                <w:color w:val="auto"/>
              </w:rPr>
            </w:pPr>
            <w:r>
              <w:rPr>
                <w:rFonts w:hint="eastAsia"/>
                <w:color w:val="auto"/>
                <w:kern w:val="0"/>
                <w:sz w:val="24"/>
              </w:rPr>
              <w:t xml:space="preserve">    项目一氧化碳、二氧化氮和二氧化硫均为生产过程中废气，不存储。</w:t>
            </w:r>
          </w:p>
          <w:p>
            <w:pPr>
              <w:pStyle w:val="2"/>
              <w:spacing w:after="0" w:line="360" w:lineRule="auto"/>
              <w:ind w:left="0" w:leftChars="0" w:firstLine="480" w:firstLineChars="0"/>
              <w:rPr>
                <w:color w:val="auto"/>
                <w:kern w:val="0"/>
                <w:sz w:val="24"/>
              </w:rPr>
            </w:pPr>
            <w:r>
              <w:rPr>
                <w:rFonts w:hint="eastAsia"/>
                <w:color w:val="auto"/>
                <w:kern w:val="0"/>
                <w:sz w:val="24"/>
              </w:rPr>
              <w:t>危废暂存间内存储油废焦油和废矿物油。其中苯并芘存在于回收的焦油中，按7d存储量计算，苯并芘含量按12.5g/kg计算，可计算得到苯并芘的最大存储量为0.03t。</w:t>
            </w:r>
          </w:p>
          <w:p>
            <w:pPr>
              <w:pStyle w:val="2"/>
              <w:spacing w:after="0" w:line="360" w:lineRule="auto"/>
              <w:ind w:left="0" w:leftChars="0" w:firstLine="480" w:firstLineChars="0"/>
              <w:rPr>
                <w:color w:val="auto"/>
                <w:kern w:val="0"/>
                <w:sz w:val="24"/>
              </w:rPr>
            </w:pPr>
            <w:r>
              <w:rPr>
                <w:rFonts w:hint="eastAsia"/>
                <w:color w:val="auto"/>
                <w:kern w:val="0"/>
                <w:sz w:val="24"/>
              </w:rPr>
              <w:t>根据《建设项目环境风险评价技术导则》（HJ169-2018），苯并芘属于附录B中健康危险机型毒性物质（类别1），临界量为5t；矿物油临界量为2500t，最大存储量为0.25t（按半年周转量计）。厂区内危险物质数量与临界量的比值计算结果为：</w:t>
            </w:r>
          </w:p>
          <w:p>
            <w:pPr>
              <w:spacing w:before="120" w:beforeLines="50" w:line="360" w:lineRule="auto"/>
              <w:ind w:firstLine="480" w:firstLineChars="200"/>
              <w:rPr>
                <w:color w:val="auto"/>
                <w:sz w:val="24"/>
              </w:rPr>
            </w:pPr>
            <w:r>
              <w:rPr>
                <w:color w:val="auto"/>
                <w:sz w:val="24"/>
              </w:rPr>
              <w:t>Q=0.</w:t>
            </w:r>
            <w:r>
              <w:rPr>
                <w:rFonts w:hint="eastAsia"/>
                <w:color w:val="auto"/>
                <w:sz w:val="24"/>
              </w:rPr>
              <w:t>03/5+0.25/2500=0.0061＜</w:t>
            </w:r>
            <w:r>
              <w:rPr>
                <w:color w:val="auto"/>
                <w:sz w:val="24"/>
              </w:rPr>
              <w:t>1</w:t>
            </w:r>
            <w:r>
              <w:rPr>
                <w:rFonts w:hint="eastAsia"/>
                <w:color w:val="auto"/>
                <w:sz w:val="24"/>
              </w:rPr>
              <w:t>。</w:t>
            </w:r>
          </w:p>
          <w:p>
            <w:pPr>
              <w:spacing w:line="360" w:lineRule="auto"/>
              <w:ind w:firstLine="241" w:firstLineChars="100"/>
              <w:rPr>
                <w:b/>
                <w:bCs/>
                <w:color w:val="auto"/>
                <w:kern w:val="0"/>
                <w:sz w:val="24"/>
              </w:rPr>
            </w:pPr>
            <w:r>
              <w:rPr>
                <w:rFonts w:hint="eastAsia"/>
                <w:b/>
                <w:bCs/>
                <w:color w:val="auto"/>
                <w:kern w:val="0"/>
                <w:sz w:val="24"/>
              </w:rPr>
              <w:t>（2）环境风险措施及应急要求</w:t>
            </w:r>
          </w:p>
          <w:p>
            <w:pPr>
              <w:spacing w:line="360" w:lineRule="auto"/>
              <w:ind w:firstLine="480" w:firstLineChars="200"/>
              <w:rPr>
                <w:color w:val="auto"/>
                <w:kern w:val="0"/>
                <w:sz w:val="24"/>
              </w:rPr>
            </w:pPr>
            <w:r>
              <w:rPr>
                <w:rFonts w:hint="eastAsia"/>
                <w:color w:val="auto"/>
                <w:kern w:val="0"/>
                <w:sz w:val="24"/>
              </w:rPr>
              <w:t>①总图布置和建筑安全防范措施</w:t>
            </w:r>
          </w:p>
          <w:p>
            <w:pPr>
              <w:spacing w:line="360" w:lineRule="auto"/>
              <w:ind w:firstLine="480" w:firstLineChars="200"/>
              <w:rPr>
                <w:color w:val="auto"/>
                <w:kern w:val="0"/>
                <w:sz w:val="24"/>
              </w:rPr>
            </w:pPr>
            <w:r>
              <w:rPr>
                <w:rFonts w:hint="eastAsia"/>
                <w:color w:val="auto"/>
                <w:kern w:val="0"/>
                <w:sz w:val="24"/>
              </w:rPr>
              <w:t>项目总图设计执行《工业企业总平面设计规范》（GB50187-2012）、《建筑设计防火规范》（GB50016-2014（2018 版）要求。项目总图布置本着满足生产工艺要求，共设有生产区、厂前区、辅助区等功能区。各功能区独立布置，且合理考虑敏感区、气象条件、防火间距、应急救援通道等安全条件。项目建构筑物应留足安全间距，避免易燃、易爆气体积聚。</w:t>
            </w:r>
          </w:p>
          <w:p>
            <w:pPr>
              <w:spacing w:line="360" w:lineRule="auto"/>
              <w:ind w:firstLine="480" w:firstLineChars="200"/>
              <w:rPr>
                <w:color w:val="auto"/>
                <w:kern w:val="0"/>
                <w:sz w:val="24"/>
              </w:rPr>
            </w:pPr>
            <w:r>
              <w:rPr>
                <w:rFonts w:hint="eastAsia"/>
                <w:color w:val="auto"/>
                <w:kern w:val="0"/>
                <w:sz w:val="24"/>
              </w:rPr>
              <w:t>②生产设备安全措施</w:t>
            </w:r>
          </w:p>
          <w:p>
            <w:pPr>
              <w:spacing w:line="360" w:lineRule="auto"/>
              <w:ind w:firstLine="480" w:firstLineChars="200"/>
              <w:rPr>
                <w:color w:val="auto"/>
                <w:kern w:val="0"/>
                <w:sz w:val="24"/>
              </w:rPr>
            </w:pPr>
            <w:r>
              <w:rPr>
                <w:rFonts w:hint="eastAsia"/>
                <w:color w:val="auto"/>
                <w:kern w:val="0"/>
                <w:sz w:val="24"/>
              </w:rPr>
              <w:t>1）严格按照“安全生产操作规程”要求，加强工艺控制与设备的维护维修管理；严禁人员无故逗留，控制防范因火灾爆炸等事故引起的次生环境风险。</w:t>
            </w:r>
          </w:p>
          <w:p>
            <w:pPr>
              <w:spacing w:line="360" w:lineRule="auto"/>
              <w:ind w:firstLine="480" w:firstLineChars="200"/>
              <w:rPr>
                <w:color w:val="auto"/>
                <w:kern w:val="0"/>
                <w:sz w:val="24"/>
              </w:rPr>
            </w:pPr>
            <w:r>
              <w:rPr>
                <w:rFonts w:hint="eastAsia"/>
                <w:color w:val="auto"/>
                <w:kern w:val="0"/>
                <w:sz w:val="24"/>
              </w:rPr>
              <w:t>2）工艺设备、管道、管件须有良好的密封措施。要采取适当、有效的措施，提高处理易燃易爆或有毒物料的工艺设备、管线上的法兰与焊接等连接处和设备动密封处的密封性能，防止危险物料泄漏。</w:t>
            </w:r>
          </w:p>
          <w:p>
            <w:pPr>
              <w:spacing w:line="360" w:lineRule="auto"/>
              <w:ind w:firstLine="480" w:firstLineChars="200"/>
              <w:rPr>
                <w:color w:val="auto"/>
                <w:kern w:val="0"/>
                <w:sz w:val="24"/>
              </w:rPr>
            </w:pPr>
            <w:r>
              <w:rPr>
                <w:rFonts w:hint="eastAsia"/>
                <w:color w:val="auto"/>
                <w:kern w:val="0"/>
                <w:sz w:val="24"/>
              </w:rPr>
              <w:t>3）原料破碎和配料过程中，使用的机电设备较多，生产连续性强，为防止发生事故和误操作，设计中按车间(或工段)的作业流程，对运转设备进行连锁。启动时设预警电铃，同时考虑就近设置手动开关，便于设备启动和停止。</w:t>
            </w:r>
          </w:p>
          <w:p>
            <w:pPr>
              <w:spacing w:line="360" w:lineRule="auto"/>
              <w:ind w:firstLine="480" w:firstLineChars="200"/>
              <w:rPr>
                <w:color w:val="auto"/>
                <w:kern w:val="0"/>
                <w:sz w:val="24"/>
              </w:rPr>
            </w:pPr>
            <w:r>
              <w:rPr>
                <w:rFonts w:hint="eastAsia"/>
                <w:color w:val="auto"/>
                <w:kern w:val="0"/>
                <w:sz w:val="24"/>
              </w:rPr>
              <w:t>4）各车间料仓、储槽均设置物位检测仪表，并设置高低限物位报警。物位高限报警后自动联锁进料皮带机、泵等设备停机，避免因满仓冒槽造成安全事故。</w:t>
            </w:r>
          </w:p>
          <w:p>
            <w:pPr>
              <w:spacing w:line="360" w:lineRule="auto"/>
              <w:ind w:firstLine="480" w:firstLineChars="200"/>
              <w:rPr>
                <w:color w:val="auto"/>
                <w:kern w:val="0"/>
                <w:sz w:val="24"/>
              </w:rPr>
            </w:pPr>
            <w:r>
              <w:rPr>
                <w:rFonts w:hint="eastAsia"/>
                <w:color w:val="auto"/>
                <w:kern w:val="0"/>
                <w:sz w:val="24"/>
              </w:rPr>
              <w:t>5）需水冷设备冷却水回水管（有压回水）设置流量开关进行断流报警，并联锁关闭设备的运行，避免由于设备过热造成的设备损坏等安全事故。</w:t>
            </w:r>
          </w:p>
          <w:p>
            <w:pPr>
              <w:spacing w:line="360" w:lineRule="auto"/>
              <w:ind w:firstLine="480" w:firstLineChars="200"/>
              <w:rPr>
                <w:color w:val="auto"/>
                <w:kern w:val="0"/>
                <w:sz w:val="24"/>
              </w:rPr>
            </w:pPr>
            <w:r>
              <w:rPr>
                <w:rFonts w:hint="eastAsia"/>
                <w:color w:val="auto"/>
                <w:kern w:val="0"/>
                <w:sz w:val="24"/>
              </w:rPr>
              <w:t>6）在天然气管道密集区域以及天然气用气点周围，设置固定式可燃气体检测仪及报警装置。可燃气体检测仪安装在车间内部墙上或柱子上，</w:t>
            </w:r>
          </w:p>
          <w:p>
            <w:pPr>
              <w:spacing w:line="360" w:lineRule="auto"/>
              <w:ind w:firstLine="480" w:firstLineChars="200"/>
              <w:rPr>
                <w:color w:val="auto"/>
                <w:kern w:val="0"/>
                <w:sz w:val="24"/>
              </w:rPr>
            </w:pPr>
            <w:r>
              <w:rPr>
                <w:rFonts w:hint="eastAsia"/>
                <w:color w:val="auto"/>
                <w:kern w:val="0"/>
                <w:sz w:val="24"/>
              </w:rPr>
              <w:t>离地高度为 1.5m左右。除设置固定式可燃气体检测仪外，还为现场巡视人员配置便携式可燃气体检测仪，方便巡视人员随时了解车间及控制</w:t>
            </w:r>
          </w:p>
          <w:p>
            <w:pPr>
              <w:spacing w:line="360" w:lineRule="auto"/>
              <w:ind w:firstLine="480" w:firstLineChars="200"/>
              <w:rPr>
                <w:color w:val="auto"/>
                <w:kern w:val="0"/>
                <w:sz w:val="24"/>
              </w:rPr>
            </w:pPr>
            <w:r>
              <w:rPr>
                <w:rFonts w:hint="eastAsia"/>
                <w:color w:val="auto"/>
                <w:kern w:val="0"/>
                <w:sz w:val="24"/>
              </w:rPr>
              <w:t>室内可燃气体的含量，当可燃性气体浓度大于等于安全极限时（25%LEL）报警，提示工作人员采取相应的措施。</w:t>
            </w:r>
          </w:p>
          <w:p>
            <w:pPr>
              <w:spacing w:line="360" w:lineRule="auto"/>
              <w:ind w:firstLine="480" w:firstLineChars="200"/>
              <w:rPr>
                <w:color w:val="auto"/>
                <w:kern w:val="0"/>
                <w:sz w:val="24"/>
              </w:rPr>
            </w:pPr>
            <w:r>
              <w:rPr>
                <w:rFonts w:hint="eastAsia"/>
                <w:color w:val="auto"/>
                <w:kern w:val="0"/>
                <w:sz w:val="24"/>
              </w:rPr>
              <w:t>7）在石墨化车间内设置一氧化碳气体检测报警仪，及时检测一氧化碳等的浓度。</w:t>
            </w:r>
          </w:p>
          <w:p>
            <w:pPr>
              <w:spacing w:line="360" w:lineRule="auto"/>
              <w:ind w:firstLine="480" w:firstLineChars="200"/>
              <w:rPr>
                <w:color w:val="auto"/>
                <w:kern w:val="0"/>
                <w:sz w:val="24"/>
              </w:rPr>
            </w:pPr>
            <w:r>
              <w:rPr>
                <w:rFonts w:hint="eastAsia"/>
                <w:color w:val="auto"/>
                <w:kern w:val="0"/>
                <w:sz w:val="24"/>
              </w:rPr>
              <w:t>③贮运安全防范措施</w:t>
            </w:r>
          </w:p>
          <w:p>
            <w:pPr>
              <w:spacing w:line="360" w:lineRule="auto"/>
              <w:ind w:firstLine="480" w:firstLineChars="200"/>
              <w:rPr>
                <w:color w:val="auto"/>
                <w:kern w:val="0"/>
                <w:sz w:val="24"/>
              </w:rPr>
            </w:pPr>
            <w:r>
              <w:rPr>
                <w:rFonts w:hint="eastAsia"/>
                <w:color w:val="auto"/>
                <w:kern w:val="0"/>
                <w:sz w:val="24"/>
              </w:rPr>
              <w:t>1）沥青贮槽设高低位信号和联锁装置，以防止高温沥青溢流。沥青输送系统和热媒管路保温系统均设安全阀，能自动报警和卸压。</w:t>
            </w:r>
          </w:p>
          <w:p>
            <w:pPr>
              <w:spacing w:line="360" w:lineRule="auto"/>
              <w:ind w:firstLine="480" w:firstLineChars="200"/>
              <w:rPr>
                <w:color w:val="auto"/>
                <w:kern w:val="0"/>
                <w:sz w:val="24"/>
              </w:rPr>
            </w:pPr>
            <w:r>
              <w:rPr>
                <w:rFonts w:hint="eastAsia"/>
                <w:color w:val="auto"/>
                <w:kern w:val="0"/>
                <w:sz w:val="24"/>
              </w:rPr>
              <w:t>2）沥青罐区设置危险标识、设置消防栓及安全标识，配备必要的消防器材，贮罐安装避雷针；</w:t>
            </w:r>
          </w:p>
          <w:p>
            <w:pPr>
              <w:spacing w:line="360" w:lineRule="auto"/>
              <w:ind w:firstLine="480" w:firstLineChars="200"/>
              <w:rPr>
                <w:color w:val="auto"/>
                <w:kern w:val="0"/>
                <w:sz w:val="24"/>
              </w:rPr>
            </w:pPr>
            <w:r>
              <w:rPr>
                <w:rFonts w:hint="eastAsia"/>
                <w:color w:val="auto"/>
                <w:kern w:val="0"/>
                <w:sz w:val="24"/>
              </w:rPr>
              <w:t>3）罐区设置围堰，围堰容积大于单个贮罐容积，围堰与罐体之间保证足够的安全距离，围堰作防渗漏、防腐蚀处理。</w:t>
            </w:r>
          </w:p>
          <w:p>
            <w:pPr>
              <w:spacing w:line="360" w:lineRule="auto"/>
              <w:rPr>
                <w:color w:val="auto"/>
                <w:kern w:val="0"/>
                <w:sz w:val="24"/>
              </w:rPr>
            </w:pPr>
            <w:r>
              <w:rPr>
                <w:rFonts w:hint="eastAsia"/>
                <w:color w:val="auto"/>
                <w:kern w:val="0"/>
                <w:sz w:val="24"/>
              </w:rPr>
              <w:t xml:space="preserve">    4）加强生产管理。严格按照操作规程作业，严格执行 24 小时执班制制度和巡回检查制度，及时发现并向有关部门通报，并及时解决不安全因素。</w:t>
            </w:r>
          </w:p>
          <w:p>
            <w:pPr>
              <w:spacing w:line="360" w:lineRule="auto"/>
              <w:ind w:firstLine="480" w:firstLineChars="200"/>
              <w:rPr>
                <w:color w:val="auto"/>
                <w:kern w:val="0"/>
                <w:sz w:val="24"/>
              </w:rPr>
            </w:pPr>
            <w:r>
              <w:rPr>
                <w:rFonts w:hint="eastAsia"/>
                <w:color w:val="auto"/>
                <w:kern w:val="0"/>
                <w:sz w:val="24"/>
              </w:rPr>
              <w:t>④其他防范措施</w:t>
            </w:r>
          </w:p>
          <w:p>
            <w:pPr>
              <w:spacing w:line="360" w:lineRule="auto"/>
              <w:ind w:firstLine="480" w:firstLineChars="200"/>
              <w:rPr>
                <w:color w:val="auto"/>
                <w:kern w:val="0"/>
                <w:sz w:val="24"/>
              </w:rPr>
            </w:pPr>
            <w:r>
              <w:rPr>
                <w:color w:val="auto"/>
                <w:kern w:val="0"/>
                <w:sz w:val="24"/>
              </w:rPr>
              <w:t>1）加强操作人员的安全教育，严格按照操作规范进行生产。</w:t>
            </w:r>
          </w:p>
          <w:p>
            <w:pPr>
              <w:spacing w:line="360" w:lineRule="auto"/>
              <w:ind w:firstLine="480" w:firstLineChars="200"/>
              <w:rPr>
                <w:color w:val="auto"/>
                <w:kern w:val="0"/>
                <w:sz w:val="24"/>
              </w:rPr>
            </w:pPr>
            <w:r>
              <w:rPr>
                <w:rFonts w:hint="eastAsia"/>
                <w:color w:val="auto"/>
                <w:kern w:val="0"/>
                <w:sz w:val="24"/>
              </w:rPr>
              <w:t>2）按规范要求生产现场配备足够的正压式防毒面具、耳罩、防尘口罩、护目镜等防护器具。厂区内设立风向标，使于发生有毒有害物质泄漏时生产人员辨认风向，撤离至上风向安全地区。立即组织可能受影响附近人群撤离，并及时报告有关部门。</w:t>
            </w:r>
          </w:p>
          <w:p>
            <w:pPr>
              <w:spacing w:line="360" w:lineRule="auto"/>
              <w:ind w:firstLine="480" w:firstLineChars="200"/>
              <w:rPr>
                <w:color w:val="auto"/>
                <w:kern w:val="0"/>
                <w:sz w:val="24"/>
              </w:rPr>
            </w:pPr>
            <w:r>
              <w:rPr>
                <w:rFonts w:hint="eastAsia"/>
                <w:color w:val="auto"/>
                <w:kern w:val="0"/>
                <w:sz w:val="24"/>
              </w:rPr>
              <w:t>3）厂区内应按照规范的要求配置手提式干粉灭火器、二氧化碳灭火器等。</w:t>
            </w:r>
          </w:p>
          <w:p>
            <w:pPr>
              <w:spacing w:line="360" w:lineRule="auto"/>
              <w:ind w:firstLine="480" w:firstLineChars="200"/>
              <w:rPr>
                <w:color w:val="auto"/>
                <w:kern w:val="0"/>
                <w:sz w:val="24"/>
              </w:rPr>
            </w:pPr>
            <w:r>
              <w:rPr>
                <w:rFonts w:hint="eastAsia"/>
                <w:color w:val="auto"/>
                <w:kern w:val="0"/>
                <w:sz w:val="24"/>
              </w:rPr>
              <w:t>4）废气处理设施处理故障后，项目生产必须立即停止对应工序的生产，确保区域环境空气不超标，不造成污染影响。</w:t>
            </w:r>
          </w:p>
          <w:p>
            <w:pPr>
              <w:spacing w:line="360" w:lineRule="auto"/>
              <w:ind w:firstLine="482" w:firstLineChars="200"/>
              <w:rPr>
                <w:b/>
                <w:bCs/>
                <w:color w:val="auto"/>
                <w:kern w:val="0"/>
                <w:sz w:val="24"/>
              </w:rPr>
            </w:pPr>
            <w:r>
              <w:rPr>
                <w:rFonts w:hint="eastAsia"/>
                <w:b/>
                <w:bCs/>
                <w:color w:val="auto"/>
                <w:kern w:val="0"/>
                <w:sz w:val="24"/>
              </w:rPr>
              <w:t>（3）突发环境事件对策和应急预案</w:t>
            </w:r>
          </w:p>
          <w:p>
            <w:pPr>
              <w:spacing w:line="360" w:lineRule="auto"/>
              <w:ind w:firstLine="480" w:firstLineChars="200"/>
              <w:rPr>
                <w:color w:val="auto"/>
              </w:rPr>
            </w:pPr>
            <w:r>
              <w:rPr>
                <w:rFonts w:hint="eastAsia"/>
                <w:color w:val="auto"/>
                <w:kern w:val="0"/>
                <w:sz w:val="24"/>
              </w:rPr>
              <w:t>建设单位应制定相应的应急预案，定期进行应急演练并积极配合和参与有关部门开展的应急演练。并对突发环境事件应急预案演练结果进行评估，分析存在问题，对环境应急预案提出修改意见。</w:t>
            </w:r>
          </w:p>
          <w:p>
            <w:pPr>
              <w:spacing w:line="360" w:lineRule="auto"/>
              <w:ind w:firstLine="482" w:firstLineChars="200"/>
              <w:rPr>
                <w:b/>
                <w:bCs/>
                <w:color w:val="auto"/>
                <w:kern w:val="0"/>
                <w:sz w:val="24"/>
              </w:rPr>
            </w:pPr>
            <w:r>
              <w:rPr>
                <w:rFonts w:hint="eastAsia"/>
                <w:b/>
                <w:bCs/>
                <w:color w:val="auto"/>
                <w:kern w:val="0"/>
                <w:sz w:val="24"/>
              </w:rPr>
              <w:t>（4）环境风险评价结论</w:t>
            </w:r>
          </w:p>
          <w:p>
            <w:pPr>
              <w:spacing w:line="360" w:lineRule="auto"/>
              <w:ind w:firstLine="480" w:firstLineChars="200"/>
              <w:rPr>
                <w:color w:val="auto"/>
                <w:kern w:val="0"/>
                <w:sz w:val="24"/>
              </w:rPr>
            </w:pPr>
            <w:r>
              <w:rPr>
                <w:rFonts w:hint="eastAsia"/>
                <w:color w:val="auto"/>
                <w:kern w:val="0"/>
                <w:sz w:val="24"/>
              </w:rPr>
              <w:t>根据上述分析，针对各类危险物料的性质和可能发生的事故类型，本次评价提出了相应的风险防范措施和应急预案。在落实环评中提出的事故风险防范措施和应急预案情况下，拟建项目的建设与运行带来的环境风险是可以接受的。</w:t>
            </w:r>
          </w:p>
          <w:p>
            <w:pPr>
              <w:spacing w:line="360" w:lineRule="auto"/>
              <w:rPr>
                <w:b/>
                <w:bCs/>
                <w:color w:val="auto"/>
                <w:kern w:val="0"/>
                <w:sz w:val="24"/>
              </w:rPr>
            </w:pPr>
            <w:r>
              <w:rPr>
                <w:rFonts w:hint="eastAsia"/>
                <w:b/>
                <w:bCs/>
                <w:color w:val="auto"/>
                <w:kern w:val="0"/>
                <w:sz w:val="24"/>
              </w:rPr>
              <w:t>8、环保投资范</w:t>
            </w:r>
          </w:p>
          <w:p>
            <w:pPr>
              <w:spacing w:line="360" w:lineRule="auto"/>
              <w:ind w:firstLine="480" w:firstLineChars="200"/>
              <w:rPr>
                <w:color w:val="auto"/>
                <w:kern w:val="0"/>
                <w:sz w:val="24"/>
              </w:rPr>
            </w:pPr>
            <w:r>
              <w:rPr>
                <w:rFonts w:hint="eastAsia"/>
                <w:color w:val="auto"/>
                <w:kern w:val="0"/>
                <w:sz w:val="24"/>
              </w:rPr>
              <w:t>项目环境保护投资情况如下表所示：</w:t>
            </w:r>
          </w:p>
          <w:p>
            <w:pPr>
              <w:ind w:firstLine="482" w:firstLineChars="200"/>
              <w:jc w:val="center"/>
              <w:rPr>
                <w:b/>
                <w:bCs/>
                <w:color w:val="auto"/>
                <w:kern w:val="0"/>
                <w:sz w:val="24"/>
              </w:rPr>
            </w:pPr>
            <w:r>
              <w:rPr>
                <w:rFonts w:hint="eastAsia"/>
                <w:b/>
                <w:bCs/>
                <w:color w:val="auto"/>
                <w:kern w:val="0"/>
                <w:sz w:val="24"/>
              </w:rPr>
              <w:t>表</w:t>
            </w:r>
            <w:r>
              <w:rPr>
                <w:rFonts w:hint="eastAsia"/>
                <w:b/>
                <w:bCs/>
                <w:color w:val="auto"/>
                <w:kern w:val="0"/>
                <w:sz w:val="24"/>
                <w:lang w:val="en-US" w:eastAsia="zh-CN"/>
              </w:rPr>
              <w:t>40</w:t>
            </w:r>
            <w:r>
              <w:rPr>
                <w:rFonts w:hint="eastAsia"/>
                <w:b/>
                <w:bCs/>
                <w:color w:val="auto"/>
                <w:kern w:val="0"/>
                <w:sz w:val="24"/>
              </w:rPr>
              <w:t xml:space="preserve"> 项目环保投资一览表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300"/>
              <w:gridCol w:w="1794"/>
              <w:gridCol w:w="2553"/>
              <w:gridCol w:w="685"/>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pStyle w:val="2"/>
                    <w:spacing w:after="0"/>
                    <w:ind w:left="0" w:leftChars="0" w:firstLine="0" w:firstLineChars="0"/>
                    <w:jc w:val="center"/>
                    <w:rPr>
                      <w:color w:val="auto"/>
                    </w:rPr>
                  </w:pPr>
                  <w:r>
                    <w:rPr>
                      <w:rFonts w:hint="eastAsia"/>
                      <w:color w:val="auto"/>
                    </w:rPr>
                    <w:t>类别</w:t>
                  </w:r>
                </w:p>
              </w:tc>
              <w:tc>
                <w:tcPr>
                  <w:tcW w:w="844" w:type="pct"/>
                  <w:vAlign w:val="center"/>
                </w:tcPr>
                <w:p>
                  <w:pPr>
                    <w:pStyle w:val="2"/>
                    <w:spacing w:after="0"/>
                    <w:ind w:left="0" w:leftChars="0" w:firstLine="0" w:firstLineChars="0"/>
                    <w:jc w:val="center"/>
                    <w:rPr>
                      <w:color w:val="auto"/>
                    </w:rPr>
                  </w:pPr>
                  <w:r>
                    <w:rPr>
                      <w:rFonts w:hint="eastAsia"/>
                      <w:color w:val="auto"/>
                    </w:rPr>
                    <w:t>区域</w:t>
                  </w:r>
                </w:p>
              </w:tc>
              <w:tc>
                <w:tcPr>
                  <w:tcW w:w="1164" w:type="pct"/>
                  <w:vAlign w:val="center"/>
                </w:tcPr>
                <w:p>
                  <w:pPr>
                    <w:pStyle w:val="2"/>
                    <w:spacing w:after="0"/>
                    <w:ind w:left="0" w:leftChars="0" w:firstLine="0" w:firstLineChars="0"/>
                    <w:jc w:val="center"/>
                    <w:rPr>
                      <w:color w:val="auto"/>
                    </w:rPr>
                  </w:pPr>
                  <w:r>
                    <w:rPr>
                      <w:rFonts w:hint="eastAsia"/>
                      <w:color w:val="auto"/>
                    </w:rPr>
                    <w:t>污染工序</w:t>
                  </w:r>
                </w:p>
              </w:tc>
              <w:tc>
                <w:tcPr>
                  <w:tcW w:w="1657" w:type="pct"/>
                  <w:vAlign w:val="center"/>
                </w:tcPr>
                <w:p>
                  <w:pPr>
                    <w:pStyle w:val="2"/>
                    <w:spacing w:after="0"/>
                    <w:ind w:left="0" w:leftChars="0" w:firstLine="0" w:firstLineChars="0"/>
                    <w:jc w:val="center"/>
                    <w:rPr>
                      <w:color w:val="auto"/>
                    </w:rPr>
                  </w:pPr>
                  <w:r>
                    <w:rPr>
                      <w:rFonts w:hint="eastAsia"/>
                      <w:color w:val="auto"/>
                    </w:rPr>
                    <w:t>治理措施</w:t>
                  </w:r>
                </w:p>
              </w:tc>
              <w:tc>
                <w:tcPr>
                  <w:tcW w:w="445" w:type="pct"/>
                  <w:vAlign w:val="center"/>
                </w:tcPr>
                <w:p>
                  <w:pPr>
                    <w:pStyle w:val="2"/>
                    <w:spacing w:after="0"/>
                    <w:ind w:left="0" w:leftChars="0" w:firstLine="0" w:firstLineChars="0"/>
                    <w:jc w:val="center"/>
                    <w:rPr>
                      <w:color w:val="auto"/>
                    </w:rPr>
                  </w:pPr>
                  <w:r>
                    <w:rPr>
                      <w:rFonts w:hint="eastAsia"/>
                      <w:color w:val="auto"/>
                    </w:rPr>
                    <w:t>投资估算</w:t>
                  </w:r>
                </w:p>
              </w:tc>
              <w:tc>
                <w:tcPr>
                  <w:tcW w:w="472" w:type="pct"/>
                  <w:vAlign w:val="center"/>
                </w:tcPr>
                <w:p>
                  <w:pPr>
                    <w:pStyle w:val="2"/>
                    <w:spacing w:after="0"/>
                    <w:ind w:left="0" w:leftChars="0" w:firstLine="0" w:firstLineChars="0"/>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restart"/>
                  <w:vAlign w:val="center"/>
                </w:tcPr>
                <w:p>
                  <w:pPr>
                    <w:pStyle w:val="2"/>
                    <w:spacing w:after="0"/>
                    <w:ind w:left="0" w:leftChars="0" w:firstLine="0" w:firstLineChars="0"/>
                    <w:jc w:val="center"/>
                    <w:rPr>
                      <w:color w:val="auto"/>
                    </w:rPr>
                  </w:pPr>
                  <w:r>
                    <w:rPr>
                      <w:rFonts w:hint="eastAsia"/>
                      <w:color w:val="auto"/>
                    </w:rPr>
                    <w:t>废气</w:t>
                  </w:r>
                </w:p>
              </w:tc>
              <w:tc>
                <w:tcPr>
                  <w:tcW w:w="844" w:type="pct"/>
                  <w:vMerge w:val="restart"/>
                  <w:vAlign w:val="center"/>
                </w:tcPr>
                <w:p>
                  <w:pPr>
                    <w:pStyle w:val="2"/>
                    <w:spacing w:after="0"/>
                    <w:ind w:left="0" w:leftChars="0" w:firstLine="0" w:firstLineChars="0"/>
                    <w:jc w:val="center"/>
                    <w:rPr>
                      <w:color w:val="auto"/>
                    </w:rPr>
                  </w:pPr>
                  <w:r>
                    <w:rPr>
                      <w:color w:val="auto"/>
                    </w:rPr>
                    <w:t>原料转运站</w:t>
                  </w:r>
                </w:p>
              </w:tc>
              <w:tc>
                <w:tcPr>
                  <w:tcW w:w="1164" w:type="pct"/>
                  <w:vAlign w:val="center"/>
                </w:tcPr>
                <w:p>
                  <w:pPr>
                    <w:pStyle w:val="2"/>
                    <w:spacing w:after="0"/>
                    <w:ind w:left="0" w:leftChars="0" w:firstLine="0" w:firstLineChars="0"/>
                    <w:jc w:val="center"/>
                    <w:rPr>
                      <w:color w:val="auto"/>
                    </w:rPr>
                  </w:pPr>
                  <w:r>
                    <w:rPr>
                      <w:rFonts w:hint="eastAsia"/>
                      <w:color w:val="auto"/>
                    </w:rPr>
                    <w:t>原料处理</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restart"/>
                  <w:vAlign w:val="center"/>
                </w:tcPr>
                <w:p>
                  <w:pPr>
                    <w:pStyle w:val="2"/>
                    <w:spacing w:after="0"/>
                    <w:ind w:left="0" w:leftChars="0" w:firstLine="0" w:firstLineChars="0"/>
                    <w:jc w:val="center"/>
                    <w:rPr>
                      <w:color w:val="auto"/>
                    </w:rPr>
                  </w:pPr>
                  <w:r>
                    <w:rPr>
                      <w:rFonts w:hint="eastAsia"/>
                      <w:color w:val="auto"/>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color w:val="auto"/>
                    </w:rPr>
                    <w:t>石油焦和针状焦投料/料仓/输送</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集尘罩+布袋除尘器，6套</w:t>
                  </w:r>
                </w:p>
              </w:tc>
              <w:tc>
                <w:tcPr>
                  <w:tcW w:w="445" w:type="pct"/>
                  <w:vAlign w:val="center"/>
                </w:tcPr>
                <w:p>
                  <w:pPr>
                    <w:pStyle w:val="2"/>
                    <w:spacing w:after="0"/>
                    <w:ind w:left="0" w:leftChars="0" w:firstLine="0" w:firstLineChars="0"/>
                    <w:jc w:val="center"/>
                    <w:rPr>
                      <w:color w:val="auto"/>
                    </w:rPr>
                  </w:pPr>
                  <w:r>
                    <w:rPr>
                      <w:rFonts w:hint="eastAsia"/>
                      <w:color w:val="auto"/>
                    </w:rPr>
                    <w:t>120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color w:val="auto"/>
                    </w:rPr>
                    <w:t>返回料处理系统</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集尘罩+布袋除尘器，2套</w:t>
                  </w:r>
                </w:p>
              </w:tc>
              <w:tc>
                <w:tcPr>
                  <w:tcW w:w="445" w:type="pct"/>
                  <w:vAlign w:val="center"/>
                </w:tcPr>
                <w:p>
                  <w:pPr>
                    <w:pStyle w:val="2"/>
                    <w:spacing w:after="0"/>
                    <w:ind w:left="0" w:leftChars="0" w:firstLine="0" w:firstLineChars="0"/>
                    <w:jc w:val="center"/>
                    <w:rPr>
                      <w:rFonts w:hint="eastAsia" w:eastAsia="宋体"/>
                      <w:color w:val="auto"/>
                      <w:lang w:eastAsia="zh-CN"/>
                    </w:rPr>
                  </w:pPr>
                  <w:r>
                    <w:rPr>
                      <w:rFonts w:hint="eastAsia"/>
                      <w:color w:val="auto"/>
                    </w:rPr>
                    <w:t>3</w:t>
                  </w:r>
                  <w:r>
                    <w:rPr>
                      <w:rFonts w:hint="eastAsia"/>
                      <w:color w:val="auto"/>
                      <w:lang w:val="en-US" w:eastAsia="zh-CN"/>
                    </w:rPr>
                    <w:t>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pStyle w:val="2"/>
                    <w:spacing w:after="0"/>
                    <w:ind w:left="0" w:leftChars="0" w:firstLine="0" w:firstLineChars="0"/>
                    <w:jc w:val="center"/>
                    <w:rPr>
                      <w:color w:val="auto"/>
                    </w:rPr>
                  </w:pPr>
                </w:p>
              </w:tc>
              <w:tc>
                <w:tcPr>
                  <w:tcW w:w="844" w:type="pct"/>
                  <w:vMerge w:val="restart"/>
                  <w:vAlign w:val="center"/>
                </w:tcPr>
                <w:p>
                  <w:pPr>
                    <w:pStyle w:val="2"/>
                    <w:spacing w:after="0"/>
                    <w:ind w:left="0" w:leftChars="0" w:firstLine="0" w:firstLineChars="0"/>
                    <w:jc w:val="center"/>
                    <w:rPr>
                      <w:color w:val="auto"/>
                    </w:rPr>
                  </w:pPr>
                  <w:r>
                    <w:rPr>
                      <w:color w:val="auto"/>
                    </w:rPr>
                    <w:t>中碎配料及混捏成型车间</w:t>
                  </w:r>
                </w:p>
              </w:tc>
              <w:tc>
                <w:tcPr>
                  <w:tcW w:w="1164" w:type="pct"/>
                  <w:vAlign w:val="center"/>
                </w:tcPr>
                <w:p>
                  <w:pPr>
                    <w:pStyle w:val="2"/>
                    <w:spacing w:after="0"/>
                    <w:ind w:left="0" w:leftChars="0" w:firstLine="0" w:firstLineChars="0"/>
                    <w:jc w:val="center"/>
                    <w:rPr>
                      <w:color w:val="auto"/>
                    </w:rPr>
                  </w:pPr>
                  <w:r>
                    <w:rPr>
                      <w:color w:val="auto"/>
                    </w:rPr>
                    <w:t>返回料投料/中碎筛分</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color w:val="auto"/>
                    </w:rPr>
                    <w:t>针状焦中碎筛分</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集尘罩+布袋除尘器，2套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color w:val="auto"/>
                    </w:rPr>
                    <w:t>石油焦中碎筛分</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磨粉系统</w:t>
                  </w:r>
                </w:p>
              </w:tc>
              <w:tc>
                <w:tcPr>
                  <w:tcW w:w="1657" w:type="pct"/>
                  <w:vAlign w:val="center"/>
                </w:tcPr>
                <w:p>
                  <w:pPr>
                    <w:pStyle w:val="2"/>
                    <w:spacing w:after="0"/>
                    <w:ind w:left="0" w:leftChars="0" w:firstLine="0" w:firstLineChars="0"/>
                    <w:jc w:val="center"/>
                    <w:rPr>
                      <w:rFonts w:hint="default" w:eastAsia="宋体"/>
                      <w:color w:val="auto"/>
                      <w:lang w:val="en-US" w:eastAsia="zh-CN"/>
                    </w:rPr>
                  </w:pPr>
                  <w:r>
                    <w:rPr>
                      <w:rFonts w:hint="eastAsia"/>
                      <w:color w:val="auto"/>
                    </w:rPr>
                    <w:t>布袋除尘器</w:t>
                  </w:r>
                </w:p>
              </w:tc>
              <w:tc>
                <w:tcPr>
                  <w:tcW w:w="445" w:type="pct"/>
                  <w:vAlign w:val="center"/>
                </w:tcPr>
                <w:p>
                  <w:pPr>
                    <w:pStyle w:val="2"/>
                    <w:spacing w:after="0"/>
                    <w:ind w:left="0" w:leftChars="0" w:firstLine="0" w:firstLineChars="0"/>
                    <w:jc w:val="center"/>
                    <w:rPr>
                      <w:rFonts w:hint="eastAsia" w:eastAsia="宋体"/>
                      <w:color w:val="auto"/>
                      <w:lang w:eastAsia="zh-CN"/>
                    </w:rPr>
                  </w:pPr>
                  <w:r>
                    <w:rPr>
                      <w:rFonts w:hint="eastAsia"/>
                      <w:color w:val="auto"/>
                      <w:lang w:val="en-US" w:eastAsia="zh-CN"/>
                    </w:rPr>
                    <w:t>5</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配料系统</w:t>
                  </w:r>
                </w:p>
              </w:tc>
              <w:tc>
                <w:tcPr>
                  <w:tcW w:w="1657" w:type="pct"/>
                  <w:vAlign w:val="center"/>
                </w:tcPr>
                <w:p>
                  <w:pPr>
                    <w:pStyle w:val="2"/>
                    <w:spacing w:after="0"/>
                    <w:ind w:left="0" w:leftChars="0" w:firstLine="0" w:firstLineChars="0"/>
                    <w:jc w:val="center"/>
                    <w:rPr>
                      <w:color w:val="auto"/>
                    </w:rPr>
                  </w:pPr>
                  <w:r>
                    <w:rPr>
                      <w:rFonts w:hint="eastAsia"/>
                      <w:color w:val="auto"/>
                    </w:rPr>
                    <w:t>布袋除尘器，2套</w:t>
                  </w:r>
                </w:p>
              </w:tc>
              <w:tc>
                <w:tcPr>
                  <w:tcW w:w="445" w:type="pct"/>
                  <w:vAlign w:val="center"/>
                </w:tcPr>
                <w:p>
                  <w:pPr>
                    <w:pStyle w:val="2"/>
                    <w:spacing w:after="0"/>
                    <w:ind w:left="0" w:leftChars="0" w:firstLine="0" w:firstLineChars="0"/>
                    <w:jc w:val="center"/>
                    <w:rPr>
                      <w:color w:val="auto"/>
                    </w:rPr>
                  </w:pPr>
                  <w:r>
                    <w:rPr>
                      <w:rFonts w:hint="eastAsia"/>
                      <w:color w:val="auto"/>
                    </w:rPr>
                    <w:t>15</w:t>
                  </w:r>
                </w:p>
              </w:tc>
              <w:tc>
                <w:tcPr>
                  <w:tcW w:w="472" w:type="pct"/>
                  <w:vMerge w:val="restart"/>
                  <w:vAlign w:val="center"/>
                </w:tcPr>
                <w:p>
                  <w:pPr>
                    <w:pStyle w:val="2"/>
                    <w:spacing w:after="0"/>
                    <w:ind w:left="0" w:leftChars="0" w:firstLine="0" w:firstLineChars="0"/>
                    <w:jc w:val="center"/>
                    <w:rPr>
                      <w:color w:val="auto"/>
                    </w:rPr>
                  </w:pPr>
                  <w:r>
                    <w:rPr>
                      <w:rFonts w:hint="eastAsia"/>
                      <w:color w:val="auto"/>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沥青储存，预热锅预热</w:t>
                  </w:r>
                </w:p>
              </w:tc>
              <w:tc>
                <w:tcPr>
                  <w:tcW w:w="1657" w:type="pct"/>
                  <w:vAlign w:val="center"/>
                </w:tcPr>
                <w:p>
                  <w:pPr>
                    <w:pStyle w:val="2"/>
                    <w:spacing w:after="0"/>
                    <w:ind w:left="0" w:leftChars="0" w:firstLine="0" w:firstLineChars="0"/>
                    <w:jc w:val="center"/>
                    <w:rPr>
                      <w:color w:val="auto"/>
                    </w:rPr>
                  </w:pPr>
                  <w:r>
                    <w:rPr>
                      <w:color w:val="auto"/>
                    </w:rPr>
                    <w:t>沥青储罐废气经电捕焦油器预处理，并入</w:t>
                  </w:r>
                  <w:r>
                    <w:rPr>
                      <w:rFonts w:hint="eastAsia"/>
                      <w:color w:val="auto"/>
                      <w:lang w:val="en-US" w:eastAsia="zh-CN"/>
                    </w:rPr>
                    <w:t>焦粉“</w:t>
                  </w:r>
                  <w:r>
                    <w:rPr>
                      <w:rFonts w:hint="eastAsia"/>
                      <w:color w:val="auto"/>
                    </w:rPr>
                    <w:t>黑法</w:t>
                  </w:r>
                  <w:r>
                    <w:rPr>
                      <w:rFonts w:hint="eastAsia"/>
                      <w:color w:val="auto"/>
                      <w:lang w:val="en-US" w:eastAsia="zh-CN"/>
                    </w:rPr>
                    <w:t>”</w:t>
                  </w:r>
                  <w:r>
                    <w:rPr>
                      <w:rFonts w:hint="eastAsia"/>
                      <w:color w:val="auto"/>
                    </w:rPr>
                    <w:t>吸附装置</w:t>
                  </w:r>
                </w:p>
              </w:tc>
              <w:tc>
                <w:tcPr>
                  <w:tcW w:w="445" w:type="pct"/>
                  <w:vAlign w:val="center"/>
                </w:tcPr>
                <w:p>
                  <w:pPr>
                    <w:pStyle w:val="2"/>
                    <w:spacing w:after="0"/>
                    <w:ind w:left="0" w:leftChars="0" w:firstLine="0" w:firstLineChars="0"/>
                    <w:jc w:val="center"/>
                    <w:rPr>
                      <w:color w:val="auto"/>
                    </w:rPr>
                  </w:pPr>
                  <w:r>
                    <w:rPr>
                      <w:rFonts w:hint="eastAsia"/>
                      <w:color w:val="auto"/>
                    </w:rPr>
                    <w:t>35</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混捏成型</w:t>
                  </w:r>
                </w:p>
              </w:tc>
              <w:tc>
                <w:tcPr>
                  <w:tcW w:w="1657" w:type="pct"/>
                  <w:vAlign w:val="center"/>
                </w:tcPr>
                <w:p>
                  <w:pPr>
                    <w:pStyle w:val="2"/>
                    <w:spacing w:after="0"/>
                    <w:ind w:left="0" w:leftChars="0" w:firstLine="0" w:firstLineChars="0"/>
                    <w:jc w:val="center"/>
                    <w:rPr>
                      <w:color w:val="auto"/>
                    </w:rPr>
                  </w:pPr>
                  <w:r>
                    <w:rPr>
                      <w:rFonts w:hint="eastAsia"/>
                      <w:color w:val="auto"/>
                      <w:lang w:val="en-US" w:eastAsia="zh-CN"/>
                    </w:rPr>
                    <w:t>焦粉“</w:t>
                  </w:r>
                  <w:r>
                    <w:rPr>
                      <w:rFonts w:hint="eastAsia"/>
                      <w:color w:val="auto"/>
                    </w:rPr>
                    <w:t>黑法</w:t>
                  </w:r>
                  <w:r>
                    <w:rPr>
                      <w:rFonts w:hint="eastAsia"/>
                      <w:color w:val="auto"/>
                      <w:lang w:val="en-US" w:eastAsia="zh-CN"/>
                    </w:rPr>
                    <w:t>”</w:t>
                  </w:r>
                  <w:r>
                    <w:rPr>
                      <w:rFonts w:hint="eastAsia"/>
                      <w:color w:val="auto"/>
                    </w:rPr>
                    <w:t>吸附</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Align w:val="center"/>
                </w:tcPr>
                <w:p>
                  <w:pPr>
                    <w:pStyle w:val="2"/>
                    <w:spacing w:after="0"/>
                    <w:ind w:left="0" w:leftChars="0" w:firstLine="0" w:firstLineChars="0"/>
                    <w:jc w:val="center"/>
                    <w:rPr>
                      <w:color w:val="auto"/>
                    </w:rPr>
                  </w:pPr>
                  <w:r>
                    <w:rPr>
                      <w:rFonts w:hint="eastAsia"/>
                      <w:color w:val="auto"/>
                    </w:rPr>
                    <w:t>导热油炉</w:t>
                  </w:r>
                </w:p>
              </w:tc>
              <w:tc>
                <w:tcPr>
                  <w:tcW w:w="1164" w:type="pct"/>
                  <w:vAlign w:val="center"/>
                </w:tcPr>
                <w:p>
                  <w:pPr>
                    <w:pStyle w:val="2"/>
                    <w:spacing w:after="0"/>
                    <w:ind w:left="0" w:leftChars="0" w:firstLine="0" w:firstLineChars="0"/>
                    <w:jc w:val="center"/>
                    <w:rPr>
                      <w:color w:val="auto"/>
                    </w:rPr>
                  </w:pPr>
                  <w:r>
                    <w:rPr>
                      <w:rFonts w:hint="eastAsia"/>
                      <w:color w:val="auto"/>
                    </w:rPr>
                    <w:t>燃烧烟气氮氧化物控制</w:t>
                  </w:r>
                </w:p>
              </w:tc>
              <w:tc>
                <w:tcPr>
                  <w:tcW w:w="1657" w:type="pct"/>
                  <w:vAlign w:val="center"/>
                </w:tcPr>
                <w:p>
                  <w:pPr>
                    <w:pStyle w:val="2"/>
                    <w:spacing w:after="0"/>
                    <w:ind w:left="0" w:leftChars="0" w:firstLine="0" w:firstLineChars="0"/>
                    <w:jc w:val="center"/>
                    <w:rPr>
                      <w:color w:val="auto"/>
                    </w:rPr>
                  </w:pPr>
                  <w:r>
                    <w:rPr>
                      <w:rFonts w:hint="eastAsia"/>
                      <w:color w:val="auto"/>
                    </w:rPr>
                    <w:t>低氮燃烧</w:t>
                  </w:r>
                </w:p>
              </w:tc>
              <w:tc>
                <w:tcPr>
                  <w:tcW w:w="445" w:type="pct"/>
                  <w:vAlign w:val="center"/>
                </w:tcPr>
                <w:p>
                  <w:pPr>
                    <w:pStyle w:val="2"/>
                    <w:spacing w:after="0"/>
                    <w:ind w:left="0" w:leftChars="0" w:firstLine="0" w:firstLineChars="0"/>
                    <w:jc w:val="center"/>
                    <w:rPr>
                      <w:color w:val="auto"/>
                    </w:rPr>
                  </w:pPr>
                  <w:r>
                    <w:rPr>
                      <w:rFonts w:hint="eastAsia"/>
                      <w:color w:val="auto"/>
                    </w:rPr>
                    <w:t>10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restart"/>
                  <w:vAlign w:val="center"/>
                </w:tcPr>
                <w:p>
                  <w:pPr>
                    <w:pStyle w:val="2"/>
                    <w:spacing w:after="0"/>
                    <w:ind w:left="0" w:leftChars="0" w:firstLine="0" w:firstLineChars="0"/>
                    <w:jc w:val="center"/>
                    <w:rPr>
                      <w:color w:val="auto"/>
                    </w:rPr>
                  </w:pPr>
                  <w:r>
                    <w:rPr>
                      <w:rFonts w:hint="eastAsia"/>
                      <w:color w:val="auto"/>
                    </w:rPr>
                    <w:t>石墨化车间</w:t>
                  </w:r>
                </w:p>
              </w:tc>
              <w:tc>
                <w:tcPr>
                  <w:tcW w:w="1164" w:type="pct"/>
                  <w:vAlign w:val="center"/>
                </w:tcPr>
                <w:p>
                  <w:pPr>
                    <w:pStyle w:val="2"/>
                    <w:spacing w:after="0"/>
                    <w:ind w:left="0" w:leftChars="0" w:firstLine="0" w:firstLineChars="0"/>
                    <w:jc w:val="center"/>
                    <w:rPr>
                      <w:color w:val="auto"/>
                    </w:rPr>
                  </w:pPr>
                  <w:r>
                    <w:rPr>
                      <w:rFonts w:hint="eastAsia"/>
                      <w:color w:val="auto"/>
                    </w:rPr>
                    <w:t>冶金焦筛分处理</w:t>
                  </w:r>
                </w:p>
              </w:tc>
              <w:tc>
                <w:tcPr>
                  <w:tcW w:w="1657" w:type="pct"/>
                  <w:vAlign w:val="center"/>
                </w:tcPr>
                <w:p>
                  <w:pPr>
                    <w:pStyle w:val="2"/>
                    <w:spacing w:after="0"/>
                    <w:ind w:left="0" w:leftChars="0" w:firstLine="0" w:firstLineChars="0"/>
                    <w:jc w:val="center"/>
                    <w:rPr>
                      <w:color w:val="auto"/>
                    </w:rPr>
                  </w:pPr>
                  <w:r>
                    <w:rPr>
                      <w:rFonts w:hint="eastAsia"/>
                      <w:color w:val="auto"/>
                    </w:rPr>
                    <w:t>布袋除尘器，2套</w:t>
                  </w:r>
                </w:p>
              </w:tc>
              <w:tc>
                <w:tcPr>
                  <w:tcW w:w="445" w:type="pct"/>
                  <w:vAlign w:val="center"/>
                </w:tcPr>
                <w:p>
                  <w:pPr>
                    <w:pStyle w:val="2"/>
                    <w:spacing w:after="0"/>
                    <w:ind w:left="0" w:leftChars="0" w:firstLine="0" w:firstLineChars="0"/>
                    <w:jc w:val="center"/>
                    <w:rPr>
                      <w:color w:val="auto"/>
                    </w:rPr>
                  </w:pPr>
                  <w:r>
                    <w:rPr>
                      <w:rFonts w:hint="eastAsia"/>
                      <w:color w:val="auto"/>
                    </w:rPr>
                    <w:t>40</w:t>
                  </w:r>
                </w:p>
              </w:tc>
              <w:tc>
                <w:tcPr>
                  <w:tcW w:w="472" w:type="pct"/>
                  <w:vMerge w:val="restart"/>
                  <w:vAlign w:val="center"/>
                </w:tcPr>
                <w:p>
                  <w:pPr>
                    <w:pStyle w:val="2"/>
                    <w:spacing w:after="0"/>
                    <w:ind w:left="0" w:leftChars="0" w:firstLine="0" w:firstLineChars="0"/>
                    <w:jc w:val="center"/>
                    <w:rPr>
                      <w:color w:val="auto"/>
                    </w:rPr>
                  </w:pPr>
                  <w:r>
                    <w:rPr>
                      <w:rFonts w:hint="eastAsia"/>
                      <w:color w:val="auto"/>
                    </w:rPr>
                    <w:t>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石墨化烟气</w:t>
                  </w:r>
                </w:p>
              </w:tc>
              <w:tc>
                <w:tcPr>
                  <w:tcW w:w="1657" w:type="pct"/>
                  <w:vAlign w:val="center"/>
                </w:tcPr>
                <w:p>
                  <w:pPr>
                    <w:pStyle w:val="2"/>
                    <w:spacing w:after="0"/>
                    <w:ind w:left="0" w:leftChars="0" w:firstLine="0" w:firstLineChars="0"/>
                    <w:jc w:val="center"/>
                    <w:rPr>
                      <w:color w:val="auto"/>
                    </w:rPr>
                  </w:pPr>
                  <w:r>
                    <w:rPr>
                      <w:rFonts w:hint="eastAsia"/>
                      <w:color w:val="auto"/>
                    </w:rPr>
                    <w:t>石灰-石膏法脱硫+二级除雾</w:t>
                  </w:r>
                </w:p>
              </w:tc>
              <w:tc>
                <w:tcPr>
                  <w:tcW w:w="445" w:type="pct"/>
                  <w:vAlign w:val="center"/>
                </w:tcPr>
                <w:p>
                  <w:pPr>
                    <w:pStyle w:val="2"/>
                    <w:spacing w:after="0"/>
                    <w:ind w:left="0" w:leftChars="0" w:firstLine="0" w:firstLineChars="0"/>
                    <w:jc w:val="center"/>
                    <w:rPr>
                      <w:color w:val="auto"/>
                    </w:rPr>
                  </w:pPr>
                  <w:r>
                    <w:rPr>
                      <w:rFonts w:hint="eastAsia"/>
                      <w:color w:val="auto"/>
                    </w:rPr>
                    <w:t>250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端面加工</w:t>
                  </w:r>
                </w:p>
              </w:tc>
              <w:tc>
                <w:tcPr>
                  <w:tcW w:w="1657" w:type="pct"/>
                  <w:vAlign w:val="center"/>
                </w:tcPr>
                <w:p>
                  <w:pPr>
                    <w:pStyle w:val="2"/>
                    <w:spacing w:after="0"/>
                    <w:ind w:left="0" w:leftChars="0" w:firstLine="0" w:firstLineChars="0"/>
                    <w:jc w:val="center"/>
                    <w:rPr>
                      <w:color w:val="auto"/>
                    </w:rPr>
                  </w:pPr>
                  <w:r>
                    <w:rPr>
                      <w:rFonts w:hint="eastAsia"/>
                      <w:color w:val="auto"/>
                    </w:rPr>
                    <w:t>布袋除尘器，2套</w:t>
                  </w:r>
                </w:p>
              </w:tc>
              <w:tc>
                <w:tcPr>
                  <w:tcW w:w="445" w:type="pct"/>
                  <w:vAlign w:val="center"/>
                </w:tcPr>
                <w:p>
                  <w:pPr>
                    <w:pStyle w:val="2"/>
                    <w:spacing w:after="0"/>
                    <w:ind w:left="0" w:leftChars="0" w:firstLine="0" w:firstLineChars="0"/>
                    <w:jc w:val="center"/>
                    <w:rPr>
                      <w:color w:val="auto"/>
                    </w:rPr>
                  </w:pPr>
                  <w:r>
                    <w:rPr>
                      <w:rFonts w:hint="eastAsia"/>
                      <w:color w:val="auto"/>
                    </w:rPr>
                    <w:t>40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restart"/>
                  <w:vAlign w:val="center"/>
                </w:tcPr>
                <w:p>
                  <w:pPr>
                    <w:pStyle w:val="2"/>
                    <w:spacing w:after="0"/>
                    <w:ind w:left="0" w:leftChars="0" w:firstLine="0" w:firstLineChars="0"/>
                    <w:jc w:val="center"/>
                    <w:rPr>
                      <w:color w:val="auto"/>
                    </w:rPr>
                  </w:pPr>
                  <w:r>
                    <w:rPr>
                      <w:rFonts w:hint="eastAsia"/>
                      <w:color w:val="auto"/>
                    </w:rPr>
                    <w:t>机加工车间</w:t>
                  </w:r>
                </w:p>
              </w:tc>
              <w:tc>
                <w:tcPr>
                  <w:tcW w:w="1164" w:type="pct"/>
                  <w:vAlign w:val="center"/>
                </w:tcPr>
                <w:p>
                  <w:pPr>
                    <w:pStyle w:val="2"/>
                    <w:spacing w:after="0"/>
                    <w:ind w:left="0" w:leftChars="0" w:firstLine="0" w:firstLineChars="0"/>
                    <w:jc w:val="center"/>
                    <w:rPr>
                      <w:color w:val="auto"/>
                    </w:rPr>
                  </w:pPr>
                  <w:r>
                    <w:rPr>
                      <w:rFonts w:hint="eastAsia"/>
                      <w:color w:val="auto"/>
                    </w:rPr>
                    <w:t>机加工序输送</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restart"/>
                  <w:vAlign w:val="center"/>
                </w:tcPr>
                <w:p>
                  <w:pPr>
                    <w:pStyle w:val="2"/>
                    <w:spacing w:after="0"/>
                    <w:ind w:left="0" w:leftChars="0" w:firstLine="0" w:firstLineChars="0"/>
                    <w:jc w:val="center"/>
                    <w:rPr>
                      <w:color w:val="auto"/>
                    </w:rPr>
                  </w:pPr>
                  <w:r>
                    <w:rPr>
                      <w:rFonts w:hint="eastAsia"/>
                      <w:color w:val="auto"/>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本体机加</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接头机加</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Merge w:val="continue"/>
                  <w:vAlign w:val="center"/>
                </w:tcPr>
                <w:p>
                  <w:pPr>
                    <w:pStyle w:val="2"/>
                    <w:spacing w:after="0"/>
                    <w:ind w:left="0" w:leftChars="0" w:firstLine="0" w:firstLineChars="0"/>
                    <w:jc w:val="center"/>
                    <w:rPr>
                      <w:color w:val="auto"/>
                    </w:rPr>
                  </w:pPr>
                </w:p>
              </w:tc>
              <w:tc>
                <w:tcPr>
                  <w:tcW w:w="1164" w:type="pct"/>
                  <w:vAlign w:val="center"/>
                </w:tcPr>
                <w:p>
                  <w:pPr>
                    <w:pStyle w:val="2"/>
                    <w:spacing w:after="0"/>
                    <w:ind w:left="0" w:leftChars="0" w:firstLine="0" w:firstLineChars="0"/>
                    <w:jc w:val="center"/>
                    <w:rPr>
                      <w:color w:val="auto"/>
                    </w:rPr>
                  </w:pPr>
                  <w:r>
                    <w:rPr>
                      <w:rFonts w:hint="eastAsia"/>
                      <w:color w:val="auto"/>
                    </w:rPr>
                    <w:t>机加工化验</w:t>
                  </w:r>
                </w:p>
              </w:tc>
              <w:tc>
                <w:tcPr>
                  <w:tcW w:w="1657" w:type="pct"/>
                  <w:vAlign w:val="center"/>
                </w:tcPr>
                <w:p>
                  <w:pPr>
                    <w:pStyle w:val="2"/>
                    <w:spacing w:after="0"/>
                    <w:ind w:left="0" w:leftChars="0" w:firstLine="0" w:firstLineChars="0"/>
                    <w:jc w:val="center"/>
                    <w:rPr>
                      <w:color w:val="auto"/>
                    </w:rPr>
                  </w:pPr>
                  <w:r>
                    <w:rPr>
                      <w:rFonts w:hint="eastAsia"/>
                      <w:color w:val="auto"/>
                    </w:rPr>
                    <w:t>集尘罩+布袋除尘器，1套</w:t>
                  </w:r>
                </w:p>
              </w:tc>
              <w:tc>
                <w:tcPr>
                  <w:tcW w:w="445" w:type="pct"/>
                  <w:vAlign w:val="center"/>
                </w:tcPr>
                <w:p>
                  <w:pPr>
                    <w:pStyle w:val="2"/>
                    <w:spacing w:after="0"/>
                    <w:ind w:left="0" w:leftChars="0" w:firstLine="0" w:firstLineChars="0"/>
                    <w:jc w:val="center"/>
                    <w:rPr>
                      <w:color w:val="auto"/>
                    </w:rPr>
                  </w:pPr>
                  <w:r>
                    <w:rPr>
                      <w:rFonts w:hint="eastAsia"/>
                      <w:color w:val="auto"/>
                    </w:rPr>
                    <w:t>12</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416" w:type="pct"/>
                  <w:vMerge w:val="restart"/>
                  <w:vAlign w:val="center"/>
                </w:tcPr>
                <w:p>
                  <w:pPr>
                    <w:pStyle w:val="2"/>
                    <w:spacing w:after="0"/>
                    <w:ind w:left="0" w:leftChars="0" w:firstLine="0" w:firstLineChars="0"/>
                    <w:jc w:val="center"/>
                    <w:rPr>
                      <w:color w:val="auto"/>
                    </w:rPr>
                  </w:pPr>
                  <w:r>
                    <w:rPr>
                      <w:rFonts w:hint="eastAsia"/>
                      <w:color w:val="auto"/>
                    </w:rPr>
                    <w:t>废水</w:t>
                  </w:r>
                </w:p>
              </w:tc>
              <w:tc>
                <w:tcPr>
                  <w:tcW w:w="844" w:type="pct"/>
                  <w:vAlign w:val="center"/>
                </w:tcPr>
                <w:p>
                  <w:pPr>
                    <w:pStyle w:val="2"/>
                    <w:spacing w:after="0"/>
                    <w:ind w:left="0" w:leftChars="0" w:firstLine="0" w:firstLineChars="0"/>
                    <w:jc w:val="center"/>
                    <w:rPr>
                      <w:color w:val="auto"/>
                    </w:rPr>
                  </w:pPr>
                  <w:r>
                    <w:rPr>
                      <w:rFonts w:hint="eastAsia"/>
                      <w:color w:val="auto"/>
                    </w:rPr>
                    <w:t>成型车间</w:t>
                  </w:r>
                </w:p>
              </w:tc>
              <w:tc>
                <w:tcPr>
                  <w:tcW w:w="1164" w:type="pct"/>
                  <w:vAlign w:val="center"/>
                </w:tcPr>
                <w:p>
                  <w:pPr>
                    <w:pStyle w:val="2"/>
                    <w:spacing w:after="0"/>
                    <w:ind w:left="0" w:leftChars="0" w:firstLine="0" w:firstLineChars="0"/>
                    <w:jc w:val="center"/>
                    <w:rPr>
                      <w:color w:val="auto"/>
                    </w:rPr>
                  </w:pPr>
                  <w:r>
                    <w:rPr>
                      <w:rFonts w:hint="eastAsia"/>
                      <w:color w:val="auto"/>
                    </w:rPr>
                    <w:t>炭块冷却水</w:t>
                  </w:r>
                </w:p>
              </w:tc>
              <w:tc>
                <w:tcPr>
                  <w:tcW w:w="1657" w:type="pct"/>
                  <w:vAlign w:val="center"/>
                </w:tcPr>
                <w:p>
                  <w:pPr>
                    <w:pStyle w:val="2"/>
                    <w:spacing w:after="0"/>
                    <w:ind w:left="0" w:leftChars="0" w:firstLine="0" w:firstLineChars="0"/>
                    <w:jc w:val="center"/>
                    <w:rPr>
                      <w:color w:val="auto"/>
                    </w:rPr>
                  </w:pPr>
                  <w:r>
                    <w:rPr>
                      <w:rFonts w:hint="eastAsia"/>
                      <w:color w:val="auto"/>
                    </w:rPr>
                    <w:t>隔油沉淀池</w:t>
                  </w:r>
                </w:p>
              </w:tc>
              <w:tc>
                <w:tcPr>
                  <w:tcW w:w="445" w:type="pct"/>
                  <w:vAlign w:val="center"/>
                </w:tcPr>
                <w:p>
                  <w:pPr>
                    <w:pStyle w:val="2"/>
                    <w:spacing w:after="0"/>
                    <w:ind w:left="0" w:leftChars="0" w:firstLine="0" w:firstLineChars="0"/>
                    <w:jc w:val="center"/>
                    <w:rPr>
                      <w:color w:val="auto"/>
                    </w:rPr>
                  </w:pPr>
                  <w:r>
                    <w:rPr>
                      <w:rFonts w:hint="eastAsia"/>
                      <w:color w:val="auto"/>
                    </w:rPr>
                    <w:t>20</w:t>
                  </w:r>
                </w:p>
              </w:tc>
              <w:tc>
                <w:tcPr>
                  <w:tcW w:w="472" w:type="pct"/>
                  <w:vAlign w:val="center"/>
                </w:tcPr>
                <w:p>
                  <w:pPr>
                    <w:pStyle w:val="2"/>
                    <w:spacing w:after="0"/>
                    <w:ind w:left="0" w:leftChars="0" w:firstLine="0" w:firstLineChars="0"/>
                    <w:jc w:val="center"/>
                    <w:rPr>
                      <w:color w:val="auto"/>
                    </w:rPr>
                  </w:pPr>
                  <w:r>
                    <w:rPr>
                      <w:rFonts w:hint="eastAsia"/>
                      <w:color w:val="auto"/>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trPr>
              <w:tc>
                <w:tcPr>
                  <w:tcW w:w="416" w:type="pct"/>
                  <w:vMerge w:val="continue"/>
                  <w:vAlign w:val="center"/>
                </w:tcPr>
                <w:p>
                  <w:pPr>
                    <w:pStyle w:val="2"/>
                    <w:spacing w:after="0"/>
                    <w:ind w:left="0" w:leftChars="0" w:firstLine="0" w:firstLineChars="0"/>
                    <w:jc w:val="center"/>
                    <w:rPr>
                      <w:rFonts w:hint="eastAsia"/>
                      <w:color w:val="auto"/>
                    </w:rPr>
                  </w:pPr>
                </w:p>
              </w:tc>
              <w:tc>
                <w:tcPr>
                  <w:tcW w:w="844" w:type="pct"/>
                  <w:vAlign w:val="center"/>
                </w:tcPr>
                <w:p>
                  <w:pPr>
                    <w:pStyle w:val="2"/>
                    <w:spacing w:after="0"/>
                    <w:ind w:left="0" w:leftChars="0" w:firstLine="0" w:firstLineChars="0"/>
                    <w:jc w:val="center"/>
                    <w:rPr>
                      <w:rFonts w:hint="default" w:eastAsia="宋体"/>
                      <w:color w:val="auto"/>
                      <w:lang w:val="en-US" w:eastAsia="zh-CN"/>
                    </w:rPr>
                  </w:pPr>
                  <w:r>
                    <w:rPr>
                      <w:rFonts w:hint="eastAsia"/>
                      <w:color w:val="auto"/>
                      <w:lang w:val="en-US" w:eastAsia="zh-CN"/>
                    </w:rPr>
                    <w:t>职工生活</w:t>
                  </w:r>
                </w:p>
              </w:tc>
              <w:tc>
                <w:tcPr>
                  <w:tcW w:w="1164" w:type="pct"/>
                  <w:vAlign w:val="center"/>
                </w:tcPr>
                <w:p>
                  <w:pPr>
                    <w:pStyle w:val="2"/>
                    <w:spacing w:after="0"/>
                    <w:ind w:left="0" w:leftChars="0" w:firstLine="0" w:firstLineChars="0"/>
                    <w:jc w:val="center"/>
                    <w:rPr>
                      <w:rFonts w:hint="default" w:eastAsia="宋体"/>
                      <w:color w:val="auto"/>
                      <w:lang w:val="en-US" w:eastAsia="zh-CN"/>
                    </w:rPr>
                  </w:pPr>
                  <w:r>
                    <w:rPr>
                      <w:rFonts w:hint="eastAsia"/>
                      <w:color w:val="auto"/>
                      <w:lang w:val="en-US" w:eastAsia="zh-CN"/>
                    </w:rPr>
                    <w:t>生活污水</w:t>
                  </w:r>
                </w:p>
              </w:tc>
              <w:tc>
                <w:tcPr>
                  <w:tcW w:w="1657" w:type="pct"/>
                  <w:vAlign w:val="center"/>
                </w:tcPr>
                <w:p>
                  <w:pPr>
                    <w:pStyle w:val="2"/>
                    <w:spacing w:after="0"/>
                    <w:ind w:left="0" w:leftChars="0" w:firstLine="0" w:firstLineChars="0"/>
                    <w:jc w:val="center"/>
                    <w:rPr>
                      <w:rFonts w:hint="eastAsia" w:eastAsia="宋体"/>
                      <w:color w:val="auto"/>
                      <w:lang w:val="en-US" w:eastAsia="zh-CN"/>
                    </w:rPr>
                  </w:pPr>
                  <w:r>
                    <w:rPr>
                      <w:rFonts w:hint="eastAsia"/>
                      <w:color w:val="auto"/>
                      <w:lang w:val="en-US" w:eastAsia="zh-CN"/>
                    </w:rPr>
                    <w:t>化粪池</w:t>
                  </w:r>
                </w:p>
              </w:tc>
              <w:tc>
                <w:tcPr>
                  <w:tcW w:w="445" w:type="pct"/>
                  <w:vAlign w:val="center"/>
                </w:tcPr>
                <w:p>
                  <w:pPr>
                    <w:pStyle w:val="2"/>
                    <w:spacing w:after="0"/>
                    <w:ind w:left="0" w:leftChars="0" w:firstLine="0" w:firstLineChars="0"/>
                    <w:jc w:val="center"/>
                    <w:rPr>
                      <w:rFonts w:hint="eastAsia" w:eastAsia="宋体"/>
                      <w:color w:val="auto"/>
                      <w:lang w:val="en-US" w:eastAsia="zh-CN"/>
                    </w:rPr>
                  </w:pPr>
                  <w:r>
                    <w:rPr>
                      <w:rFonts w:hint="eastAsia"/>
                      <w:color w:val="auto"/>
                      <w:lang w:val="en-US" w:eastAsia="zh-CN"/>
                    </w:rPr>
                    <w:t>5</w:t>
                  </w:r>
                </w:p>
              </w:tc>
              <w:tc>
                <w:tcPr>
                  <w:tcW w:w="472" w:type="pct"/>
                  <w:vAlign w:val="center"/>
                </w:tcPr>
                <w:p>
                  <w:pPr>
                    <w:pStyle w:val="2"/>
                    <w:spacing w:after="0"/>
                    <w:ind w:left="0" w:leftChars="0" w:firstLine="0" w:firstLineChars="0"/>
                    <w:jc w:val="center"/>
                    <w:rPr>
                      <w:rFonts w:hint="eastAsia"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16" w:type="pct"/>
                  <w:vMerge w:val="continue"/>
                  <w:vAlign w:val="center"/>
                </w:tcPr>
                <w:p>
                  <w:pPr>
                    <w:pStyle w:val="2"/>
                    <w:spacing w:after="0"/>
                    <w:ind w:left="0" w:leftChars="0" w:firstLine="0" w:firstLineChars="0"/>
                    <w:jc w:val="center"/>
                    <w:rPr>
                      <w:color w:val="auto"/>
                    </w:rPr>
                  </w:pPr>
                </w:p>
              </w:tc>
              <w:tc>
                <w:tcPr>
                  <w:tcW w:w="844" w:type="pct"/>
                  <w:vAlign w:val="center"/>
                </w:tcPr>
                <w:p>
                  <w:pPr>
                    <w:pStyle w:val="2"/>
                    <w:spacing w:after="0"/>
                    <w:ind w:left="0" w:leftChars="0" w:firstLine="0" w:firstLineChars="0"/>
                    <w:jc w:val="center"/>
                    <w:rPr>
                      <w:color w:val="auto"/>
                    </w:rPr>
                  </w:pPr>
                  <w:r>
                    <w:rPr>
                      <w:rFonts w:hint="eastAsia"/>
                      <w:color w:val="auto"/>
                    </w:rPr>
                    <w:t>石墨化烟气脱硫系统</w:t>
                  </w:r>
                </w:p>
              </w:tc>
              <w:tc>
                <w:tcPr>
                  <w:tcW w:w="1164" w:type="pct"/>
                  <w:vAlign w:val="center"/>
                </w:tcPr>
                <w:p>
                  <w:pPr>
                    <w:pStyle w:val="2"/>
                    <w:spacing w:after="0"/>
                    <w:ind w:left="0" w:leftChars="0" w:firstLine="0" w:firstLineChars="0"/>
                    <w:jc w:val="center"/>
                    <w:rPr>
                      <w:color w:val="auto"/>
                    </w:rPr>
                  </w:pPr>
                  <w:r>
                    <w:rPr>
                      <w:rFonts w:hint="eastAsia"/>
                      <w:color w:val="auto"/>
                    </w:rPr>
                    <w:t>脱硫废水</w:t>
                  </w:r>
                </w:p>
              </w:tc>
              <w:tc>
                <w:tcPr>
                  <w:tcW w:w="1657" w:type="pct"/>
                  <w:vAlign w:val="center"/>
                </w:tcPr>
                <w:p>
                  <w:pPr>
                    <w:pStyle w:val="2"/>
                    <w:spacing w:after="0"/>
                    <w:ind w:left="0" w:leftChars="0" w:firstLine="0" w:firstLineChars="0"/>
                    <w:jc w:val="center"/>
                    <w:rPr>
                      <w:color w:val="auto"/>
                    </w:rPr>
                  </w:pPr>
                  <w:r>
                    <w:rPr>
                      <w:rFonts w:hint="eastAsia"/>
                      <w:color w:val="auto"/>
                    </w:rPr>
                    <w:t>pH</w:t>
                  </w:r>
                  <w:r>
                    <w:rPr>
                      <w:rFonts w:hint="eastAsia"/>
                      <w:color w:val="auto"/>
                      <w:lang w:val="en-US" w:eastAsia="zh-CN"/>
                    </w:rPr>
                    <w:t>调节</w:t>
                  </w:r>
                  <w:r>
                    <w:rPr>
                      <w:rFonts w:hint="eastAsia"/>
                      <w:color w:val="auto"/>
                    </w:rPr>
                    <w:t>+絮凝沉淀池</w:t>
                  </w:r>
                </w:p>
              </w:tc>
              <w:tc>
                <w:tcPr>
                  <w:tcW w:w="445" w:type="pct"/>
                  <w:vAlign w:val="center"/>
                </w:tcPr>
                <w:p>
                  <w:pPr>
                    <w:pStyle w:val="2"/>
                    <w:spacing w:after="0"/>
                    <w:ind w:left="0" w:leftChars="0" w:firstLine="0" w:firstLineChars="0"/>
                    <w:jc w:val="center"/>
                    <w:rPr>
                      <w:rFonts w:hint="default" w:eastAsia="宋体"/>
                      <w:color w:val="auto"/>
                      <w:lang w:val="en-US" w:eastAsia="zh-CN"/>
                    </w:rPr>
                  </w:pPr>
                  <w:r>
                    <w:rPr>
                      <w:rFonts w:hint="eastAsia"/>
                      <w:color w:val="auto"/>
                      <w:lang w:val="en-US" w:eastAsia="zh-CN"/>
                    </w:rPr>
                    <w:t>25</w:t>
                  </w:r>
                </w:p>
              </w:tc>
              <w:tc>
                <w:tcPr>
                  <w:tcW w:w="472" w:type="pct"/>
                  <w:vMerge w:val="restart"/>
                  <w:vAlign w:val="center"/>
                </w:tcPr>
                <w:p>
                  <w:pPr>
                    <w:pStyle w:val="2"/>
                    <w:spacing w:after="0"/>
                    <w:ind w:left="0" w:leftChars="0" w:firstLine="0" w:firstLineChars="0"/>
                    <w:jc w:val="center"/>
                    <w:rPr>
                      <w:color w:val="auto"/>
                    </w:rPr>
                  </w:pPr>
                  <w:r>
                    <w:rPr>
                      <w:rFonts w:hint="eastAsia"/>
                      <w:color w:val="auto"/>
                    </w:rPr>
                    <w:t>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416" w:type="pct"/>
                  <w:vMerge w:val="continue"/>
                  <w:vAlign w:val="center"/>
                </w:tcPr>
                <w:p>
                  <w:pPr>
                    <w:pStyle w:val="2"/>
                    <w:spacing w:after="0"/>
                    <w:ind w:left="0" w:leftChars="0" w:firstLine="0" w:firstLineChars="0"/>
                    <w:jc w:val="center"/>
                    <w:rPr>
                      <w:color w:val="auto"/>
                    </w:rPr>
                  </w:pPr>
                </w:p>
              </w:tc>
              <w:tc>
                <w:tcPr>
                  <w:tcW w:w="844" w:type="pct"/>
                  <w:vAlign w:val="center"/>
                </w:tcPr>
                <w:p>
                  <w:pPr>
                    <w:pStyle w:val="2"/>
                    <w:spacing w:after="0"/>
                    <w:ind w:left="0" w:leftChars="0" w:firstLine="0" w:firstLineChars="0"/>
                    <w:jc w:val="center"/>
                    <w:rPr>
                      <w:color w:val="auto"/>
                    </w:rPr>
                  </w:pPr>
                  <w:r>
                    <w:rPr>
                      <w:rFonts w:hint="eastAsia"/>
                      <w:color w:val="auto"/>
                    </w:rPr>
                    <w:t>初期雨水</w:t>
                  </w:r>
                </w:p>
              </w:tc>
              <w:tc>
                <w:tcPr>
                  <w:tcW w:w="1164" w:type="pct"/>
                  <w:vAlign w:val="center"/>
                </w:tcPr>
                <w:p>
                  <w:pPr>
                    <w:pStyle w:val="2"/>
                    <w:spacing w:after="0"/>
                    <w:ind w:left="0" w:leftChars="0" w:firstLine="0" w:firstLineChars="0"/>
                    <w:jc w:val="center"/>
                    <w:rPr>
                      <w:color w:val="auto"/>
                    </w:rPr>
                  </w:pPr>
                  <w:r>
                    <w:rPr>
                      <w:rFonts w:hint="eastAsia"/>
                      <w:color w:val="auto"/>
                    </w:rPr>
                    <w:t>初期雨水</w:t>
                  </w:r>
                </w:p>
              </w:tc>
              <w:tc>
                <w:tcPr>
                  <w:tcW w:w="1657" w:type="pct"/>
                  <w:vAlign w:val="center"/>
                </w:tcPr>
                <w:p>
                  <w:pPr>
                    <w:pStyle w:val="2"/>
                    <w:spacing w:after="0"/>
                    <w:ind w:left="0" w:leftChars="0" w:firstLine="0" w:firstLineChars="0"/>
                    <w:jc w:val="center"/>
                    <w:rPr>
                      <w:color w:val="auto"/>
                    </w:rPr>
                  </w:pPr>
                  <w:r>
                    <w:rPr>
                      <w:rFonts w:hint="eastAsia"/>
                      <w:color w:val="auto"/>
                    </w:rPr>
                    <w:t>865m</w:t>
                  </w:r>
                  <w:r>
                    <w:rPr>
                      <w:rFonts w:hint="eastAsia"/>
                      <w:color w:val="auto"/>
                      <w:vertAlign w:val="superscript"/>
                    </w:rPr>
                    <w:t>3</w:t>
                  </w:r>
                  <w:r>
                    <w:rPr>
                      <w:rFonts w:hint="eastAsia"/>
                      <w:color w:val="auto"/>
                    </w:rPr>
                    <w:t>初期雨水收集池</w:t>
                  </w:r>
                </w:p>
              </w:tc>
              <w:tc>
                <w:tcPr>
                  <w:tcW w:w="445" w:type="pct"/>
                  <w:vAlign w:val="center"/>
                </w:tcPr>
                <w:p>
                  <w:pPr>
                    <w:pStyle w:val="2"/>
                    <w:spacing w:after="0"/>
                    <w:ind w:left="0" w:leftChars="0" w:firstLine="0" w:firstLineChars="0"/>
                    <w:jc w:val="center"/>
                    <w:rPr>
                      <w:color w:val="auto"/>
                    </w:rPr>
                  </w:pPr>
                  <w:r>
                    <w:rPr>
                      <w:rFonts w:hint="eastAsia"/>
                      <w:color w:val="auto"/>
                    </w:rPr>
                    <w:t>25</w:t>
                  </w:r>
                </w:p>
              </w:tc>
              <w:tc>
                <w:tcPr>
                  <w:tcW w:w="472" w:type="pct"/>
                  <w:vMerge w:val="continue"/>
                  <w:vAlign w:val="center"/>
                </w:tcPr>
                <w:p>
                  <w:pPr>
                    <w:pStyle w:val="2"/>
                    <w:spacing w:after="0"/>
                    <w:ind w:left="0" w:leftChars="0"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vAlign w:val="center"/>
                </w:tcPr>
                <w:p>
                  <w:pPr>
                    <w:pStyle w:val="2"/>
                    <w:spacing w:after="0"/>
                    <w:ind w:left="0" w:leftChars="0" w:firstLine="0" w:firstLineChars="0"/>
                    <w:jc w:val="center"/>
                    <w:rPr>
                      <w:color w:val="auto"/>
                    </w:rPr>
                  </w:pPr>
                  <w:r>
                    <w:rPr>
                      <w:rFonts w:hint="eastAsia"/>
                      <w:color w:val="auto"/>
                    </w:rPr>
                    <w:t>噪声</w:t>
                  </w:r>
                </w:p>
              </w:tc>
              <w:tc>
                <w:tcPr>
                  <w:tcW w:w="2009" w:type="pct"/>
                  <w:gridSpan w:val="2"/>
                  <w:vAlign w:val="center"/>
                </w:tcPr>
                <w:p>
                  <w:pPr>
                    <w:pStyle w:val="2"/>
                    <w:spacing w:after="0"/>
                    <w:ind w:left="0" w:leftChars="0" w:firstLine="0" w:firstLineChars="0"/>
                    <w:jc w:val="center"/>
                    <w:rPr>
                      <w:color w:val="auto"/>
                    </w:rPr>
                  </w:pPr>
                  <w:r>
                    <w:rPr>
                      <w:rFonts w:hint="eastAsia"/>
                      <w:color w:val="auto"/>
                    </w:rPr>
                    <w:t>各车间产噪设备</w:t>
                  </w:r>
                </w:p>
              </w:tc>
              <w:tc>
                <w:tcPr>
                  <w:tcW w:w="1657" w:type="pct"/>
                  <w:vAlign w:val="center"/>
                </w:tcPr>
                <w:p>
                  <w:pPr>
                    <w:pStyle w:val="2"/>
                    <w:spacing w:after="0"/>
                    <w:ind w:left="0" w:leftChars="0" w:firstLine="0" w:firstLineChars="0"/>
                    <w:jc w:val="center"/>
                    <w:rPr>
                      <w:color w:val="auto"/>
                    </w:rPr>
                  </w:pPr>
                  <w:r>
                    <w:rPr>
                      <w:rFonts w:hint="eastAsia"/>
                      <w:color w:val="auto"/>
                    </w:rPr>
                    <w:t>车间内设置，隔声，减震，风机加装消声器等</w:t>
                  </w:r>
                </w:p>
              </w:tc>
              <w:tc>
                <w:tcPr>
                  <w:tcW w:w="445" w:type="pct"/>
                  <w:vAlign w:val="center"/>
                </w:tcPr>
                <w:p>
                  <w:pPr>
                    <w:pStyle w:val="2"/>
                    <w:spacing w:after="0"/>
                    <w:ind w:left="0" w:leftChars="0" w:firstLine="0" w:firstLineChars="0"/>
                    <w:jc w:val="center"/>
                    <w:rPr>
                      <w:color w:val="auto"/>
                    </w:rPr>
                  </w:pPr>
                  <w:r>
                    <w:rPr>
                      <w:rFonts w:hint="eastAsia"/>
                      <w:color w:val="auto"/>
                    </w:rPr>
                    <w:t>10</w:t>
                  </w:r>
                </w:p>
              </w:tc>
              <w:tc>
                <w:tcPr>
                  <w:tcW w:w="472" w:type="pct"/>
                  <w:vAlign w:val="center"/>
                </w:tcPr>
                <w:p>
                  <w:pPr>
                    <w:pStyle w:val="2"/>
                    <w:spacing w:after="0"/>
                    <w:ind w:left="0" w:leftChars="0" w:firstLine="0" w:firstLineChars="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vAlign w:val="center"/>
                </w:tcPr>
                <w:p>
                  <w:pPr>
                    <w:pStyle w:val="2"/>
                    <w:spacing w:after="0"/>
                    <w:ind w:left="0" w:leftChars="0" w:firstLine="0" w:firstLineChars="0"/>
                    <w:jc w:val="center"/>
                    <w:rPr>
                      <w:color w:val="auto"/>
                    </w:rPr>
                  </w:pPr>
                  <w:r>
                    <w:rPr>
                      <w:rFonts w:hint="eastAsia"/>
                      <w:color w:val="auto"/>
                    </w:rPr>
                    <w:t>固废</w:t>
                  </w:r>
                </w:p>
              </w:tc>
              <w:tc>
                <w:tcPr>
                  <w:tcW w:w="2009" w:type="pct"/>
                  <w:gridSpan w:val="2"/>
                  <w:vAlign w:val="center"/>
                </w:tcPr>
                <w:p>
                  <w:pPr>
                    <w:jc w:val="center"/>
                    <w:rPr>
                      <w:color w:val="auto"/>
                    </w:rPr>
                  </w:pPr>
                  <w:r>
                    <w:rPr>
                      <w:rFonts w:hint="eastAsia"/>
                      <w:color w:val="auto"/>
                    </w:rPr>
                    <w:t>危险废物</w:t>
                  </w:r>
                </w:p>
              </w:tc>
              <w:tc>
                <w:tcPr>
                  <w:tcW w:w="1657" w:type="pct"/>
                  <w:vAlign w:val="center"/>
                </w:tcPr>
                <w:p>
                  <w:pPr>
                    <w:pStyle w:val="2"/>
                    <w:spacing w:after="0"/>
                    <w:ind w:left="0" w:leftChars="0" w:firstLine="0" w:firstLineChars="0"/>
                    <w:jc w:val="center"/>
                    <w:rPr>
                      <w:color w:val="auto"/>
                    </w:rPr>
                  </w:pPr>
                  <w:r>
                    <w:rPr>
                      <w:rFonts w:hint="eastAsia"/>
                      <w:color w:val="auto"/>
                    </w:rPr>
                    <w:t>危废暂存间</w:t>
                  </w:r>
                </w:p>
              </w:tc>
              <w:tc>
                <w:tcPr>
                  <w:tcW w:w="445" w:type="pct"/>
                  <w:vAlign w:val="center"/>
                </w:tcPr>
                <w:p>
                  <w:pPr>
                    <w:pStyle w:val="2"/>
                    <w:spacing w:after="0"/>
                    <w:ind w:left="0" w:leftChars="0" w:firstLine="0" w:firstLineChars="0"/>
                    <w:jc w:val="center"/>
                    <w:rPr>
                      <w:color w:val="auto"/>
                    </w:rPr>
                  </w:pPr>
                  <w:r>
                    <w:rPr>
                      <w:rFonts w:hint="eastAsia"/>
                      <w:color w:val="auto"/>
                    </w:rPr>
                    <w:t>8</w:t>
                  </w:r>
                </w:p>
              </w:tc>
              <w:tc>
                <w:tcPr>
                  <w:tcW w:w="472" w:type="pct"/>
                  <w:vAlign w:val="center"/>
                </w:tcPr>
                <w:p>
                  <w:pPr>
                    <w:pStyle w:val="2"/>
                    <w:spacing w:after="0"/>
                    <w:ind w:left="0" w:leftChars="0" w:firstLine="0" w:firstLineChars="0"/>
                    <w:jc w:val="center"/>
                    <w:rPr>
                      <w:color w:val="auto"/>
                    </w:rPr>
                  </w:pPr>
                  <w:r>
                    <w:rPr>
                      <w:rFonts w:hint="eastAsia"/>
                      <w:color w:val="auto"/>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4082" w:type="pct"/>
                  <w:gridSpan w:val="4"/>
                  <w:vAlign w:val="center"/>
                </w:tcPr>
                <w:p>
                  <w:pPr>
                    <w:pStyle w:val="2"/>
                    <w:spacing w:after="0"/>
                    <w:ind w:left="0" w:leftChars="0" w:firstLine="0" w:firstLineChars="0"/>
                    <w:jc w:val="center"/>
                    <w:rPr>
                      <w:color w:val="auto"/>
                    </w:rPr>
                  </w:pPr>
                  <w:r>
                    <w:rPr>
                      <w:rFonts w:hint="eastAsia"/>
                      <w:color w:val="auto"/>
                    </w:rPr>
                    <w:t>合计</w:t>
                  </w:r>
                </w:p>
              </w:tc>
              <w:tc>
                <w:tcPr>
                  <w:tcW w:w="445" w:type="pct"/>
                  <w:vAlign w:val="center"/>
                </w:tcPr>
                <w:p>
                  <w:pPr>
                    <w:pStyle w:val="2"/>
                    <w:spacing w:after="0"/>
                    <w:ind w:left="0" w:leftChars="0" w:firstLine="0" w:firstLineChars="0"/>
                    <w:jc w:val="center"/>
                    <w:rPr>
                      <w:color w:val="auto"/>
                    </w:rPr>
                  </w:pPr>
                  <w:r>
                    <w:rPr>
                      <w:rFonts w:hint="eastAsia"/>
                      <w:color w:val="auto"/>
                    </w:rPr>
                    <w:t>810</w:t>
                  </w:r>
                </w:p>
              </w:tc>
              <w:tc>
                <w:tcPr>
                  <w:tcW w:w="472" w:type="pct"/>
                  <w:vAlign w:val="center"/>
                </w:tcPr>
                <w:p>
                  <w:pPr>
                    <w:pStyle w:val="2"/>
                    <w:spacing w:after="0"/>
                    <w:ind w:left="0" w:leftChars="0" w:firstLine="0" w:firstLineChars="0"/>
                    <w:jc w:val="center"/>
                    <w:rPr>
                      <w:color w:val="auto"/>
                    </w:rPr>
                  </w:pPr>
                </w:p>
              </w:tc>
            </w:tr>
          </w:tbl>
          <w:p>
            <w:pPr>
              <w:spacing w:line="360" w:lineRule="auto"/>
              <w:rPr>
                <w:rFonts w:cs="宋体"/>
                <w:bCs/>
                <w:color w:val="auto"/>
                <w:szCs w:val="21"/>
              </w:rPr>
            </w:pPr>
          </w:p>
        </w:tc>
      </w:tr>
    </w:tbl>
    <w:p>
      <w:pPr>
        <w:pStyle w:val="18"/>
        <w:jc w:val="both"/>
        <w:rPr>
          <w:rFonts w:ascii="Times New Roman" w:hAnsi="Times New Roman"/>
          <w:snapToGrid w:val="0"/>
          <w:color w:val="auto"/>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pPr>
        <w:pStyle w:val="18"/>
        <w:jc w:val="center"/>
        <w:outlineLvl w:val="0"/>
        <w:rPr>
          <w:rFonts w:ascii="Times New Roman" w:hAnsi="Times New Roman"/>
          <w:b/>
          <w:bCs/>
          <w:snapToGrid w:val="0"/>
          <w:color w:val="auto"/>
          <w:sz w:val="30"/>
          <w:szCs w:val="30"/>
        </w:rPr>
      </w:pPr>
      <w:bookmarkStart w:id="15" w:name="_Toc21832"/>
      <w:bookmarkStart w:id="16" w:name="_Toc10750"/>
      <w:bookmarkStart w:id="17" w:name="_Toc30688"/>
      <w:bookmarkStart w:id="18" w:name="_Toc9081"/>
      <w:bookmarkStart w:id="19" w:name="_Toc12121"/>
      <w:r>
        <w:rPr>
          <w:rFonts w:hint="eastAsia" w:ascii="Times New Roman" w:hAnsi="Times New Roman"/>
          <w:b/>
          <w:bCs/>
          <w:snapToGrid w:val="0"/>
          <w:color w:val="auto"/>
          <w:sz w:val="30"/>
          <w:szCs w:val="30"/>
        </w:rPr>
        <w:t>五、</w:t>
      </w:r>
      <w:bookmarkStart w:id="20" w:name="_Hlk54167917"/>
      <w:r>
        <w:rPr>
          <w:rFonts w:hint="eastAsia" w:ascii="Times New Roman" w:hAnsi="Times New Roman"/>
          <w:b/>
          <w:bCs/>
          <w:snapToGrid w:val="0"/>
          <w:color w:val="auto"/>
          <w:sz w:val="30"/>
          <w:szCs w:val="30"/>
        </w:rPr>
        <w:t>环境保护措施监督检查清单</w:t>
      </w:r>
      <w:bookmarkEnd w:id="15"/>
      <w:bookmarkEnd w:id="16"/>
      <w:bookmarkEnd w:id="17"/>
      <w:bookmarkEnd w:id="18"/>
      <w:bookmarkEnd w:id="19"/>
      <w:bookmarkEnd w:id="20"/>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777"/>
        <w:gridCol w:w="1462"/>
        <w:gridCol w:w="1977"/>
        <w:gridCol w:w="22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pct"/>
            <w:tcBorders>
              <w:tl2br w:val="single" w:color="auto" w:sz="4" w:space="0"/>
            </w:tcBorders>
          </w:tcPr>
          <w:p>
            <w:pPr>
              <w:adjustRightInd w:val="0"/>
              <w:snapToGrid w:val="0"/>
              <w:ind w:firstLine="420" w:firstLineChars="200"/>
              <w:rPr>
                <w:color w:val="auto"/>
                <w:szCs w:val="21"/>
              </w:rPr>
            </w:pPr>
            <w:r>
              <w:rPr>
                <w:color w:val="auto"/>
                <w:szCs w:val="21"/>
              </w:rPr>
              <w:t>内容</w:t>
            </w:r>
          </w:p>
          <w:p>
            <w:pPr>
              <w:adjustRightInd w:val="0"/>
              <w:snapToGrid w:val="0"/>
              <w:rPr>
                <w:color w:val="auto"/>
                <w:szCs w:val="21"/>
              </w:rPr>
            </w:pPr>
          </w:p>
          <w:p>
            <w:pPr>
              <w:adjustRightInd w:val="0"/>
              <w:snapToGrid w:val="0"/>
              <w:rPr>
                <w:color w:val="auto"/>
                <w:szCs w:val="21"/>
              </w:rPr>
            </w:pPr>
            <w:r>
              <w:rPr>
                <w:color w:val="auto"/>
                <w:szCs w:val="21"/>
              </w:rPr>
              <w:t>要素</w:t>
            </w:r>
          </w:p>
        </w:tc>
        <w:tc>
          <w:tcPr>
            <w:tcW w:w="1042" w:type="pct"/>
            <w:vAlign w:val="center"/>
          </w:tcPr>
          <w:p>
            <w:pPr>
              <w:adjustRightInd w:val="0"/>
              <w:snapToGrid w:val="0"/>
              <w:jc w:val="center"/>
              <w:rPr>
                <w:color w:val="auto"/>
                <w:szCs w:val="21"/>
              </w:rPr>
            </w:pPr>
            <w:r>
              <w:rPr>
                <w:color w:val="auto"/>
                <w:szCs w:val="21"/>
              </w:rPr>
              <w:t>排放口(编号、名称)/污染源</w:t>
            </w:r>
          </w:p>
        </w:tc>
        <w:tc>
          <w:tcPr>
            <w:tcW w:w="857" w:type="pct"/>
            <w:vAlign w:val="center"/>
          </w:tcPr>
          <w:p>
            <w:pPr>
              <w:adjustRightInd w:val="0"/>
              <w:snapToGrid w:val="0"/>
              <w:jc w:val="center"/>
              <w:rPr>
                <w:color w:val="auto"/>
                <w:szCs w:val="21"/>
              </w:rPr>
            </w:pPr>
            <w:r>
              <w:rPr>
                <w:color w:val="auto"/>
                <w:szCs w:val="21"/>
              </w:rPr>
              <w:t>污染物项目</w:t>
            </w:r>
          </w:p>
        </w:tc>
        <w:tc>
          <w:tcPr>
            <w:tcW w:w="1159" w:type="pct"/>
            <w:vAlign w:val="center"/>
          </w:tcPr>
          <w:p>
            <w:pPr>
              <w:adjustRightInd w:val="0"/>
              <w:snapToGrid w:val="0"/>
              <w:jc w:val="center"/>
              <w:rPr>
                <w:color w:val="auto"/>
                <w:szCs w:val="21"/>
              </w:rPr>
            </w:pPr>
            <w:r>
              <w:rPr>
                <w:color w:val="auto"/>
                <w:szCs w:val="21"/>
              </w:rPr>
              <w:t>环境保护措施</w:t>
            </w:r>
          </w:p>
        </w:tc>
        <w:tc>
          <w:tcPr>
            <w:tcW w:w="1293" w:type="pct"/>
            <w:vAlign w:val="center"/>
          </w:tcPr>
          <w:p>
            <w:pPr>
              <w:adjustRightInd w:val="0"/>
              <w:snapToGrid w:val="0"/>
              <w:jc w:val="center"/>
              <w:rPr>
                <w:color w:val="auto"/>
                <w:szCs w:val="21"/>
              </w:rPr>
            </w:pPr>
            <w:r>
              <w:rPr>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48" w:type="pct"/>
            <w:vMerge w:val="restart"/>
            <w:vAlign w:val="center"/>
          </w:tcPr>
          <w:p>
            <w:pPr>
              <w:adjustRightInd w:val="0"/>
              <w:snapToGrid w:val="0"/>
              <w:jc w:val="center"/>
              <w:rPr>
                <w:color w:val="auto"/>
                <w:szCs w:val="21"/>
              </w:rPr>
            </w:pPr>
            <w:r>
              <w:rPr>
                <w:color w:val="auto"/>
                <w:szCs w:val="21"/>
              </w:rPr>
              <w:t>大气环境</w:t>
            </w:r>
          </w:p>
        </w:tc>
        <w:tc>
          <w:tcPr>
            <w:tcW w:w="1042" w:type="pct"/>
            <w:vAlign w:val="center"/>
          </w:tcPr>
          <w:p>
            <w:pPr>
              <w:snapToGrid w:val="0"/>
              <w:spacing w:line="280" w:lineRule="exact"/>
              <w:jc w:val="center"/>
              <w:rPr>
                <w:rFonts w:hint="default" w:eastAsia="宋体"/>
                <w:color w:val="auto"/>
                <w:szCs w:val="21"/>
                <w:lang w:val="en-US" w:eastAsia="zh-CN"/>
              </w:rPr>
            </w:pPr>
            <w:r>
              <w:rPr>
                <w:rFonts w:hint="eastAsia"/>
                <w:color w:val="auto"/>
                <w:szCs w:val="21"/>
              </w:rPr>
              <w:t>DA</w:t>
            </w:r>
            <w:r>
              <w:rPr>
                <w:rFonts w:hint="eastAsia"/>
                <w:color w:val="auto"/>
                <w:szCs w:val="21"/>
                <w:lang w:val="en-US" w:eastAsia="zh-CN"/>
              </w:rPr>
              <w:t>019</w:t>
            </w:r>
            <w:r>
              <w:rPr>
                <w:rFonts w:hint="eastAsia"/>
                <w:color w:val="auto"/>
                <w:szCs w:val="21"/>
              </w:rPr>
              <w:t>、DA0</w:t>
            </w:r>
            <w:r>
              <w:rPr>
                <w:rFonts w:hint="eastAsia"/>
                <w:color w:val="auto"/>
                <w:szCs w:val="21"/>
                <w:lang w:val="en-US" w:eastAsia="zh-CN"/>
              </w:rPr>
              <w:t>20</w:t>
            </w:r>
          </w:p>
        </w:tc>
        <w:tc>
          <w:tcPr>
            <w:tcW w:w="857" w:type="pct"/>
            <w:vAlign w:val="center"/>
          </w:tcPr>
          <w:p>
            <w:pPr>
              <w:snapToGrid w:val="0"/>
              <w:spacing w:line="280" w:lineRule="exact"/>
              <w:jc w:val="center"/>
              <w:rPr>
                <w:color w:val="auto"/>
                <w:szCs w:val="21"/>
              </w:rPr>
            </w:pPr>
            <w:r>
              <w:rPr>
                <w:rFonts w:hint="eastAsia"/>
                <w:color w:val="auto"/>
              </w:rPr>
              <w:t>颗粒物、沥青烟、苯并芘</w:t>
            </w:r>
          </w:p>
        </w:tc>
        <w:tc>
          <w:tcPr>
            <w:tcW w:w="1159" w:type="pct"/>
            <w:vAlign w:val="center"/>
          </w:tcPr>
          <w:p>
            <w:pPr>
              <w:snapToGrid w:val="0"/>
              <w:spacing w:line="280" w:lineRule="exact"/>
              <w:jc w:val="center"/>
              <w:rPr>
                <w:color w:val="auto"/>
                <w:szCs w:val="21"/>
              </w:rPr>
            </w:pPr>
            <w:r>
              <w:rPr>
                <w:rFonts w:hint="eastAsia"/>
                <w:color w:val="auto"/>
                <w:szCs w:val="21"/>
              </w:rPr>
              <w:t>高压电捕焦油器+</w:t>
            </w:r>
            <w:r>
              <w:rPr>
                <w:rFonts w:hint="eastAsia"/>
                <w:color w:val="auto"/>
                <w:szCs w:val="21"/>
                <w:lang w:val="en-US" w:eastAsia="zh-CN"/>
              </w:rPr>
              <w:t>焦粉“</w:t>
            </w:r>
            <w:r>
              <w:rPr>
                <w:rFonts w:hint="eastAsia"/>
                <w:color w:val="auto"/>
                <w:szCs w:val="21"/>
              </w:rPr>
              <w:t>黑法</w:t>
            </w:r>
            <w:r>
              <w:rPr>
                <w:rFonts w:hint="eastAsia"/>
                <w:color w:val="auto"/>
                <w:szCs w:val="21"/>
                <w:lang w:val="en-US" w:eastAsia="zh-CN"/>
              </w:rPr>
              <w:t>”</w:t>
            </w:r>
            <w:r>
              <w:rPr>
                <w:rFonts w:hint="eastAsia"/>
                <w:color w:val="auto"/>
                <w:szCs w:val="21"/>
              </w:rPr>
              <w:t>吸附</w:t>
            </w:r>
          </w:p>
        </w:tc>
        <w:tc>
          <w:tcPr>
            <w:tcW w:w="1293" w:type="pct"/>
            <w:vAlign w:val="center"/>
          </w:tcPr>
          <w:p>
            <w:pPr>
              <w:pStyle w:val="38"/>
              <w:rPr>
                <w:color w:val="auto"/>
              </w:rPr>
            </w:pPr>
            <w:r>
              <w:rPr>
                <w:color w:val="auto"/>
              </w:rPr>
              <w:t>大气污染物综合排放</w:t>
            </w:r>
          </w:p>
          <w:p>
            <w:pPr>
              <w:pStyle w:val="38"/>
              <w:rPr>
                <w:rFonts w:ascii="Times New Roman" w:hAnsi="Times New Roman" w:eastAsia="宋体" w:cs="Times New Roman"/>
                <w:snapToGrid w:val="0"/>
                <w:color w:val="auto"/>
                <w:kern w:val="0"/>
                <w:sz w:val="21"/>
                <w:szCs w:val="24"/>
                <w:lang w:val="en-US" w:eastAsia="zh-CN" w:bidi="ar-SA"/>
              </w:rPr>
            </w:pPr>
            <w:r>
              <w:rPr>
                <w:color w:val="auto"/>
              </w:rPr>
              <w:t>标准》（GB 16297-1996）</w:t>
            </w:r>
            <w:r>
              <w:rPr>
                <w:rFonts w:hint="eastAsia"/>
                <w:color w:val="auto"/>
              </w:rPr>
              <w:t>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pct"/>
            <w:vMerge w:val="continue"/>
            <w:vAlign w:val="center"/>
          </w:tcPr>
          <w:p>
            <w:pPr>
              <w:adjustRightInd w:val="0"/>
              <w:snapToGrid w:val="0"/>
              <w:jc w:val="center"/>
              <w:rPr>
                <w:color w:val="auto"/>
                <w:szCs w:val="21"/>
              </w:rPr>
            </w:pPr>
          </w:p>
        </w:tc>
        <w:tc>
          <w:tcPr>
            <w:tcW w:w="1042" w:type="pct"/>
            <w:vAlign w:val="center"/>
          </w:tcPr>
          <w:p>
            <w:pPr>
              <w:snapToGrid w:val="0"/>
              <w:spacing w:line="280" w:lineRule="exact"/>
              <w:jc w:val="center"/>
              <w:rPr>
                <w:rFonts w:hint="default" w:eastAsia="宋体"/>
                <w:color w:val="auto"/>
                <w:szCs w:val="21"/>
                <w:lang w:val="en-US" w:eastAsia="zh-CN"/>
              </w:rPr>
            </w:pPr>
            <w:r>
              <w:rPr>
                <w:rFonts w:hint="eastAsia"/>
                <w:color w:val="auto"/>
              </w:rPr>
              <w:t>DA0</w:t>
            </w:r>
            <w:r>
              <w:rPr>
                <w:rFonts w:hint="eastAsia"/>
                <w:color w:val="auto"/>
                <w:lang w:val="en-US" w:eastAsia="zh-CN"/>
              </w:rPr>
              <w:t>24</w:t>
            </w:r>
          </w:p>
        </w:tc>
        <w:tc>
          <w:tcPr>
            <w:tcW w:w="857" w:type="pct"/>
            <w:vAlign w:val="center"/>
          </w:tcPr>
          <w:p>
            <w:pPr>
              <w:pStyle w:val="38"/>
              <w:rPr>
                <w:color w:val="auto"/>
              </w:rPr>
            </w:pPr>
            <w:r>
              <w:rPr>
                <w:rFonts w:hint="eastAsia"/>
                <w:color w:val="auto"/>
              </w:rPr>
              <w:t>颗粒物、</w:t>
            </w:r>
          </w:p>
          <w:p>
            <w:pPr>
              <w:pStyle w:val="38"/>
              <w:rPr>
                <w:color w:val="auto"/>
              </w:rPr>
            </w:pPr>
            <w:r>
              <w:rPr>
                <w:rFonts w:hint="eastAsia"/>
                <w:color w:val="auto"/>
              </w:rPr>
              <w:t>二氧化硫、</w:t>
            </w:r>
          </w:p>
          <w:p>
            <w:pPr>
              <w:snapToGrid w:val="0"/>
              <w:spacing w:line="280" w:lineRule="exact"/>
              <w:jc w:val="center"/>
              <w:rPr>
                <w:color w:val="auto"/>
              </w:rPr>
            </w:pPr>
            <w:r>
              <w:rPr>
                <w:rFonts w:hint="eastAsia"/>
                <w:color w:val="auto"/>
              </w:rPr>
              <w:t>氮氧化物</w:t>
            </w:r>
          </w:p>
        </w:tc>
        <w:tc>
          <w:tcPr>
            <w:tcW w:w="1159" w:type="pct"/>
            <w:vAlign w:val="center"/>
          </w:tcPr>
          <w:p>
            <w:pPr>
              <w:snapToGrid w:val="0"/>
              <w:spacing w:line="280" w:lineRule="exact"/>
              <w:jc w:val="center"/>
              <w:rPr>
                <w:color w:val="auto"/>
                <w:szCs w:val="21"/>
              </w:rPr>
            </w:pPr>
            <w:r>
              <w:rPr>
                <w:rFonts w:hint="eastAsia"/>
                <w:color w:val="auto"/>
                <w:szCs w:val="21"/>
              </w:rPr>
              <w:t>石灰石膏法湿法脱硫</w:t>
            </w:r>
          </w:p>
        </w:tc>
        <w:tc>
          <w:tcPr>
            <w:tcW w:w="1293" w:type="pct"/>
            <w:vAlign w:val="center"/>
          </w:tcPr>
          <w:p>
            <w:pPr>
              <w:adjustRightInd w:val="0"/>
              <w:snapToGrid w:val="0"/>
              <w:jc w:val="center"/>
              <w:rPr>
                <w:color w:val="auto"/>
                <w:szCs w:val="21"/>
              </w:rPr>
            </w:pPr>
            <w:r>
              <w:rPr>
                <w:rFonts w:hint="eastAsia"/>
                <w:color w:val="auto"/>
                <w:lang w:val="en-US" w:eastAsia="zh-CN"/>
              </w:rPr>
              <w:t>晋环大气[2019]164号规定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48" w:type="pct"/>
            <w:vMerge w:val="continue"/>
            <w:vAlign w:val="center"/>
          </w:tcPr>
          <w:p>
            <w:pPr>
              <w:adjustRightInd w:val="0"/>
              <w:snapToGrid w:val="0"/>
              <w:jc w:val="center"/>
              <w:rPr>
                <w:color w:val="auto"/>
                <w:szCs w:val="21"/>
              </w:rPr>
            </w:pPr>
          </w:p>
        </w:tc>
        <w:tc>
          <w:tcPr>
            <w:tcW w:w="1042" w:type="pct"/>
            <w:vAlign w:val="center"/>
          </w:tcPr>
          <w:p>
            <w:pPr>
              <w:pStyle w:val="38"/>
              <w:rPr>
                <w:color w:val="auto"/>
              </w:rPr>
            </w:pPr>
            <w:r>
              <w:rPr>
                <w:rFonts w:hint="eastAsia"/>
                <w:color w:val="auto"/>
              </w:rPr>
              <w:t>DA001~DA01</w:t>
            </w:r>
            <w:r>
              <w:rPr>
                <w:rFonts w:hint="eastAsia"/>
                <w:color w:val="auto"/>
                <w:lang w:val="en-US" w:eastAsia="zh-CN"/>
              </w:rPr>
              <w:t>8</w:t>
            </w:r>
            <w:r>
              <w:rPr>
                <w:rFonts w:hint="eastAsia"/>
                <w:color w:val="auto"/>
              </w:rPr>
              <w:t>、</w:t>
            </w:r>
            <w:r>
              <w:rPr>
                <w:rFonts w:hint="eastAsia"/>
                <w:color w:val="auto"/>
                <w:lang w:val="en-US" w:eastAsia="zh-CN"/>
              </w:rPr>
              <w:t>DA022、DA023、</w:t>
            </w:r>
            <w:r>
              <w:rPr>
                <w:rFonts w:hint="eastAsia"/>
                <w:color w:val="auto"/>
              </w:rPr>
              <w:t>DA0</w:t>
            </w:r>
            <w:r>
              <w:rPr>
                <w:rFonts w:hint="eastAsia"/>
                <w:color w:val="auto"/>
                <w:lang w:val="en-US" w:eastAsia="zh-CN"/>
              </w:rPr>
              <w:t>25~DA030</w:t>
            </w:r>
          </w:p>
        </w:tc>
        <w:tc>
          <w:tcPr>
            <w:tcW w:w="857" w:type="pct"/>
            <w:vAlign w:val="center"/>
          </w:tcPr>
          <w:p>
            <w:pPr>
              <w:snapToGrid w:val="0"/>
              <w:spacing w:line="280" w:lineRule="exact"/>
              <w:jc w:val="center"/>
              <w:rPr>
                <w:color w:val="auto"/>
              </w:rPr>
            </w:pPr>
            <w:r>
              <w:rPr>
                <w:rFonts w:hint="eastAsia"/>
                <w:color w:val="auto"/>
              </w:rPr>
              <w:t>颗粒物</w:t>
            </w:r>
          </w:p>
        </w:tc>
        <w:tc>
          <w:tcPr>
            <w:tcW w:w="1159" w:type="pct"/>
            <w:vAlign w:val="center"/>
          </w:tcPr>
          <w:p>
            <w:pPr>
              <w:snapToGrid w:val="0"/>
              <w:spacing w:line="280" w:lineRule="exact"/>
              <w:jc w:val="center"/>
              <w:rPr>
                <w:color w:val="auto"/>
                <w:szCs w:val="21"/>
              </w:rPr>
            </w:pPr>
            <w:r>
              <w:rPr>
                <w:rFonts w:hint="eastAsia"/>
                <w:color w:val="auto"/>
                <w:szCs w:val="21"/>
              </w:rPr>
              <w:t>布袋除尘器</w:t>
            </w:r>
          </w:p>
        </w:tc>
        <w:tc>
          <w:tcPr>
            <w:tcW w:w="1293" w:type="pct"/>
            <w:vAlign w:val="center"/>
          </w:tcPr>
          <w:p>
            <w:pPr>
              <w:pStyle w:val="38"/>
              <w:rPr>
                <w:color w:val="auto"/>
              </w:rPr>
            </w:pPr>
            <w:r>
              <w:rPr>
                <w:color w:val="auto"/>
              </w:rPr>
              <w:t>大气污染物综合排放</w:t>
            </w:r>
          </w:p>
          <w:p>
            <w:pPr>
              <w:adjustRightInd w:val="0"/>
              <w:snapToGrid w:val="0"/>
              <w:jc w:val="center"/>
              <w:rPr>
                <w:color w:val="auto"/>
                <w:szCs w:val="21"/>
              </w:rPr>
            </w:pPr>
            <w:r>
              <w:rPr>
                <w:color w:val="auto"/>
              </w:rPr>
              <w:t>标准》（GB 16297-1996）</w:t>
            </w:r>
            <w:r>
              <w:rPr>
                <w:rFonts w:hint="eastAsia"/>
                <w:color w:val="auto"/>
              </w:rPr>
              <w:t>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48" w:type="pct"/>
            <w:vMerge w:val="continue"/>
            <w:vAlign w:val="center"/>
          </w:tcPr>
          <w:p>
            <w:pPr>
              <w:adjustRightInd w:val="0"/>
              <w:snapToGrid w:val="0"/>
              <w:jc w:val="center"/>
              <w:rPr>
                <w:color w:val="auto"/>
                <w:szCs w:val="21"/>
              </w:rPr>
            </w:pPr>
          </w:p>
        </w:tc>
        <w:tc>
          <w:tcPr>
            <w:tcW w:w="1042" w:type="pct"/>
            <w:vAlign w:val="center"/>
          </w:tcPr>
          <w:p>
            <w:pPr>
              <w:pStyle w:val="38"/>
              <w:rPr>
                <w:rFonts w:hint="default" w:eastAsia="宋体"/>
                <w:color w:val="auto"/>
                <w:lang w:val="en-US" w:eastAsia="zh-CN"/>
              </w:rPr>
            </w:pPr>
            <w:r>
              <w:rPr>
                <w:rFonts w:hint="eastAsia"/>
                <w:color w:val="auto"/>
              </w:rPr>
              <w:t>DA0</w:t>
            </w:r>
            <w:r>
              <w:rPr>
                <w:rFonts w:hint="eastAsia"/>
                <w:color w:val="auto"/>
                <w:lang w:val="en-US" w:eastAsia="zh-CN"/>
              </w:rPr>
              <w:t>21</w:t>
            </w:r>
          </w:p>
        </w:tc>
        <w:tc>
          <w:tcPr>
            <w:tcW w:w="857" w:type="pct"/>
            <w:vAlign w:val="center"/>
          </w:tcPr>
          <w:p>
            <w:pPr>
              <w:pStyle w:val="38"/>
              <w:rPr>
                <w:color w:val="auto"/>
              </w:rPr>
            </w:pPr>
            <w:r>
              <w:rPr>
                <w:rFonts w:hint="eastAsia"/>
                <w:color w:val="auto"/>
              </w:rPr>
              <w:t>颗粒物、</w:t>
            </w:r>
          </w:p>
          <w:p>
            <w:pPr>
              <w:pStyle w:val="38"/>
              <w:rPr>
                <w:color w:val="auto"/>
              </w:rPr>
            </w:pPr>
            <w:r>
              <w:rPr>
                <w:rFonts w:hint="eastAsia"/>
                <w:color w:val="auto"/>
              </w:rPr>
              <w:t>二氧化硫、</w:t>
            </w:r>
          </w:p>
          <w:p>
            <w:pPr>
              <w:snapToGrid w:val="0"/>
              <w:spacing w:line="280" w:lineRule="exact"/>
              <w:jc w:val="center"/>
              <w:rPr>
                <w:color w:val="auto"/>
              </w:rPr>
            </w:pPr>
            <w:r>
              <w:rPr>
                <w:rFonts w:hint="eastAsia"/>
                <w:color w:val="auto"/>
              </w:rPr>
              <w:t>氮氧化物</w:t>
            </w:r>
          </w:p>
        </w:tc>
        <w:tc>
          <w:tcPr>
            <w:tcW w:w="1159" w:type="pct"/>
            <w:vAlign w:val="center"/>
          </w:tcPr>
          <w:p>
            <w:pPr>
              <w:snapToGrid w:val="0"/>
              <w:spacing w:line="280" w:lineRule="exact"/>
              <w:jc w:val="center"/>
              <w:rPr>
                <w:color w:val="auto"/>
                <w:szCs w:val="21"/>
              </w:rPr>
            </w:pPr>
            <w:r>
              <w:rPr>
                <w:rFonts w:hint="eastAsia"/>
                <w:color w:val="auto"/>
                <w:szCs w:val="21"/>
              </w:rPr>
              <w:t>使用天然气作为燃料，低氮燃烧</w:t>
            </w:r>
          </w:p>
        </w:tc>
        <w:tc>
          <w:tcPr>
            <w:tcW w:w="1293" w:type="pct"/>
            <w:vAlign w:val="center"/>
          </w:tcPr>
          <w:p>
            <w:pPr>
              <w:adjustRightInd w:val="0"/>
              <w:snapToGrid w:val="0"/>
              <w:jc w:val="center"/>
              <w:rPr>
                <w:color w:val="auto"/>
                <w:szCs w:val="21"/>
              </w:rPr>
            </w:pPr>
            <w:r>
              <w:rPr>
                <w:rFonts w:hint="eastAsia"/>
                <w:color w:val="auto"/>
              </w:rPr>
              <w:t>山西省地方标准《锅炉大气污染物排放标准》（DB14/19）-2019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48" w:type="pct"/>
            <w:vMerge w:val="restart"/>
            <w:vAlign w:val="center"/>
          </w:tcPr>
          <w:p>
            <w:pPr>
              <w:adjustRightInd w:val="0"/>
              <w:snapToGrid w:val="0"/>
              <w:jc w:val="center"/>
              <w:rPr>
                <w:color w:val="auto"/>
                <w:szCs w:val="21"/>
              </w:rPr>
            </w:pPr>
            <w:r>
              <w:rPr>
                <w:color w:val="auto"/>
                <w:szCs w:val="21"/>
              </w:rPr>
              <w:t>地表水</w:t>
            </w:r>
          </w:p>
          <w:p>
            <w:pPr>
              <w:adjustRightInd w:val="0"/>
              <w:snapToGrid w:val="0"/>
              <w:jc w:val="center"/>
              <w:rPr>
                <w:color w:val="auto"/>
                <w:szCs w:val="21"/>
              </w:rPr>
            </w:pPr>
            <w:r>
              <w:rPr>
                <w:color w:val="auto"/>
                <w:szCs w:val="21"/>
              </w:rPr>
              <w:t>环境</w:t>
            </w:r>
          </w:p>
        </w:tc>
        <w:tc>
          <w:tcPr>
            <w:tcW w:w="1042" w:type="pct"/>
            <w:vAlign w:val="center"/>
          </w:tcPr>
          <w:p>
            <w:pPr>
              <w:pStyle w:val="38"/>
              <w:rPr>
                <w:color w:val="auto"/>
              </w:rPr>
            </w:pPr>
            <w:r>
              <w:rPr>
                <w:rFonts w:hint="eastAsia"/>
                <w:color w:val="auto"/>
              </w:rPr>
              <w:t xml:space="preserve"> 石墨电极冷却循环水</w:t>
            </w:r>
          </w:p>
        </w:tc>
        <w:tc>
          <w:tcPr>
            <w:tcW w:w="857" w:type="pct"/>
            <w:vAlign w:val="center"/>
          </w:tcPr>
          <w:p>
            <w:pPr>
              <w:spacing w:line="280" w:lineRule="exact"/>
              <w:jc w:val="center"/>
              <w:rPr>
                <w:color w:val="auto"/>
                <w:szCs w:val="21"/>
              </w:rPr>
            </w:pPr>
            <w:r>
              <w:rPr>
                <w:rFonts w:hint="eastAsia"/>
                <w:color w:val="auto"/>
                <w:szCs w:val="21"/>
              </w:rPr>
              <w:t>pH值、化学需氧量、悬浮物和石油类</w:t>
            </w:r>
          </w:p>
        </w:tc>
        <w:tc>
          <w:tcPr>
            <w:tcW w:w="1159" w:type="pct"/>
            <w:vAlign w:val="center"/>
          </w:tcPr>
          <w:p>
            <w:pPr>
              <w:spacing w:line="280" w:lineRule="exact"/>
              <w:jc w:val="center"/>
              <w:rPr>
                <w:color w:val="auto"/>
                <w:szCs w:val="21"/>
              </w:rPr>
            </w:pPr>
            <w:r>
              <w:rPr>
                <w:color w:val="auto"/>
                <w:szCs w:val="21"/>
              </w:rPr>
              <w:t>隔油沉淀池</w:t>
            </w:r>
          </w:p>
        </w:tc>
        <w:tc>
          <w:tcPr>
            <w:tcW w:w="1293" w:type="pct"/>
            <w:vAlign w:val="center"/>
          </w:tcPr>
          <w:p>
            <w:pPr>
              <w:spacing w:line="240" w:lineRule="exact"/>
              <w:jc w:val="center"/>
              <w:rPr>
                <w:color w:val="auto"/>
                <w:szCs w:val="21"/>
              </w:rPr>
            </w:pPr>
            <w:r>
              <w:rPr>
                <w:rFonts w:hint="eastAsia"/>
                <w:color w:val="auto"/>
                <w:szCs w:val="21"/>
              </w:rPr>
              <w:t>回用与炭块儿冷却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pct"/>
            <w:vMerge w:val="continue"/>
            <w:vAlign w:val="center"/>
          </w:tcPr>
          <w:p>
            <w:pPr>
              <w:adjustRightInd w:val="0"/>
              <w:snapToGrid w:val="0"/>
              <w:jc w:val="center"/>
              <w:rPr>
                <w:color w:val="auto"/>
                <w:szCs w:val="21"/>
              </w:rPr>
            </w:pPr>
          </w:p>
        </w:tc>
        <w:tc>
          <w:tcPr>
            <w:tcW w:w="1042" w:type="pct"/>
            <w:vAlign w:val="center"/>
          </w:tcPr>
          <w:p>
            <w:pPr>
              <w:pStyle w:val="38"/>
              <w:rPr>
                <w:color w:val="auto"/>
              </w:rPr>
            </w:pPr>
            <w:r>
              <w:rPr>
                <w:rFonts w:hint="eastAsia"/>
                <w:color w:val="auto"/>
              </w:rPr>
              <w:t>脱硫废水</w:t>
            </w:r>
          </w:p>
        </w:tc>
        <w:tc>
          <w:tcPr>
            <w:tcW w:w="857" w:type="pct"/>
            <w:vAlign w:val="center"/>
          </w:tcPr>
          <w:p>
            <w:pPr>
              <w:spacing w:line="280" w:lineRule="exact"/>
              <w:jc w:val="center"/>
              <w:rPr>
                <w:color w:val="auto"/>
                <w:szCs w:val="21"/>
              </w:rPr>
            </w:pPr>
            <w:r>
              <w:rPr>
                <w:rFonts w:hint="eastAsia"/>
                <w:color w:val="auto"/>
                <w:szCs w:val="21"/>
              </w:rPr>
              <w:t>pH、化学需氧量、悬浮物以及重金属</w:t>
            </w:r>
          </w:p>
        </w:tc>
        <w:tc>
          <w:tcPr>
            <w:tcW w:w="1159" w:type="pct"/>
            <w:vAlign w:val="center"/>
          </w:tcPr>
          <w:p>
            <w:pPr>
              <w:spacing w:line="280" w:lineRule="exact"/>
              <w:jc w:val="center"/>
              <w:rPr>
                <w:color w:val="auto"/>
                <w:szCs w:val="21"/>
              </w:rPr>
            </w:pPr>
            <w:r>
              <w:rPr>
                <w:color w:val="auto"/>
                <w:szCs w:val="21"/>
              </w:rPr>
              <w:t>pH调节+ 絮凝沉淀</w:t>
            </w:r>
          </w:p>
        </w:tc>
        <w:tc>
          <w:tcPr>
            <w:tcW w:w="1293" w:type="pct"/>
            <w:vAlign w:val="center"/>
          </w:tcPr>
          <w:p>
            <w:pPr>
              <w:spacing w:line="240" w:lineRule="exact"/>
              <w:jc w:val="center"/>
              <w:rPr>
                <w:color w:val="auto"/>
                <w:szCs w:val="21"/>
              </w:rPr>
            </w:pPr>
            <w:r>
              <w:rPr>
                <w:rFonts w:hint="eastAsia"/>
                <w:color w:val="auto"/>
                <w:szCs w:val="21"/>
              </w:rPr>
              <w:t>回用于脱硫系统</w:t>
            </w:r>
          </w:p>
          <w:p>
            <w:pPr>
              <w:spacing w:line="240" w:lineRule="exact"/>
              <w:jc w:val="center"/>
              <w:rPr>
                <w:color w:val="auto"/>
                <w:szCs w:val="21"/>
              </w:rPr>
            </w:pPr>
            <w:r>
              <w:rPr>
                <w:rFonts w:hint="eastAsia"/>
                <w:color w:val="auto"/>
                <w:szCs w:val="21"/>
              </w:rPr>
              <w:t>补水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pct"/>
            <w:vMerge w:val="continue"/>
            <w:vAlign w:val="center"/>
          </w:tcPr>
          <w:p>
            <w:pPr>
              <w:adjustRightInd w:val="0"/>
              <w:snapToGrid w:val="0"/>
              <w:jc w:val="center"/>
              <w:rPr>
                <w:color w:val="auto"/>
                <w:szCs w:val="21"/>
              </w:rPr>
            </w:pPr>
          </w:p>
        </w:tc>
        <w:tc>
          <w:tcPr>
            <w:tcW w:w="1042" w:type="pct"/>
            <w:vAlign w:val="center"/>
          </w:tcPr>
          <w:p>
            <w:pPr>
              <w:pStyle w:val="38"/>
              <w:rPr>
                <w:color w:val="auto"/>
              </w:rPr>
            </w:pPr>
            <w:r>
              <w:rPr>
                <w:rFonts w:hint="eastAsia"/>
                <w:color w:val="auto"/>
              </w:rPr>
              <w:t>初期雨水</w:t>
            </w:r>
          </w:p>
        </w:tc>
        <w:tc>
          <w:tcPr>
            <w:tcW w:w="857" w:type="pct"/>
            <w:vAlign w:val="center"/>
          </w:tcPr>
          <w:p>
            <w:pPr>
              <w:spacing w:line="280" w:lineRule="exact"/>
              <w:jc w:val="center"/>
              <w:rPr>
                <w:color w:val="auto"/>
                <w:szCs w:val="21"/>
              </w:rPr>
            </w:pPr>
            <w:r>
              <w:rPr>
                <w:rFonts w:hint="eastAsia"/>
                <w:color w:val="auto"/>
                <w:szCs w:val="21"/>
              </w:rPr>
              <w:t>pH、SS、CODcr</w:t>
            </w:r>
          </w:p>
        </w:tc>
        <w:tc>
          <w:tcPr>
            <w:tcW w:w="1159" w:type="pct"/>
            <w:vAlign w:val="center"/>
          </w:tcPr>
          <w:p>
            <w:pPr>
              <w:spacing w:line="280" w:lineRule="exact"/>
              <w:jc w:val="center"/>
              <w:rPr>
                <w:color w:val="auto"/>
                <w:szCs w:val="21"/>
              </w:rPr>
            </w:pPr>
            <w:r>
              <w:rPr>
                <w:rFonts w:hint="eastAsia"/>
                <w:color w:val="auto"/>
                <w:szCs w:val="21"/>
              </w:rPr>
              <w:t>初期雨水收集池收集后沉淀处理</w:t>
            </w:r>
          </w:p>
        </w:tc>
        <w:tc>
          <w:tcPr>
            <w:tcW w:w="1293" w:type="pct"/>
            <w:vAlign w:val="center"/>
          </w:tcPr>
          <w:p>
            <w:pPr>
              <w:spacing w:line="240" w:lineRule="exact"/>
              <w:jc w:val="center"/>
              <w:rPr>
                <w:color w:val="auto"/>
                <w:szCs w:val="21"/>
              </w:rPr>
            </w:pPr>
            <w:r>
              <w:rPr>
                <w:rFonts w:hint="eastAsia"/>
                <w:color w:val="auto"/>
                <w:szCs w:val="21"/>
              </w:rPr>
              <w:t>回用于炭块儿冷却，不外排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pct"/>
            <w:vMerge w:val="continue"/>
            <w:vAlign w:val="center"/>
          </w:tcPr>
          <w:p>
            <w:pPr>
              <w:adjustRightInd w:val="0"/>
              <w:snapToGrid w:val="0"/>
              <w:jc w:val="center"/>
              <w:rPr>
                <w:color w:val="auto"/>
                <w:szCs w:val="21"/>
              </w:rPr>
            </w:pPr>
          </w:p>
        </w:tc>
        <w:tc>
          <w:tcPr>
            <w:tcW w:w="1042" w:type="pct"/>
            <w:vAlign w:val="center"/>
          </w:tcPr>
          <w:p>
            <w:pPr>
              <w:pStyle w:val="38"/>
              <w:rPr>
                <w:color w:val="auto"/>
              </w:rPr>
            </w:pPr>
            <w:r>
              <w:rPr>
                <w:rFonts w:hint="eastAsia"/>
                <w:color w:val="auto"/>
              </w:rPr>
              <w:t>生活污水</w:t>
            </w:r>
          </w:p>
        </w:tc>
        <w:tc>
          <w:tcPr>
            <w:tcW w:w="857" w:type="pct"/>
            <w:vAlign w:val="center"/>
          </w:tcPr>
          <w:p>
            <w:pPr>
              <w:spacing w:line="280" w:lineRule="exact"/>
              <w:jc w:val="center"/>
              <w:rPr>
                <w:color w:val="auto"/>
                <w:szCs w:val="21"/>
              </w:rPr>
            </w:pPr>
            <w:r>
              <w:rPr>
                <w:rFonts w:hint="eastAsia"/>
                <w:color w:val="auto"/>
                <w:szCs w:val="21"/>
              </w:rPr>
              <w:t>CODcr、BOD5、NH</w:t>
            </w:r>
            <w:r>
              <w:rPr>
                <w:rFonts w:hint="eastAsia"/>
                <w:color w:val="auto"/>
                <w:szCs w:val="21"/>
                <w:vertAlign w:val="subscript"/>
              </w:rPr>
              <w:t>3</w:t>
            </w:r>
            <w:r>
              <w:rPr>
                <w:rFonts w:hint="eastAsia"/>
                <w:color w:val="auto"/>
                <w:szCs w:val="21"/>
              </w:rPr>
              <w:t>-N、SS、动植物油</w:t>
            </w:r>
          </w:p>
        </w:tc>
        <w:tc>
          <w:tcPr>
            <w:tcW w:w="1159" w:type="pct"/>
            <w:vAlign w:val="center"/>
          </w:tcPr>
          <w:p>
            <w:pPr>
              <w:spacing w:line="280" w:lineRule="exact"/>
              <w:jc w:val="center"/>
              <w:rPr>
                <w:color w:val="auto"/>
                <w:szCs w:val="21"/>
              </w:rPr>
            </w:pPr>
            <w:r>
              <w:rPr>
                <w:rFonts w:hint="eastAsia"/>
                <w:color w:val="auto"/>
                <w:szCs w:val="21"/>
              </w:rPr>
              <w:t>化粪池处理后经污水管网排入大同市御东污水处理有限责任公司污水处理厂</w:t>
            </w:r>
          </w:p>
        </w:tc>
        <w:tc>
          <w:tcPr>
            <w:tcW w:w="1293" w:type="pct"/>
            <w:vAlign w:val="center"/>
          </w:tcPr>
          <w:p>
            <w:pPr>
              <w:pStyle w:val="38"/>
              <w:rPr>
                <w:color w:val="auto"/>
              </w:rPr>
            </w:pPr>
            <w:r>
              <w:rPr>
                <w:rFonts w:hint="eastAsia"/>
                <w:color w:val="auto"/>
              </w:rPr>
              <w:t>《污水排入城镇下水道水质标准》（GB/T 31962-2015）A 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pct"/>
            <w:vAlign w:val="center"/>
          </w:tcPr>
          <w:p>
            <w:pPr>
              <w:adjustRightInd w:val="0"/>
              <w:snapToGrid w:val="0"/>
              <w:jc w:val="center"/>
              <w:rPr>
                <w:color w:val="auto"/>
                <w:szCs w:val="21"/>
              </w:rPr>
            </w:pPr>
            <w:r>
              <w:rPr>
                <w:color w:val="auto"/>
                <w:szCs w:val="21"/>
              </w:rPr>
              <w:t>声环境</w:t>
            </w:r>
          </w:p>
        </w:tc>
        <w:tc>
          <w:tcPr>
            <w:tcW w:w="1042" w:type="pct"/>
            <w:vAlign w:val="center"/>
          </w:tcPr>
          <w:p>
            <w:pPr>
              <w:spacing w:line="280" w:lineRule="exact"/>
              <w:jc w:val="center"/>
              <w:rPr>
                <w:color w:val="auto"/>
                <w:szCs w:val="21"/>
              </w:rPr>
            </w:pPr>
            <w:r>
              <w:rPr>
                <w:rFonts w:hint="eastAsia"/>
                <w:color w:val="auto"/>
                <w:kern w:val="0"/>
                <w:szCs w:val="21"/>
              </w:rPr>
              <w:t>双光辊破碎机等设备</w:t>
            </w:r>
          </w:p>
        </w:tc>
        <w:tc>
          <w:tcPr>
            <w:tcW w:w="857" w:type="pct"/>
            <w:vAlign w:val="center"/>
          </w:tcPr>
          <w:p>
            <w:pPr>
              <w:adjustRightInd w:val="0"/>
              <w:snapToGrid w:val="0"/>
              <w:jc w:val="center"/>
              <w:rPr>
                <w:color w:val="auto"/>
                <w:szCs w:val="21"/>
              </w:rPr>
            </w:pPr>
            <w:r>
              <w:rPr>
                <w:color w:val="auto"/>
                <w:szCs w:val="21"/>
              </w:rPr>
              <w:t>噪声</w:t>
            </w:r>
          </w:p>
        </w:tc>
        <w:tc>
          <w:tcPr>
            <w:tcW w:w="1159" w:type="pct"/>
            <w:vAlign w:val="center"/>
          </w:tcPr>
          <w:p>
            <w:pPr>
              <w:autoSpaceDE w:val="0"/>
              <w:autoSpaceDN w:val="0"/>
              <w:adjustRightInd w:val="0"/>
              <w:jc w:val="center"/>
              <w:rPr>
                <w:color w:val="auto"/>
                <w:szCs w:val="21"/>
              </w:rPr>
            </w:pPr>
            <w:r>
              <w:rPr>
                <w:color w:val="auto"/>
                <w:szCs w:val="21"/>
              </w:rPr>
              <w:t>采取隔音、降噪、减振等措施，管道与设备接口处安装软性接头；风机配套消声器</w:t>
            </w:r>
          </w:p>
        </w:tc>
        <w:tc>
          <w:tcPr>
            <w:tcW w:w="1293" w:type="pct"/>
            <w:vAlign w:val="center"/>
          </w:tcPr>
          <w:p>
            <w:pPr>
              <w:jc w:val="center"/>
              <w:rPr>
                <w:color w:val="auto"/>
                <w:szCs w:val="21"/>
              </w:rPr>
            </w:pPr>
            <w:r>
              <w:rPr>
                <w:color w:val="auto"/>
                <w:szCs w:val="21"/>
              </w:rPr>
              <w:t>《工业企业厂界环境噪声排放标准》(GB1</w:t>
            </w:r>
            <w:r>
              <w:rPr>
                <w:rFonts w:hint="eastAsia"/>
                <w:color w:val="auto"/>
                <w:szCs w:val="21"/>
              </w:rPr>
              <w:t>20</w:t>
            </w:r>
            <w:r>
              <w:rPr>
                <w:color w:val="auto"/>
                <w:szCs w:val="21"/>
              </w:rPr>
              <w:t>48-2008)</w:t>
            </w:r>
            <w:r>
              <w:rPr>
                <w:rFonts w:hint="eastAsia"/>
                <w:color w:val="auto"/>
                <w:szCs w:val="21"/>
              </w:rPr>
              <w:t>中</w:t>
            </w:r>
            <w:r>
              <w:rPr>
                <w:rFonts w:hint="eastAsia"/>
                <w:color w:val="auto"/>
                <w:szCs w:val="21"/>
                <w:lang w:val="en-US" w:eastAsia="zh-CN"/>
              </w:rPr>
              <w:t>3</w:t>
            </w:r>
            <w:r>
              <w:rPr>
                <w:color w:val="auto"/>
                <w:szCs w:val="21"/>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48" w:type="pct"/>
            <w:vAlign w:val="center"/>
          </w:tcPr>
          <w:p>
            <w:pPr>
              <w:adjustRightInd w:val="0"/>
              <w:snapToGrid w:val="0"/>
              <w:jc w:val="center"/>
              <w:rPr>
                <w:color w:val="auto"/>
                <w:szCs w:val="21"/>
              </w:rPr>
            </w:pPr>
            <w:r>
              <w:rPr>
                <w:color w:val="auto"/>
                <w:szCs w:val="21"/>
              </w:rPr>
              <w:t>电磁辐射</w:t>
            </w:r>
          </w:p>
        </w:tc>
        <w:tc>
          <w:tcPr>
            <w:tcW w:w="1042" w:type="pct"/>
            <w:vAlign w:val="center"/>
          </w:tcPr>
          <w:p>
            <w:pPr>
              <w:adjustRightInd w:val="0"/>
              <w:snapToGrid w:val="0"/>
              <w:jc w:val="center"/>
              <w:rPr>
                <w:color w:val="auto"/>
                <w:szCs w:val="21"/>
              </w:rPr>
            </w:pPr>
            <w:r>
              <w:rPr>
                <w:color w:val="auto"/>
                <w:szCs w:val="21"/>
              </w:rPr>
              <w:t>/</w:t>
            </w:r>
          </w:p>
        </w:tc>
        <w:tc>
          <w:tcPr>
            <w:tcW w:w="857" w:type="pct"/>
            <w:vAlign w:val="center"/>
          </w:tcPr>
          <w:p>
            <w:pPr>
              <w:adjustRightInd w:val="0"/>
              <w:snapToGrid w:val="0"/>
              <w:jc w:val="center"/>
              <w:rPr>
                <w:color w:val="auto"/>
                <w:szCs w:val="21"/>
              </w:rPr>
            </w:pPr>
            <w:r>
              <w:rPr>
                <w:color w:val="auto"/>
                <w:szCs w:val="21"/>
              </w:rPr>
              <w:t>/</w:t>
            </w:r>
          </w:p>
        </w:tc>
        <w:tc>
          <w:tcPr>
            <w:tcW w:w="1159" w:type="pct"/>
            <w:vAlign w:val="center"/>
          </w:tcPr>
          <w:p>
            <w:pPr>
              <w:adjustRightInd w:val="0"/>
              <w:snapToGrid w:val="0"/>
              <w:jc w:val="center"/>
              <w:rPr>
                <w:color w:val="auto"/>
                <w:szCs w:val="21"/>
              </w:rPr>
            </w:pPr>
            <w:r>
              <w:rPr>
                <w:color w:val="auto"/>
                <w:szCs w:val="21"/>
              </w:rPr>
              <w:t>/</w:t>
            </w:r>
          </w:p>
        </w:tc>
        <w:tc>
          <w:tcPr>
            <w:tcW w:w="1293" w:type="pct"/>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pct"/>
            <w:vAlign w:val="center"/>
          </w:tcPr>
          <w:p>
            <w:pPr>
              <w:adjustRightInd w:val="0"/>
              <w:snapToGrid w:val="0"/>
              <w:jc w:val="center"/>
              <w:rPr>
                <w:color w:val="auto"/>
                <w:szCs w:val="21"/>
              </w:rPr>
            </w:pPr>
            <w:r>
              <w:rPr>
                <w:color w:val="auto"/>
                <w:szCs w:val="21"/>
              </w:rPr>
              <w:t>固体</w:t>
            </w:r>
          </w:p>
          <w:p>
            <w:pPr>
              <w:adjustRightInd w:val="0"/>
              <w:snapToGrid w:val="0"/>
              <w:jc w:val="center"/>
              <w:rPr>
                <w:color w:val="auto"/>
                <w:szCs w:val="21"/>
              </w:rPr>
            </w:pPr>
            <w:r>
              <w:rPr>
                <w:color w:val="auto"/>
                <w:szCs w:val="21"/>
              </w:rPr>
              <w:t>废物</w:t>
            </w:r>
          </w:p>
        </w:tc>
        <w:tc>
          <w:tcPr>
            <w:tcW w:w="4351" w:type="pct"/>
            <w:gridSpan w:val="4"/>
            <w:vAlign w:val="center"/>
          </w:tcPr>
          <w:p>
            <w:pPr>
              <w:pStyle w:val="38"/>
              <w:rPr>
                <w:color w:val="auto"/>
                <w:szCs w:val="21"/>
              </w:rPr>
            </w:pPr>
            <w:r>
              <w:rPr>
                <w:rFonts w:hint="eastAsia"/>
                <w:color w:val="auto"/>
                <w:szCs w:val="21"/>
              </w:rPr>
              <w:t>生极成型碎、石墨化碎和机加碎屑、除尘灰全部回用于生产系统；石墨化炉更换的废保温料作为增炭剂外售；石墨化炉检修产生的废耐火材料外售至耐火材料厂。</w:t>
            </w:r>
            <w:r>
              <w:rPr>
                <w:rFonts w:hint="eastAsia"/>
                <w:color w:val="auto"/>
                <w:szCs w:val="21"/>
                <w:lang w:val="en-US" w:eastAsia="zh-CN"/>
              </w:rPr>
              <w:t>废焦油回用于混捏成型工序；废石油焦粉吸附剂作为原料回用；其余</w:t>
            </w:r>
            <w:r>
              <w:rPr>
                <w:rFonts w:hint="eastAsia"/>
                <w:color w:val="auto"/>
                <w:szCs w:val="21"/>
              </w:rPr>
              <w:t>危险废物在危废间内存储，定期委托有资质单位清运、处置。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48" w:type="pct"/>
            <w:vAlign w:val="center"/>
          </w:tcPr>
          <w:p>
            <w:pPr>
              <w:adjustRightInd w:val="0"/>
              <w:snapToGrid w:val="0"/>
              <w:jc w:val="center"/>
              <w:rPr>
                <w:color w:val="auto"/>
                <w:szCs w:val="21"/>
              </w:rPr>
            </w:pPr>
            <w:r>
              <w:rPr>
                <w:color w:val="auto"/>
                <w:szCs w:val="21"/>
              </w:rPr>
              <w:t>土壤及地下水污染防治措施</w:t>
            </w:r>
          </w:p>
        </w:tc>
        <w:tc>
          <w:tcPr>
            <w:tcW w:w="4351" w:type="pct"/>
            <w:gridSpan w:val="4"/>
            <w:vAlign w:val="center"/>
          </w:tcPr>
          <w:p>
            <w:pPr>
              <w:adjustRightInd w:val="0"/>
              <w:snapToGrid w:val="0"/>
              <w:jc w:val="center"/>
              <w:rPr>
                <w:color w:val="auto"/>
                <w:szCs w:val="21"/>
              </w:rPr>
            </w:pPr>
            <w:r>
              <w:rPr>
                <w:color w:val="auto"/>
                <w:szCs w:val="21"/>
              </w:rPr>
              <w:t>炭块冷却水循环水池，主要污染因子为石油类。该循环水池防渗措施划定为重点防渗，防渗技术要求为：等效粘土防渗层Mb≥6.0m，K≤1.0×10</w:t>
            </w:r>
            <w:r>
              <w:rPr>
                <w:color w:val="auto"/>
                <w:szCs w:val="21"/>
                <w:vertAlign w:val="superscript"/>
              </w:rPr>
              <w:t>-7</w:t>
            </w:r>
            <w:r>
              <w:rPr>
                <w:color w:val="auto"/>
                <w:szCs w:val="21"/>
              </w:rPr>
              <w:t>cm/s，具体措施为：钢筋混凝土抗渗等级不宜低于P8，池底和池壁厚度均≥160mm。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648" w:type="pct"/>
            <w:vAlign w:val="center"/>
          </w:tcPr>
          <w:p>
            <w:pPr>
              <w:adjustRightInd w:val="0"/>
              <w:snapToGrid w:val="0"/>
              <w:jc w:val="center"/>
              <w:rPr>
                <w:color w:val="auto"/>
                <w:szCs w:val="21"/>
              </w:rPr>
            </w:pPr>
            <w:r>
              <w:rPr>
                <w:color w:val="auto"/>
                <w:szCs w:val="21"/>
              </w:rPr>
              <w:t>生态保护措施</w:t>
            </w:r>
          </w:p>
        </w:tc>
        <w:tc>
          <w:tcPr>
            <w:tcW w:w="4351" w:type="pct"/>
            <w:gridSpan w:val="4"/>
            <w:vAlign w:val="center"/>
          </w:tcPr>
          <w:p>
            <w:pPr>
              <w:adjustRightInd w:val="0"/>
              <w:snapToGrid w:val="0"/>
              <w:jc w:val="center"/>
              <w:rPr>
                <w:color w:val="auto"/>
                <w:szCs w:val="21"/>
              </w:rPr>
            </w:pPr>
            <w:r>
              <w:rPr>
                <w:rFonts w:hint="eastAsia"/>
                <w:color w:val="auto"/>
                <w:szCs w:val="21"/>
              </w:rPr>
              <w:t>场地硬化+植被恢复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48" w:type="pct"/>
            <w:vAlign w:val="center"/>
          </w:tcPr>
          <w:p>
            <w:pPr>
              <w:adjustRightInd w:val="0"/>
              <w:snapToGrid w:val="0"/>
              <w:jc w:val="center"/>
              <w:rPr>
                <w:color w:val="auto"/>
                <w:spacing w:val="-8"/>
                <w:szCs w:val="21"/>
              </w:rPr>
            </w:pPr>
            <w:r>
              <w:rPr>
                <w:color w:val="auto"/>
                <w:spacing w:val="-8"/>
                <w:szCs w:val="21"/>
              </w:rPr>
              <w:t>环境风险</w:t>
            </w:r>
          </w:p>
          <w:p>
            <w:pPr>
              <w:adjustRightInd w:val="0"/>
              <w:snapToGrid w:val="0"/>
              <w:jc w:val="center"/>
              <w:rPr>
                <w:color w:val="auto"/>
                <w:spacing w:val="-8"/>
                <w:szCs w:val="21"/>
              </w:rPr>
            </w:pPr>
            <w:r>
              <w:rPr>
                <w:color w:val="auto"/>
                <w:spacing w:val="-8"/>
                <w:szCs w:val="21"/>
              </w:rPr>
              <w:t>防范措施</w:t>
            </w:r>
          </w:p>
        </w:tc>
        <w:tc>
          <w:tcPr>
            <w:tcW w:w="4351" w:type="pct"/>
            <w:gridSpan w:val="4"/>
            <w:vAlign w:val="center"/>
          </w:tcPr>
          <w:p>
            <w:pPr>
              <w:adjustRightInd w:val="0"/>
              <w:snapToGrid w:val="0"/>
              <w:jc w:val="left"/>
              <w:rPr>
                <w:color w:val="auto"/>
                <w:szCs w:val="21"/>
              </w:rPr>
            </w:pPr>
            <w:r>
              <w:rPr>
                <w:rFonts w:hint="eastAsia"/>
                <w:color w:val="auto"/>
                <w:szCs w:val="21"/>
              </w:rPr>
              <w:t>沥青</w:t>
            </w:r>
            <w:r>
              <w:rPr>
                <w:color w:val="auto"/>
                <w:szCs w:val="21"/>
              </w:rPr>
              <w:t>罐区设置围堰，围堰容积大于单个贮罐容积，围堰与罐体之间保证足够的安全距离，围堰作防渗漏、防腐蚀处理。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8" w:hRule="atLeast"/>
          <w:jc w:val="center"/>
        </w:trPr>
        <w:tc>
          <w:tcPr>
            <w:tcW w:w="648" w:type="pct"/>
            <w:vAlign w:val="center"/>
          </w:tcPr>
          <w:p>
            <w:pPr>
              <w:adjustRightInd w:val="0"/>
              <w:snapToGrid w:val="0"/>
              <w:jc w:val="center"/>
              <w:rPr>
                <w:color w:val="auto"/>
                <w:spacing w:val="-8"/>
                <w:sz w:val="24"/>
              </w:rPr>
            </w:pPr>
            <w:r>
              <w:rPr>
                <w:color w:val="auto"/>
                <w:spacing w:val="-8"/>
                <w:sz w:val="24"/>
              </w:rPr>
              <w:t>其他环境</w:t>
            </w:r>
          </w:p>
          <w:p>
            <w:pPr>
              <w:adjustRightInd w:val="0"/>
              <w:snapToGrid w:val="0"/>
              <w:jc w:val="center"/>
              <w:rPr>
                <w:color w:val="auto"/>
                <w:spacing w:val="-8"/>
                <w:szCs w:val="21"/>
              </w:rPr>
            </w:pPr>
            <w:r>
              <w:rPr>
                <w:color w:val="auto"/>
                <w:spacing w:val="-8"/>
                <w:sz w:val="24"/>
              </w:rPr>
              <w:t>管理要求</w:t>
            </w:r>
          </w:p>
        </w:tc>
        <w:tc>
          <w:tcPr>
            <w:tcW w:w="4351" w:type="pct"/>
            <w:gridSpan w:val="4"/>
            <w:vAlign w:val="center"/>
          </w:tcPr>
          <w:p>
            <w:pPr>
              <w:spacing w:line="360" w:lineRule="auto"/>
              <w:ind w:firstLine="482" w:firstLineChars="200"/>
              <w:rPr>
                <w:b/>
                <w:color w:val="auto"/>
                <w:sz w:val="24"/>
              </w:rPr>
            </w:pPr>
            <w:r>
              <w:rPr>
                <w:b/>
                <w:color w:val="auto"/>
                <w:sz w:val="24"/>
              </w:rPr>
              <w:t>1、环境管理计划</w:t>
            </w:r>
          </w:p>
          <w:p>
            <w:pPr>
              <w:spacing w:line="360" w:lineRule="auto"/>
              <w:ind w:firstLine="480" w:firstLineChars="200"/>
              <w:rPr>
                <w:b/>
                <w:bCs/>
                <w:color w:val="auto"/>
                <w:sz w:val="24"/>
              </w:rPr>
            </w:pPr>
            <w:r>
              <w:rPr>
                <w:bCs/>
                <w:color w:val="auto"/>
                <w:sz w:val="24"/>
              </w:rPr>
              <w:t>本</w:t>
            </w:r>
            <w:r>
              <w:rPr>
                <w:rFonts w:hint="eastAsia"/>
                <w:bCs/>
                <w:color w:val="auto"/>
                <w:sz w:val="24"/>
              </w:rPr>
              <w:t>项目</w:t>
            </w:r>
            <w:r>
              <w:rPr>
                <w:bCs/>
                <w:color w:val="auto"/>
                <w:sz w:val="24"/>
              </w:rPr>
              <w:t>环境管理工作计划见表</w:t>
            </w:r>
            <w:r>
              <w:rPr>
                <w:rFonts w:hint="eastAsia"/>
                <w:bCs/>
                <w:color w:val="auto"/>
                <w:sz w:val="24"/>
                <w:lang w:val="en-US" w:eastAsia="zh-CN"/>
              </w:rPr>
              <w:t>41</w:t>
            </w:r>
            <w:r>
              <w:rPr>
                <w:bCs/>
                <w:color w:val="auto"/>
                <w:sz w:val="24"/>
              </w:rPr>
              <w:t>。</w:t>
            </w:r>
          </w:p>
          <w:p>
            <w:pPr>
              <w:jc w:val="center"/>
              <w:rPr>
                <w:b/>
                <w:bCs/>
                <w:color w:val="auto"/>
                <w:sz w:val="24"/>
              </w:rPr>
            </w:pPr>
            <w:r>
              <w:rPr>
                <w:b/>
                <w:bCs/>
                <w:color w:val="auto"/>
                <w:sz w:val="24"/>
              </w:rPr>
              <w:t>表</w:t>
            </w:r>
            <w:r>
              <w:rPr>
                <w:rFonts w:hint="eastAsia"/>
                <w:b/>
                <w:bCs/>
                <w:color w:val="auto"/>
                <w:sz w:val="24"/>
                <w:lang w:val="en-US" w:eastAsia="zh-CN"/>
              </w:rPr>
              <w:t>41</w:t>
            </w:r>
            <w:r>
              <w:rPr>
                <w:b/>
                <w:bCs/>
                <w:color w:val="auto"/>
                <w:sz w:val="24"/>
              </w:rPr>
              <w:t xml:space="preserve"> 环境管理工作计划表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5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8" w:type="dxa"/>
                  <w:tcBorders>
                    <w:tl2br w:val="nil"/>
                    <w:tr2bl w:val="nil"/>
                  </w:tcBorders>
                  <w:vAlign w:val="center"/>
                </w:tcPr>
                <w:p>
                  <w:pPr>
                    <w:pStyle w:val="38"/>
                    <w:rPr>
                      <w:b/>
                      <w:bCs/>
                      <w:color w:val="auto"/>
                      <w:szCs w:val="21"/>
                    </w:rPr>
                  </w:pPr>
                  <w:r>
                    <w:rPr>
                      <w:b/>
                      <w:bCs/>
                      <w:color w:val="auto"/>
                      <w:szCs w:val="21"/>
                    </w:rPr>
                    <w:t>阶段</w:t>
                  </w:r>
                </w:p>
              </w:tc>
              <w:tc>
                <w:tcPr>
                  <w:tcW w:w="5611" w:type="dxa"/>
                  <w:tcBorders>
                    <w:tl2br w:val="nil"/>
                    <w:tr2bl w:val="nil"/>
                  </w:tcBorders>
                  <w:vAlign w:val="center"/>
                </w:tcPr>
                <w:p>
                  <w:pPr>
                    <w:pStyle w:val="38"/>
                    <w:rPr>
                      <w:b/>
                      <w:bCs/>
                      <w:color w:val="auto"/>
                      <w:szCs w:val="21"/>
                    </w:rPr>
                  </w:pPr>
                  <w:r>
                    <w:rPr>
                      <w:b/>
                      <w:bCs/>
                      <w:color w:val="auto"/>
                      <w:szCs w:val="21"/>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8" w:type="dxa"/>
                  <w:tcBorders>
                    <w:tl2br w:val="nil"/>
                    <w:tr2bl w:val="nil"/>
                  </w:tcBorders>
                  <w:vAlign w:val="center"/>
                </w:tcPr>
                <w:p>
                  <w:pPr>
                    <w:pStyle w:val="38"/>
                    <w:rPr>
                      <w:color w:val="auto"/>
                      <w:szCs w:val="21"/>
                    </w:rPr>
                  </w:pPr>
                  <w:r>
                    <w:rPr>
                      <w:color w:val="auto"/>
                      <w:szCs w:val="21"/>
                    </w:rPr>
                    <w:t>环境管理</w:t>
                  </w:r>
                </w:p>
                <w:p>
                  <w:pPr>
                    <w:pStyle w:val="38"/>
                    <w:rPr>
                      <w:color w:val="auto"/>
                      <w:szCs w:val="21"/>
                    </w:rPr>
                  </w:pPr>
                  <w:r>
                    <w:rPr>
                      <w:color w:val="auto"/>
                      <w:szCs w:val="21"/>
                    </w:rPr>
                    <w:t>机构的职能</w:t>
                  </w:r>
                </w:p>
              </w:tc>
              <w:tc>
                <w:tcPr>
                  <w:tcW w:w="5611" w:type="dxa"/>
                  <w:tcBorders>
                    <w:tl2br w:val="nil"/>
                    <w:tr2bl w:val="nil"/>
                  </w:tcBorders>
                  <w:vAlign w:val="center"/>
                </w:tcPr>
                <w:p>
                  <w:pPr>
                    <w:pStyle w:val="38"/>
                    <w:rPr>
                      <w:color w:val="auto"/>
                      <w:szCs w:val="21"/>
                    </w:rPr>
                  </w:pPr>
                  <w:r>
                    <w:rPr>
                      <w:color w:val="auto"/>
                      <w:szCs w:val="21"/>
                    </w:rPr>
                    <w:t>根据国家建设目环境管理规定，认真落实各项环保手续，完成各级环保主管部门对企业提出的环境要求，对企业内部各项管理计划的执行及完成情况进行监督，确保环境管理工作真正发挥作用。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8" w:type="dxa"/>
                  <w:tcBorders>
                    <w:tl2br w:val="nil"/>
                    <w:tr2bl w:val="nil"/>
                  </w:tcBorders>
                  <w:vAlign w:val="center"/>
                </w:tcPr>
                <w:p>
                  <w:pPr>
                    <w:pStyle w:val="38"/>
                    <w:rPr>
                      <w:color w:val="auto"/>
                      <w:szCs w:val="21"/>
                    </w:rPr>
                  </w:pPr>
                  <w:r>
                    <w:rPr>
                      <w:color w:val="auto"/>
                      <w:szCs w:val="21"/>
                    </w:rPr>
                    <w:t>建设期</w:t>
                  </w:r>
                </w:p>
              </w:tc>
              <w:tc>
                <w:tcPr>
                  <w:tcW w:w="5611" w:type="dxa"/>
                  <w:tcBorders>
                    <w:tl2br w:val="nil"/>
                    <w:tr2bl w:val="nil"/>
                  </w:tcBorders>
                  <w:vAlign w:val="center"/>
                </w:tcPr>
                <w:p>
                  <w:pPr>
                    <w:pStyle w:val="38"/>
                    <w:jc w:val="left"/>
                    <w:rPr>
                      <w:color w:val="auto"/>
                      <w:szCs w:val="21"/>
                    </w:rPr>
                  </w:pPr>
                  <w:r>
                    <w:rPr>
                      <w:rFonts w:hint="eastAsia"/>
                      <w:color w:val="auto"/>
                      <w:szCs w:val="21"/>
                    </w:rPr>
                    <w:t>1</w:t>
                  </w:r>
                  <w:r>
                    <w:rPr>
                      <w:color w:val="auto"/>
                      <w:szCs w:val="21"/>
                    </w:rPr>
                    <w:t>、</w:t>
                  </w:r>
                  <w:r>
                    <w:rPr>
                      <w:rFonts w:hint="eastAsia"/>
                      <w:color w:val="auto"/>
                      <w:szCs w:val="21"/>
                    </w:rPr>
                    <w:t>施工场地设围挡，</w:t>
                  </w:r>
                  <w:r>
                    <w:rPr>
                      <w:color w:val="auto"/>
                      <w:szCs w:val="21"/>
                    </w:rPr>
                    <w:t>施工便道定期洒水。</w:t>
                  </w:r>
                </w:p>
                <w:p>
                  <w:pPr>
                    <w:pStyle w:val="38"/>
                    <w:jc w:val="left"/>
                    <w:rPr>
                      <w:color w:val="auto"/>
                      <w:szCs w:val="21"/>
                    </w:rPr>
                  </w:pPr>
                  <w:r>
                    <w:rPr>
                      <w:rFonts w:hint="eastAsia"/>
                      <w:color w:val="auto"/>
                      <w:szCs w:val="21"/>
                    </w:rPr>
                    <w:t>2</w:t>
                  </w:r>
                  <w:r>
                    <w:rPr>
                      <w:color w:val="auto"/>
                      <w:szCs w:val="21"/>
                    </w:rPr>
                    <w:t>、临时建筑拆除、临时用地恢复绿化</w:t>
                  </w:r>
                  <w:r>
                    <w:rPr>
                      <w:rFonts w:hint="eastAsia"/>
                      <w:color w:val="auto"/>
                      <w:szCs w:val="21"/>
                    </w:rPr>
                    <w:t>，外运车辆加盖篷布，车身和轮胎冲洗后方能出场地</w:t>
                  </w:r>
                  <w:r>
                    <w:rPr>
                      <w:color w:val="auto"/>
                      <w:szCs w:val="21"/>
                    </w:rPr>
                    <w:t>。</w:t>
                  </w:r>
                </w:p>
                <w:p>
                  <w:pPr>
                    <w:pStyle w:val="38"/>
                    <w:jc w:val="left"/>
                    <w:rPr>
                      <w:color w:val="auto"/>
                      <w:szCs w:val="21"/>
                    </w:rPr>
                  </w:pPr>
                  <w:r>
                    <w:rPr>
                      <w:rFonts w:hint="eastAsia"/>
                      <w:color w:val="auto"/>
                      <w:szCs w:val="21"/>
                    </w:rPr>
                    <w:t>3</w:t>
                  </w:r>
                  <w:r>
                    <w:rPr>
                      <w:color w:val="auto"/>
                      <w:szCs w:val="21"/>
                    </w:rPr>
                    <w:t>、施工营地加强环境管理，提供合适的生活场所。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8" w:type="dxa"/>
                  <w:tcBorders>
                    <w:tl2br w:val="nil"/>
                    <w:tr2bl w:val="nil"/>
                  </w:tcBorders>
                  <w:vAlign w:val="center"/>
                </w:tcPr>
                <w:p>
                  <w:pPr>
                    <w:pStyle w:val="38"/>
                    <w:rPr>
                      <w:color w:val="auto"/>
                      <w:szCs w:val="21"/>
                    </w:rPr>
                  </w:pPr>
                  <w:r>
                    <w:rPr>
                      <w:color w:val="auto"/>
                      <w:szCs w:val="21"/>
                    </w:rPr>
                    <w:t>生产运行期</w:t>
                  </w:r>
                </w:p>
              </w:tc>
              <w:tc>
                <w:tcPr>
                  <w:tcW w:w="5611" w:type="dxa"/>
                  <w:tcBorders>
                    <w:tl2br w:val="nil"/>
                    <w:tr2bl w:val="nil"/>
                  </w:tcBorders>
                  <w:vAlign w:val="center"/>
                </w:tcPr>
                <w:p>
                  <w:pPr>
                    <w:pStyle w:val="38"/>
                    <w:jc w:val="left"/>
                    <w:rPr>
                      <w:color w:val="auto"/>
                      <w:szCs w:val="21"/>
                    </w:rPr>
                  </w:pPr>
                  <w:r>
                    <w:rPr>
                      <w:color w:val="auto"/>
                      <w:szCs w:val="21"/>
                    </w:rPr>
                    <w:t>1、严格执行各项生产及环境管理制度，保证生产的正常进行。</w:t>
                  </w:r>
                </w:p>
                <w:p>
                  <w:pPr>
                    <w:pStyle w:val="38"/>
                    <w:jc w:val="left"/>
                    <w:rPr>
                      <w:color w:val="auto"/>
                      <w:szCs w:val="21"/>
                    </w:rPr>
                  </w:pPr>
                  <w:r>
                    <w:rPr>
                      <w:color w:val="auto"/>
                      <w:szCs w:val="21"/>
                    </w:rPr>
                    <w:t>2、设立环保设施运行卡，对环保设施定期进行检查维护，做到勤查、勤记、勤养护。</w:t>
                  </w:r>
                </w:p>
                <w:p>
                  <w:pPr>
                    <w:pStyle w:val="38"/>
                    <w:jc w:val="left"/>
                    <w:rPr>
                      <w:color w:val="auto"/>
                      <w:szCs w:val="21"/>
                    </w:rPr>
                  </w:pPr>
                  <w:r>
                    <w:rPr>
                      <w:color w:val="auto"/>
                      <w:szCs w:val="21"/>
                    </w:rPr>
                    <w:t>3、按照监测计划组织厂内的污染源监测，对不达标装置立即寻找原因，及时处理。</w:t>
                  </w:r>
                </w:p>
                <w:p>
                  <w:pPr>
                    <w:pStyle w:val="38"/>
                    <w:jc w:val="left"/>
                    <w:rPr>
                      <w:color w:val="auto"/>
                      <w:szCs w:val="21"/>
                    </w:rPr>
                  </w:pPr>
                  <w:r>
                    <w:rPr>
                      <w:color w:val="auto"/>
                      <w:szCs w:val="21"/>
                    </w:rPr>
                    <w:t>4、不断加强技术培训，组织企业技术交流，提高操作水平，保持操作工人队伍稳定。</w:t>
                  </w:r>
                </w:p>
                <w:p>
                  <w:pPr>
                    <w:pStyle w:val="38"/>
                    <w:jc w:val="left"/>
                    <w:rPr>
                      <w:color w:val="auto"/>
                      <w:szCs w:val="21"/>
                    </w:rPr>
                  </w:pPr>
                  <w:r>
                    <w:rPr>
                      <w:color w:val="auto"/>
                      <w:szCs w:val="21"/>
                    </w:rPr>
                    <w:t>5、重点对跑、冒、滴、漏现象进行检查。</w:t>
                  </w:r>
                </w:p>
              </w:tc>
            </w:tr>
          </w:tbl>
          <w:p>
            <w:pPr>
              <w:pStyle w:val="42"/>
              <w:spacing w:before="240" w:beforeLines="100"/>
              <w:ind w:firstLine="482"/>
              <w:outlineLvl w:val="2"/>
              <w:rPr>
                <w:rFonts w:cs="Times New Roman"/>
                <w:b/>
                <w:bCs/>
                <w:color w:val="auto"/>
              </w:rPr>
            </w:pPr>
            <w:bookmarkStart w:id="21" w:name="_Toc15842"/>
            <w:bookmarkStart w:id="22" w:name="_Toc12102"/>
            <w:bookmarkStart w:id="23" w:name="_Toc27905"/>
            <w:bookmarkStart w:id="24" w:name="_Toc27124"/>
            <w:r>
              <w:rPr>
                <w:rFonts w:cs="Times New Roman"/>
                <w:b/>
                <w:bCs/>
                <w:color w:val="auto"/>
              </w:rPr>
              <w:t>2、排污口规范化设置</w:t>
            </w:r>
            <w:bookmarkEnd w:id="21"/>
            <w:bookmarkEnd w:id="22"/>
            <w:bookmarkEnd w:id="23"/>
            <w:bookmarkEnd w:id="24"/>
          </w:p>
          <w:p>
            <w:pPr>
              <w:pStyle w:val="43"/>
              <w:ind w:firstLine="480"/>
              <w:rPr>
                <w:rFonts w:cs="Times New Roman"/>
                <w:color w:val="auto"/>
              </w:rPr>
            </w:pPr>
            <w:r>
              <w:rPr>
                <w:rFonts w:cs="Times New Roman"/>
                <w:color w:val="auto"/>
              </w:rPr>
              <w:t>项目需要按照要求设立排污口。废水排放口应进行规范化设计，具备采样、监测条件，排放口附近树立环保图形标志牌。排污口应符合“一明显、二合理、三便于”的要求，即环保标志明显，排污口设置合理，排污去向合理，便于采集样品，便于监测计量，便于公众监督管理。</w:t>
            </w:r>
          </w:p>
          <w:p>
            <w:pPr>
              <w:pStyle w:val="43"/>
              <w:ind w:firstLine="480"/>
              <w:rPr>
                <w:rFonts w:cs="Times New Roman"/>
                <w:color w:val="auto"/>
              </w:rPr>
            </w:pPr>
            <w:r>
              <w:rPr>
                <w:rFonts w:cs="Times New Roman"/>
                <w:color w:val="auto"/>
              </w:rPr>
              <w:t>按照国家环境保护总局制定的《（环境保护图形标志）实施细则（试行）》（环监[1996]463号）的规定，在各排污口树立响应的环境保护图形标志牌，具体要求见表</w:t>
            </w:r>
            <w:r>
              <w:rPr>
                <w:rFonts w:hint="eastAsia" w:cs="Times New Roman"/>
                <w:color w:val="auto"/>
                <w:lang w:val="en-US" w:eastAsia="zh-CN"/>
              </w:rPr>
              <w:t>42</w:t>
            </w:r>
            <w:r>
              <w:rPr>
                <w:rFonts w:cs="Times New Roman"/>
                <w:color w:val="auto"/>
              </w:rPr>
              <w:t>。</w:t>
            </w:r>
          </w:p>
          <w:p>
            <w:pPr>
              <w:pStyle w:val="43"/>
              <w:ind w:firstLine="480"/>
              <w:rPr>
                <w:rFonts w:cs="Times New Roman"/>
                <w:color w:val="auto"/>
              </w:rPr>
            </w:pPr>
          </w:p>
          <w:p>
            <w:pPr>
              <w:pStyle w:val="43"/>
              <w:ind w:firstLine="480"/>
              <w:rPr>
                <w:rFonts w:cs="Times New Roman"/>
                <w:color w:val="auto"/>
              </w:rPr>
            </w:pPr>
          </w:p>
          <w:p>
            <w:pPr>
              <w:pStyle w:val="43"/>
              <w:ind w:firstLine="480"/>
              <w:rPr>
                <w:rFonts w:cs="Times New Roman"/>
                <w:color w:val="auto"/>
              </w:rPr>
            </w:pPr>
          </w:p>
          <w:p>
            <w:pPr>
              <w:pStyle w:val="43"/>
              <w:ind w:firstLine="480"/>
              <w:rPr>
                <w:rFonts w:cs="Times New Roman"/>
                <w:color w:val="auto"/>
              </w:rPr>
            </w:pPr>
          </w:p>
          <w:p>
            <w:pPr>
              <w:pStyle w:val="43"/>
              <w:ind w:firstLine="480"/>
              <w:rPr>
                <w:rFonts w:cs="Times New Roman"/>
                <w:color w:val="auto"/>
              </w:rPr>
            </w:pPr>
          </w:p>
          <w:p>
            <w:pPr>
              <w:pStyle w:val="43"/>
              <w:ind w:firstLine="480"/>
              <w:rPr>
                <w:rFonts w:cs="Times New Roman"/>
                <w:color w:val="auto"/>
              </w:rPr>
            </w:pPr>
          </w:p>
          <w:p>
            <w:pPr>
              <w:pStyle w:val="43"/>
              <w:ind w:firstLine="480"/>
              <w:rPr>
                <w:rFonts w:cs="Times New Roman"/>
                <w:color w:val="auto"/>
              </w:rPr>
            </w:pPr>
          </w:p>
          <w:p>
            <w:pPr>
              <w:jc w:val="center"/>
              <w:rPr>
                <w:b/>
                <w:bCs/>
                <w:color w:val="auto"/>
                <w:sz w:val="24"/>
              </w:rPr>
            </w:pPr>
            <w:r>
              <w:rPr>
                <w:rFonts w:hint="eastAsia"/>
                <w:b/>
                <w:bCs/>
                <w:color w:val="auto"/>
                <w:sz w:val="24"/>
              </w:rPr>
              <w:t>表</w:t>
            </w:r>
            <w:r>
              <w:rPr>
                <w:rFonts w:hint="eastAsia"/>
                <w:b/>
                <w:bCs/>
                <w:color w:val="auto"/>
                <w:sz w:val="24"/>
                <w:lang w:val="en-US" w:eastAsia="zh-CN"/>
              </w:rPr>
              <w:t xml:space="preserve">42 </w:t>
            </w:r>
            <w:r>
              <w:rPr>
                <w:rFonts w:hint="eastAsia"/>
                <w:b/>
                <w:bCs/>
                <w:color w:val="auto"/>
                <w:sz w:val="24"/>
              </w:rPr>
              <w:t>环境保护图形标志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37"/>
              <w:gridCol w:w="180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tcBorders>
                    <w:tl2br w:val="nil"/>
                    <w:tr2bl w:val="nil"/>
                  </w:tcBorders>
                </w:tcPr>
                <w:p>
                  <w:pPr>
                    <w:jc w:val="center"/>
                    <w:rPr>
                      <w:b/>
                      <w:bCs/>
                      <w:color w:val="auto"/>
                      <w:szCs w:val="21"/>
                    </w:rPr>
                  </w:pPr>
                  <w:r>
                    <w:rPr>
                      <w:b/>
                      <w:bCs/>
                      <w:color w:val="auto"/>
                      <w:szCs w:val="21"/>
                    </w:rPr>
                    <w:drawing>
                      <wp:inline distT="0" distB="0" distL="114300" distR="114300">
                        <wp:extent cx="1007745" cy="935990"/>
                        <wp:effectExtent l="0" t="0" r="1905" b="16510"/>
                        <wp:docPr id="10" name="图片 10" descr="3e7b6366c29f2a67f96f82174b52522"/>
                        <wp:cNvGraphicFramePr/>
                        <a:graphic xmlns:a="http://schemas.openxmlformats.org/drawingml/2006/main">
                          <a:graphicData uri="http://schemas.openxmlformats.org/drawingml/2006/picture">
                            <pic:pic xmlns:pic="http://schemas.openxmlformats.org/drawingml/2006/picture">
                              <pic:nvPicPr>
                                <pic:cNvPr id="10" name="图片 10" descr="3e7b6366c29f2a67f96f82174b52522"/>
                                <pic:cNvPicPr/>
                              </pic:nvPicPr>
                              <pic:blipFill>
                                <a:blip r:embed="rId27"/>
                                <a:stretch>
                                  <a:fillRect/>
                                </a:stretch>
                              </pic:blipFill>
                              <pic:spPr>
                                <a:xfrm>
                                  <a:off x="0" y="0"/>
                                  <a:ext cx="1007745" cy="935990"/>
                                </a:xfrm>
                                <a:prstGeom prst="rect">
                                  <a:avLst/>
                                </a:prstGeom>
                              </pic:spPr>
                            </pic:pic>
                          </a:graphicData>
                        </a:graphic>
                      </wp:inline>
                    </w:drawing>
                  </w:r>
                </w:p>
              </w:tc>
              <w:tc>
                <w:tcPr>
                  <w:tcW w:w="1852" w:type="dxa"/>
                  <w:tcBorders>
                    <w:tl2br w:val="nil"/>
                    <w:tr2bl w:val="nil"/>
                  </w:tcBorders>
                  <w:vAlign w:val="center"/>
                </w:tcPr>
                <w:p>
                  <w:pPr>
                    <w:pStyle w:val="12"/>
                    <w:spacing w:line="288" w:lineRule="auto"/>
                    <w:ind w:firstLine="0" w:firstLineChars="0"/>
                    <w:jc w:val="center"/>
                    <w:rPr>
                      <w:rFonts w:ascii="Times New Roman" w:hAnsi="Times New Roman" w:cs="Times New Roman"/>
                      <w:bCs/>
                      <w:color w:val="auto"/>
                    </w:rPr>
                  </w:pPr>
                  <w:r>
                    <w:rPr>
                      <w:rFonts w:hint="eastAsia" w:ascii="Times New Roman" w:hAnsi="Times New Roman" w:cs="Times New Roman"/>
                      <w:bCs/>
                      <w:color w:val="auto"/>
                    </w:rPr>
                    <w:t>简介：污水排放口提示图形符号</w:t>
                  </w:r>
                </w:p>
                <w:p>
                  <w:pPr>
                    <w:pStyle w:val="12"/>
                    <w:spacing w:line="288" w:lineRule="auto"/>
                    <w:ind w:firstLine="0" w:firstLineChars="0"/>
                    <w:jc w:val="center"/>
                    <w:rPr>
                      <w:rFonts w:ascii="Times New Roman" w:hAnsi="Times New Roman"/>
                      <w:color w:val="auto"/>
                    </w:rPr>
                  </w:pPr>
                  <w:r>
                    <w:rPr>
                      <w:rFonts w:hint="eastAsia" w:ascii="Times New Roman" w:hAnsi="Times New Roman" w:cs="Times New Roman"/>
                      <w:bCs/>
                      <w:color w:val="auto"/>
                    </w:rPr>
                    <w:t>表示污水向水体环境排放</w:t>
                  </w:r>
                </w:p>
              </w:tc>
              <w:tc>
                <w:tcPr>
                  <w:tcW w:w="1672" w:type="dxa"/>
                  <w:tcBorders>
                    <w:tl2br w:val="nil"/>
                    <w:tr2bl w:val="nil"/>
                  </w:tcBorders>
                </w:tcPr>
                <w:p>
                  <w:pPr>
                    <w:jc w:val="center"/>
                    <w:rPr>
                      <w:b/>
                      <w:bCs/>
                      <w:color w:val="auto"/>
                      <w:szCs w:val="21"/>
                    </w:rPr>
                  </w:pPr>
                  <w:r>
                    <w:rPr>
                      <w:b/>
                      <w:bCs/>
                      <w:color w:val="auto"/>
                      <w:szCs w:val="21"/>
                    </w:rPr>
                    <w:drawing>
                      <wp:inline distT="0" distB="0" distL="114300" distR="114300">
                        <wp:extent cx="1007745" cy="935990"/>
                        <wp:effectExtent l="0" t="0" r="1905" b="16510"/>
                        <wp:docPr id="11" name="图片 11" descr="796924b1e70461c4d0c67c075f77547"/>
                        <wp:cNvGraphicFramePr/>
                        <a:graphic xmlns:a="http://schemas.openxmlformats.org/drawingml/2006/main">
                          <a:graphicData uri="http://schemas.openxmlformats.org/drawingml/2006/picture">
                            <pic:pic xmlns:pic="http://schemas.openxmlformats.org/drawingml/2006/picture">
                              <pic:nvPicPr>
                                <pic:cNvPr id="11" name="图片 11" descr="796924b1e70461c4d0c67c075f77547"/>
                                <pic:cNvPicPr/>
                              </pic:nvPicPr>
                              <pic:blipFill>
                                <a:blip r:embed="rId28"/>
                                <a:stretch>
                                  <a:fillRect/>
                                </a:stretch>
                              </pic:blipFill>
                              <pic:spPr>
                                <a:xfrm>
                                  <a:off x="0" y="0"/>
                                  <a:ext cx="1007745" cy="935990"/>
                                </a:xfrm>
                                <a:prstGeom prst="rect">
                                  <a:avLst/>
                                </a:prstGeom>
                              </pic:spPr>
                            </pic:pic>
                          </a:graphicData>
                        </a:graphic>
                      </wp:inline>
                    </w:drawing>
                  </w:r>
                </w:p>
              </w:tc>
              <w:tc>
                <w:tcPr>
                  <w:tcW w:w="1759" w:type="dxa"/>
                  <w:tcBorders>
                    <w:tl2br w:val="nil"/>
                    <w:tr2bl w:val="nil"/>
                  </w:tcBorders>
                  <w:vAlign w:val="center"/>
                </w:tcPr>
                <w:p>
                  <w:pPr>
                    <w:pStyle w:val="12"/>
                    <w:spacing w:line="288" w:lineRule="auto"/>
                    <w:ind w:firstLine="0" w:firstLineChars="0"/>
                    <w:jc w:val="center"/>
                    <w:rPr>
                      <w:rFonts w:ascii="Times New Roman" w:hAnsi="Times New Roman" w:cs="Times New Roman"/>
                      <w:bCs/>
                      <w:color w:val="auto"/>
                    </w:rPr>
                  </w:pPr>
                  <w:r>
                    <w:rPr>
                      <w:rFonts w:hint="eastAsia" w:ascii="Times New Roman" w:hAnsi="Times New Roman" w:cs="Times New Roman"/>
                      <w:bCs/>
                      <w:color w:val="auto"/>
                    </w:rPr>
                    <w:t>简介：噪声排放源提示图形符号</w:t>
                  </w:r>
                </w:p>
                <w:p>
                  <w:pPr>
                    <w:jc w:val="center"/>
                    <w:rPr>
                      <w:b/>
                      <w:bCs/>
                      <w:color w:val="auto"/>
                      <w:szCs w:val="21"/>
                    </w:rPr>
                  </w:pPr>
                  <w:r>
                    <w:rPr>
                      <w:rFonts w:hint="eastAsia"/>
                      <w:bCs/>
                      <w:color w:val="auto"/>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1764" w:type="dxa"/>
                  <w:tcBorders>
                    <w:tl2br w:val="nil"/>
                    <w:tr2bl w:val="nil"/>
                  </w:tcBorders>
                </w:tcPr>
                <w:p>
                  <w:pPr>
                    <w:pStyle w:val="59"/>
                    <w:jc w:val="both"/>
                    <w:rPr>
                      <w:color w:val="auto"/>
                    </w:rPr>
                  </w:pPr>
                  <w:r>
                    <w:rPr>
                      <w:color w:val="auto"/>
                    </w:rPr>
                    <w:t>窗体顶端</w:t>
                  </w:r>
                </w:p>
                <w:p>
                  <w:pPr>
                    <w:widowControl/>
                    <w:rPr>
                      <w:b/>
                      <w:bCs/>
                      <w:color w:val="auto"/>
                      <w:szCs w:val="21"/>
                    </w:rPr>
                  </w:pPr>
                  <w:r>
                    <w:rPr>
                      <w:rFonts w:hint="eastAsia"/>
                      <w:color w:val="auto"/>
                    </w:rPr>
                    <w:t xml:space="preserve"> </w:t>
                  </w:r>
                  <w:r>
                    <w:rPr>
                      <w:color w:val="auto"/>
                    </w:rPr>
                    <w:drawing>
                      <wp:inline distT="0" distB="0" distL="114300" distR="114300">
                        <wp:extent cx="872490" cy="836295"/>
                        <wp:effectExtent l="0" t="0" r="3810"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9"/>
                                <a:stretch>
                                  <a:fillRect/>
                                </a:stretch>
                              </pic:blipFill>
                              <pic:spPr>
                                <a:xfrm>
                                  <a:off x="0" y="0"/>
                                  <a:ext cx="872490" cy="836295"/>
                                </a:xfrm>
                                <a:prstGeom prst="rect">
                                  <a:avLst/>
                                </a:prstGeom>
                                <a:noFill/>
                                <a:ln>
                                  <a:noFill/>
                                </a:ln>
                              </pic:spPr>
                            </pic:pic>
                          </a:graphicData>
                        </a:graphic>
                      </wp:inline>
                    </w:drawing>
                  </w:r>
                </w:p>
              </w:tc>
              <w:tc>
                <w:tcPr>
                  <w:tcW w:w="1852" w:type="dxa"/>
                  <w:tcBorders>
                    <w:tl2br w:val="nil"/>
                    <w:tr2bl w:val="nil"/>
                  </w:tcBorders>
                  <w:vAlign w:val="center"/>
                </w:tcPr>
                <w:p>
                  <w:pPr>
                    <w:pStyle w:val="12"/>
                    <w:spacing w:line="288" w:lineRule="auto"/>
                    <w:ind w:firstLine="0" w:firstLineChars="0"/>
                    <w:jc w:val="center"/>
                    <w:rPr>
                      <w:rFonts w:ascii="Times New Roman" w:hAnsi="Times New Roman" w:cs="Times New Roman"/>
                      <w:b/>
                      <w:bCs/>
                      <w:color w:val="auto"/>
                    </w:rPr>
                  </w:pPr>
                  <w:r>
                    <w:rPr>
                      <w:rFonts w:hint="eastAsia" w:ascii="Times New Roman" w:hAnsi="Times New Roman" w:cs="Times New Roman"/>
                      <w:bCs/>
                      <w:color w:val="auto"/>
                    </w:rPr>
                    <w:t>简介：危险废物警示标示</w:t>
                  </w:r>
                </w:p>
              </w:tc>
              <w:tc>
                <w:tcPr>
                  <w:tcW w:w="1672" w:type="dxa"/>
                  <w:tcBorders>
                    <w:tl2br w:val="nil"/>
                    <w:tr2bl w:val="nil"/>
                  </w:tcBorders>
                </w:tcPr>
                <w:p>
                  <w:pPr>
                    <w:jc w:val="center"/>
                    <w:rPr>
                      <w:b/>
                      <w:bCs/>
                      <w:color w:val="auto"/>
                      <w:szCs w:val="21"/>
                    </w:rPr>
                  </w:pPr>
                  <w:r>
                    <w:rPr>
                      <w:color w:val="auto"/>
                    </w:rPr>
                    <w:drawing>
                      <wp:inline distT="0" distB="0" distL="114300" distR="114300">
                        <wp:extent cx="897255" cy="935990"/>
                        <wp:effectExtent l="0" t="0" r="17145" b="1651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30"/>
                                <a:stretch>
                                  <a:fillRect/>
                                </a:stretch>
                              </pic:blipFill>
                              <pic:spPr>
                                <a:xfrm>
                                  <a:off x="0" y="0"/>
                                  <a:ext cx="897255" cy="935990"/>
                                </a:xfrm>
                                <a:prstGeom prst="rect">
                                  <a:avLst/>
                                </a:prstGeom>
                                <a:noFill/>
                                <a:ln>
                                  <a:noFill/>
                                </a:ln>
                              </pic:spPr>
                            </pic:pic>
                          </a:graphicData>
                        </a:graphic>
                      </wp:inline>
                    </w:drawing>
                  </w:r>
                </w:p>
              </w:tc>
              <w:tc>
                <w:tcPr>
                  <w:tcW w:w="1759" w:type="dxa"/>
                  <w:tcBorders>
                    <w:tl2br w:val="nil"/>
                    <w:tr2bl w:val="nil"/>
                  </w:tcBorders>
                  <w:vAlign w:val="center"/>
                </w:tcPr>
                <w:p>
                  <w:pPr>
                    <w:pStyle w:val="12"/>
                    <w:spacing w:line="288" w:lineRule="auto"/>
                    <w:ind w:firstLine="0" w:firstLineChars="0"/>
                    <w:jc w:val="center"/>
                    <w:rPr>
                      <w:rFonts w:ascii="Times New Roman" w:hAnsi="Times New Roman" w:cs="Times New Roman"/>
                      <w:bCs/>
                      <w:color w:val="auto"/>
                    </w:rPr>
                  </w:pPr>
                  <w:r>
                    <w:rPr>
                      <w:rFonts w:hint="eastAsia" w:ascii="Times New Roman" w:hAnsi="Times New Roman" w:cs="Times New Roman"/>
                      <w:bCs/>
                      <w:color w:val="auto"/>
                    </w:rPr>
                    <w:t>简介：废气排放源提示图形符号</w:t>
                  </w:r>
                </w:p>
                <w:p>
                  <w:pPr>
                    <w:jc w:val="center"/>
                    <w:rPr>
                      <w:b/>
                      <w:bCs/>
                      <w:color w:val="auto"/>
                      <w:szCs w:val="21"/>
                    </w:rPr>
                  </w:pPr>
                  <w:r>
                    <w:rPr>
                      <w:rFonts w:hint="eastAsia"/>
                      <w:bCs/>
                      <w:color w:val="auto"/>
                      <w:szCs w:val="21"/>
                    </w:rPr>
                    <w:t>表示噪声向外环境排放</w:t>
                  </w:r>
                </w:p>
              </w:tc>
            </w:tr>
          </w:tbl>
          <w:p>
            <w:pPr>
              <w:jc w:val="center"/>
              <w:rPr>
                <w:b/>
                <w:bCs/>
                <w:color w:val="auto"/>
                <w:szCs w:val="21"/>
              </w:rPr>
            </w:pPr>
          </w:p>
          <w:p>
            <w:pPr>
              <w:pStyle w:val="44"/>
              <w:numPr>
                <w:ilvl w:val="0"/>
                <w:numId w:val="0"/>
              </w:numPr>
              <w:spacing w:line="360" w:lineRule="auto"/>
              <w:ind w:left="420" w:leftChars="200"/>
              <w:jc w:val="left"/>
              <w:rPr>
                <w:rFonts w:ascii="Times New Roman" w:hAnsi="Times New Roman" w:eastAsia="宋体"/>
                <w:color w:val="auto"/>
                <w:sz w:val="24"/>
                <w:szCs w:val="24"/>
              </w:rPr>
            </w:pPr>
            <w:r>
              <w:rPr>
                <w:rFonts w:ascii="Times New Roman" w:hAnsi="Times New Roman" w:eastAsia="宋体"/>
                <w:color w:val="auto"/>
                <w:sz w:val="24"/>
                <w:szCs w:val="24"/>
              </w:rPr>
              <w:t>3、管理监测信息公开</w:t>
            </w:r>
          </w:p>
          <w:p>
            <w:pPr>
              <w:spacing w:line="360" w:lineRule="auto"/>
              <w:ind w:firstLine="480" w:firstLineChars="200"/>
              <w:rPr>
                <w:color w:val="auto"/>
                <w:sz w:val="24"/>
              </w:rPr>
            </w:pPr>
            <w:r>
              <w:rPr>
                <w:color w:val="auto"/>
                <w:sz w:val="24"/>
              </w:rPr>
              <w:t>根据《企业事业单位环境信息公开办法》，企业事业单位应当建立健全本单位环境信息公开制度，通过其网站、企业事业单位环境信息公开平台或者当地报刊等便于公众知晓的方式公开环境信息，主要公开内容如下：</w:t>
            </w:r>
          </w:p>
          <w:p>
            <w:pPr>
              <w:spacing w:line="360" w:lineRule="auto"/>
              <w:ind w:firstLine="480" w:firstLineChars="200"/>
              <w:rPr>
                <w:color w:val="auto"/>
                <w:sz w:val="24"/>
              </w:rPr>
            </w:pPr>
            <w:r>
              <w:rPr>
                <w:rFonts w:hint="eastAsia"/>
                <w:color w:val="auto"/>
                <w:sz w:val="24"/>
              </w:rPr>
              <w:t>（1）</w:t>
            </w:r>
            <w:r>
              <w:rPr>
                <w:color w:val="auto"/>
                <w:sz w:val="24"/>
              </w:rPr>
              <w:t>基础信息，包括单位名称、组织机构代码、法定代表人、生产地址、联系方式，以及生产经营和管理服务的主要内容、产品及规模；</w:t>
            </w:r>
          </w:p>
          <w:p>
            <w:pPr>
              <w:spacing w:line="360" w:lineRule="auto"/>
              <w:ind w:firstLine="480" w:firstLineChars="200"/>
              <w:rPr>
                <w:color w:val="auto"/>
                <w:sz w:val="24"/>
              </w:rPr>
            </w:pPr>
            <w:r>
              <w:rPr>
                <w:rFonts w:hint="eastAsia"/>
                <w:color w:val="auto"/>
                <w:sz w:val="24"/>
              </w:rPr>
              <w:t>（2）</w:t>
            </w:r>
            <w:r>
              <w:rPr>
                <w:color w:val="auto"/>
                <w:sz w:val="24"/>
              </w:rPr>
              <w:t>排污信息，包括主要污染物及特征污染物的名称、排放方式、排放口数量和分布情况、排放浓度和总量、超标情况以及执行的污染物排放标准、核定的排放总量；</w:t>
            </w:r>
          </w:p>
          <w:p>
            <w:pPr>
              <w:spacing w:line="360" w:lineRule="auto"/>
              <w:ind w:firstLine="480" w:firstLineChars="200"/>
              <w:rPr>
                <w:color w:val="auto"/>
                <w:sz w:val="24"/>
              </w:rPr>
            </w:pPr>
            <w:r>
              <w:rPr>
                <w:rFonts w:hint="eastAsia"/>
                <w:color w:val="auto"/>
                <w:sz w:val="24"/>
              </w:rPr>
              <w:t>（3）</w:t>
            </w:r>
            <w:r>
              <w:rPr>
                <w:color w:val="auto"/>
                <w:sz w:val="24"/>
              </w:rPr>
              <w:t>防治污染设施的建设和运行情况；</w:t>
            </w:r>
          </w:p>
          <w:p>
            <w:pPr>
              <w:spacing w:line="360" w:lineRule="auto"/>
              <w:ind w:firstLine="480" w:firstLineChars="200"/>
              <w:rPr>
                <w:color w:val="auto"/>
                <w:sz w:val="24"/>
              </w:rPr>
            </w:pPr>
            <w:r>
              <w:rPr>
                <w:rFonts w:hint="eastAsia"/>
                <w:color w:val="auto"/>
                <w:sz w:val="24"/>
              </w:rPr>
              <w:t>（4）</w:t>
            </w:r>
            <w:r>
              <w:rPr>
                <w:color w:val="auto"/>
                <w:sz w:val="24"/>
              </w:rPr>
              <w:t>建设项目环境影响评价及其他环境保护行政许可情况；</w:t>
            </w:r>
          </w:p>
          <w:p>
            <w:pPr>
              <w:spacing w:line="360" w:lineRule="auto"/>
              <w:ind w:firstLine="480" w:firstLineChars="200"/>
              <w:rPr>
                <w:color w:val="auto"/>
                <w:sz w:val="24"/>
              </w:rPr>
            </w:pPr>
            <w:r>
              <w:rPr>
                <w:rFonts w:hint="eastAsia"/>
                <w:color w:val="auto"/>
                <w:sz w:val="24"/>
              </w:rPr>
              <w:t>（5）</w:t>
            </w:r>
            <w:r>
              <w:rPr>
                <w:color w:val="auto"/>
                <w:sz w:val="24"/>
              </w:rPr>
              <w:t>其他应当公开的环境信息。如竣工环境保护验收备案、自行监测工作开展情况及监测结果。</w:t>
            </w:r>
          </w:p>
          <w:p>
            <w:pPr>
              <w:spacing w:line="360" w:lineRule="auto"/>
              <w:ind w:firstLine="482" w:firstLineChars="200"/>
              <w:rPr>
                <w:b/>
                <w:bCs/>
                <w:color w:val="auto"/>
                <w:sz w:val="24"/>
              </w:rPr>
            </w:pPr>
            <w:r>
              <w:rPr>
                <w:rFonts w:hint="eastAsia"/>
                <w:b/>
                <w:bCs/>
                <w:color w:val="auto"/>
                <w:sz w:val="24"/>
              </w:rPr>
              <w:t>4、其他管理要求</w:t>
            </w:r>
          </w:p>
          <w:p>
            <w:pPr>
              <w:spacing w:line="360" w:lineRule="auto"/>
              <w:ind w:firstLine="480" w:firstLineChars="200"/>
              <w:rPr>
                <w:color w:val="auto"/>
                <w:szCs w:val="21"/>
              </w:rPr>
            </w:pPr>
            <w:r>
              <w:rPr>
                <w:rFonts w:hint="eastAsia"/>
                <w:color w:val="auto"/>
                <w:sz w:val="24"/>
              </w:rPr>
              <w:t>项目建设完成以后，及时办理排污许可证，并进行竣工环境保护验收。</w:t>
            </w:r>
          </w:p>
        </w:tc>
      </w:tr>
    </w:tbl>
    <w:p>
      <w:pPr>
        <w:rPr>
          <w:color w:val="auto"/>
        </w:rPr>
        <w:sectPr>
          <w:pgSz w:w="11907" w:h="16840"/>
          <w:pgMar w:top="1440" w:right="1797" w:bottom="1440" w:left="1797" w:header="851" w:footer="1077" w:gutter="0"/>
          <w:pgBorders>
            <w:top w:val="none" w:sz="0" w:space="0"/>
            <w:left w:val="none" w:sz="0" w:space="0"/>
            <w:bottom w:val="none" w:sz="0" w:space="0"/>
            <w:right w:val="none" w:sz="0" w:space="0"/>
          </w:pgBorders>
          <w:cols w:space="425" w:num="1"/>
          <w:docGrid w:linePitch="312" w:charSpace="0"/>
        </w:sectPr>
      </w:pPr>
    </w:p>
    <w:p>
      <w:pPr>
        <w:pStyle w:val="18"/>
        <w:jc w:val="center"/>
        <w:outlineLvl w:val="0"/>
        <w:rPr>
          <w:rFonts w:ascii="Times New Roman" w:hAnsi="Times New Roman"/>
          <w:b/>
          <w:bCs/>
          <w:snapToGrid w:val="0"/>
          <w:color w:val="auto"/>
          <w:sz w:val="30"/>
          <w:szCs w:val="30"/>
        </w:rPr>
      </w:pPr>
      <w:bookmarkStart w:id="25" w:name="_Toc5489"/>
      <w:bookmarkStart w:id="26" w:name="_Toc28448"/>
      <w:bookmarkStart w:id="27" w:name="_Toc23823"/>
      <w:bookmarkStart w:id="28" w:name="_Toc12908"/>
      <w:bookmarkStart w:id="29" w:name="_Toc19072"/>
      <w:r>
        <w:rPr>
          <w:rFonts w:hint="eastAsia" w:ascii="Times New Roman" w:hAnsi="Times New Roman"/>
          <w:b/>
          <w:bCs/>
          <w:snapToGrid w:val="0"/>
          <w:color w:val="auto"/>
          <w:sz w:val="30"/>
          <w:szCs w:val="30"/>
        </w:rPr>
        <w:t>六、结论</w:t>
      </w:r>
      <w:bookmarkEnd w:id="25"/>
      <w:bookmarkEnd w:id="26"/>
      <w:bookmarkEnd w:id="27"/>
      <w:bookmarkEnd w:id="28"/>
      <w:bookmarkEnd w:id="29"/>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pStyle w:val="12"/>
              <w:spacing w:line="360" w:lineRule="auto"/>
              <w:ind w:firstLine="480"/>
              <w:rPr>
                <w:rFonts w:ascii="Times New Roman" w:hAnsi="Times New Roman" w:cs="Times New Roman"/>
                <w:bCs/>
                <w:color w:val="auto"/>
                <w:sz w:val="24"/>
                <w:szCs w:val="24"/>
              </w:rPr>
            </w:pPr>
            <w:r>
              <w:rPr>
                <w:rFonts w:hint="eastAsia" w:ascii="Times New Roman" w:hAnsi="Times New Roman"/>
                <w:bCs/>
                <w:color w:val="auto"/>
                <w:sz w:val="24"/>
              </w:rPr>
              <w:t>本项目</w:t>
            </w:r>
            <w:r>
              <w:rPr>
                <w:rFonts w:ascii="Times New Roman" w:hAnsi="Times New Roman" w:cs="Times New Roman"/>
                <w:bCs/>
                <w:color w:val="auto"/>
                <w:sz w:val="24"/>
              </w:rPr>
              <w:t>的建设符合国家产业政策以及</w:t>
            </w:r>
            <w:r>
              <w:rPr>
                <w:rFonts w:hint="eastAsia" w:ascii="Times New Roman" w:hAnsi="Times New Roman" w:cs="Times New Roman"/>
                <w:bCs/>
                <w:color w:val="auto"/>
                <w:sz w:val="24"/>
              </w:rPr>
              <w:t>相关规划要求，项目选址可行。</w:t>
            </w:r>
            <w:r>
              <w:rPr>
                <w:rFonts w:ascii="Times New Roman" w:hAnsi="Times New Roman"/>
                <w:bCs/>
                <w:color w:val="auto"/>
                <w:sz w:val="24"/>
              </w:rPr>
              <w:t>在严格落实环评规定的各项环保措施，保证所排污染物达标排放的前提下，综合考虑各种因素，</w:t>
            </w:r>
            <w:r>
              <w:rPr>
                <w:rFonts w:ascii="Times New Roman" w:hAnsi="Times New Roman"/>
                <w:bCs/>
                <w:color w:val="auto"/>
                <w:sz w:val="24"/>
                <w:szCs w:val="24"/>
              </w:rPr>
              <w:t>从环保角度考虑，本项目的建设是可行的</w:t>
            </w:r>
            <w:r>
              <w:rPr>
                <w:rFonts w:ascii="Times New Roman" w:hAnsi="Times New Roman" w:cs="Times New Roman"/>
                <w:bCs/>
                <w:color w:val="auto"/>
                <w:sz w:val="24"/>
                <w:szCs w:val="24"/>
              </w:rPr>
              <w:t>。</w:t>
            </w:r>
          </w:p>
          <w:p>
            <w:pPr>
              <w:spacing w:line="360" w:lineRule="auto"/>
              <w:rPr>
                <w:rFonts w:cs="宋体"/>
                <w:color w:val="auto"/>
                <w:sz w:val="24"/>
              </w:rPr>
            </w:pPr>
          </w:p>
        </w:tc>
      </w:tr>
    </w:tbl>
    <w:p>
      <w:pPr>
        <w:rPr>
          <w:color w:val="auto"/>
        </w:rPr>
        <w:sectPr>
          <w:pgSz w:w="11906" w:h="16838"/>
          <w:pgMar w:top="1440" w:right="1803" w:bottom="1440" w:left="1803" w:header="851" w:footer="850" w:gutter="0"/>
          <w:pgBorders>
            <w:top w:val="none" w:sz="0" w:space="0"/>
            <w:left w:val="none" w:sz="0" w:space="0"/>
            <w:bottom w:val="none" w:sz="0" w:space="0"/>
            <w:right w:val="none" w:sz="0" w:space="0"/>
          </w:pgBorders>
          <w:cols w:space="0" w:num="1"/>
          <w:docGrid w:linePitch="312" w:charSpace="0"/>
        </w:sectPr>
      </w:pPr>
    </w:p>
    <w:p>
      <w:pPr>
        <w:pStyle w:val="18"/>
        <w:adjustRightInd w:val="0"/>
        <w:snapToGrid w:val="0"/>
        <w:spacing w:before="0" w:beforeAutospacing="0" w:after="0" w:afterAutospacing="0" w:line="360" w:lineRule="auto"/>
        <w:outlineLvl w:val="0"/>
        <w:rPr>
          <w:rFonts w:ascii="Times New Roman" w:hAnsi="Times New Roman"/>
          <w:snapToGrid w:val="0"/>
          <w:color w:val="auto"/>
          <w:sz w:val="32"/>
          <w:szCs w:val="32"/>
        </w:rPr>
      </w:pPr>
      <w:bookmarkStart w:id="30" w:name="_Toc31299"/>
      <w:bookmarkStart w:id="31" w:name="_Toc13771"/>
      <w:bookmarkStart w:id="32" w:name="_Toc7569"/>
      <w:bookmarkStart w:id="33" w:name="_Toc25301"/>
      <w:bookmarkStart w:id="34" w:name="_Toc13661"/>
      <w:r>
        <w:rPr>
          <w:rFonts w:hint="eastAsia" w:ascii="Times New Roman" w:hAnsi="Times New Roman"/>
          <w:snapToGrid w:val="0"/>
          <w:color w:val="auto"/>
          <w:sz w:val="32"/>
          <w:szCs w:val="32"/>
        </w:rPr>
        <w:t>附表</w:t>
      </w:r>
      <w:bookmarkEnd w:id="30"/>
      <w:bookmarkEnd w:id="31"/>
      <w:bookmarkEnd w:id="32"/>
      <w:bookmarkEnd w:id="33"/>
      <w:bookmarkEnd w:id="34"/>
    </w:p>
    <w:p>
      <w:pPr>
        <w:pStyle w:val="18"/>
        <w:adjustRightInd w:val="0"/>
        <w:snapToGrid w:val="0"/>
        <w:spacing w:before="0" w:beforeAutospacing="0" w:after="0" w:afterAutospacing="0" w:line="360" w:lineRule="auto"/>
        <w:jc w:val="center"/>
        <w:outlineLvl w:val="0"/>
        <w:rPr>
          <w:rFonts w:ascii="Times New Roman" w:hAnsi="Times New Roman"/>
          <w:b/>
          <w:bCs/>
          <w:color w:val="auto"/>
          <w:sz w:val="36"/>
          <w:szCs w:val="36"/>
        </w:rPr>
      </w:pPr>
      <w:bookmarkStart w:id="35" w:name="_Toc11941"/>
      <w:bookmarkStart w:id="36" w:name="_Toc27228"/>
      <w:bookmarkStart w:id="37" w:name="_Toc3097"/>
      <w:bookmarkStart w:id="38" w:name="_Toc7240"/>
      <w:bookmarkStart w:id="39" w:name="_Toc1108"/>
      <w:r>
        <w:rPr>
          <w:rFonts w:hint="eastAsia" w:ascii="Times New Roman" w:hAnsi="Times New Roman"/>
          <w:b/>
          <w:bCs/>
          <w:color w:val="auto"/>
          <w:sz w:val="36"/>
          <w:szCs w:val="36"/>
        </w:rPr>
        <w:t>建设项目污染物排放量汇总表</w:t>
      </w:r>
      <w:bookmarkEnd w:id="35"/>
      <w:bookmarkEnd w:id="36"/>
      <w:bookmarkEnd w:id="37"/>
      <w:bookmarkEnd w:id="38"/>
      <w:bookmarkEnd w:id="39"/>
    </w:p>
    <w:tbl>
      <w:tblPr>
        <w:tblStyle w:val="21"/>
        <w:tblW w:w="1399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510"/>
        <w:gridCol w:w="1619"/>
        <w:gridCol w:w="1217"/>
        <w:gridCol w:w="1560"/>
        <w:gridCol w:w="1674"/>
        <w:gridCol w:w="1557"/>
        <w:gridCol w:w="1659"/>
        <w:gridCol w:w="1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13" w:type="dxa"/>
            <w:tcBorders>
              <w:tl2br w:val="single" w:color="auto" w:sz="4" w:space="0"/>
            </w:tcBorders>
            <w:tcMar>
              <w:left w:w="28" w:type="dxa"/>
              <w:right w:w="28" w:type="dxa"/>
            </w:tcMar>
            <w:vAlign w:val="center"/>
          </w:tcPr>
          <w:p>
            <w:pPr>
              <w:pStyle w:val="45"/>
              <w:spacing w:beforeLines="0" w:afterLines="0" w:line="240" w:lineRule="auto"/>
              <w:jc w:val="right"/>
              <w:rPr>
                <w:rFonts w:ascii="Times New Roman" w:cs="宋体"/>
                <w:snapToGrid w:val="0"/>
                <w:color w:val="auto"/>
                <w:spacing w:val="-6"/>
                <w:kern w:val="21"/>
                <w:sz w:val="24"/>
                <w:szCs w:val="24"/>
              </w:rPr>
            </w:pPr>
            <w:r>
              <w:rPr>
                <w:rFonts w:hint="eastAsia" w:ascii="Times New Roman" w:cs="宋体"/>
                <w:snapToGrid w:val="0"/>
                <w:color w:val="auto"/>
                <w:spacing w:val="-6"/>
                <w:kern w:val="21"/>
                <w:sz w:val="24"/>
                <w:szCs w:val="24"/>
              </w:rPr>
              <w:t>项目</w:t>
            </w:r>
          </w:p>
          <w:p>
            <w:pPr>
              <w:pStyle w:val="45"/>
              <w:spacing w:beforeLines="0" w:afterLines="0" w:line="240" w:lineRule="auto"/>
              <w:jc w:val="left"/>
              <w:rPr>
                <w:rFonts w:ascii="Times New Roman" w:cs="宋体"/>
                <w:snapToGrid w:val="0"/>
                <w:color w:val="auto"/>
                <w:spacing w:val="-6"/>
                <w:kern w:val="21"/>
                <w:sz w:val="24"/>
                <w:szCs w:val="24"/>
              </w:rPr>
            </w:pPr>
            <w:r>
              <w:rPr>
                <w:rFonts w:hint="eastAsia" w:ascii="Times New Roman" w:cs="宋体"/>
                <w:snapToGrid w:val="0"/>
                <w:color w:val="auto"/>
                <w:spacing w:val="-6"/>
                <w:kern w:val="21"/>
                <w:sz w:val="24"/>
                <w:szCs w:val="24"/>
              </w:rPr>
              <w:t>分类</w:t>
            </w:r>
          </w:p>
        </w:tc>
        <w:tc>
          <w:tcPr>
            <w:tcW w:w="1510" w:type="dxa"/>
            <w:tcMar>
              <w:left w:w="28" w:type="dxa"/>
              <w:right w:w="28" w:type="dxa"/>
            </w:tcMar>
            <w:vAlign w:val="center"/>
          </w:tcPr>
          <w:p>
            <w:pPr>
              <w:pStyle w:val="45"/>
              <w:spacing w:beforeLines="0" w:afterLines="0" w:line="240" w:lineRule="auto"/>
              <w:rPr>
                <w:rFonts w:ascii="Times New Roman" w:cs="宋体"/>
                <w:snapToGrid w:val="0"/>
                <w:color w:val="auto"/>
                <w:spacing w:val="-6"/>
                <w:kern w:val="21"/>
                <w:sz w:val="24"/>
                <w:szCs w:val="24"/>
              </w:rPr>
            </w:pPr>
            <w:r>
              <w:rPr>
                <w:rFonts w:hint="eastAsia" w:ascii="Times New Roman" w:cs="宋体"/>
                <w:snapToGrid w:val="0"/>
                <w:color w:val="auto"/>
                <w:spacing w:val="-6"/>
                <w:kern w:val="21"/>
                <w:sz w:val="24"/>
                <w:szCs w:val="24"/>
              </w:rPr>
              <w:t>污染物名称</w:t>
            </w:r>
          </w:p>
        </w:tc>
        <w:tc>
          <w:tcPr>
            <w:tcW w:w="1619" w:type="dxa"/>
            <w:tcMar>
              <w:left w:w="28" w:type="dxa"/>
              <w:right w:w="28" w:type="dxa"/>
            </w:tcMar>
            <w:vAlign w:val="center"/>
          </w:tcPr>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现有工程</w:t>
            </w:r>
          </w:p>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排放量（固</w:t>
            </w:r>
            <w:r>
              <w:rPr>
                <w:rFonts w:hint="eastAsia" w:ascii="Times New Roman"/>
                <w:snapToGrid w:val="0"/>
                <w:color w:val="auto"/>
                <w:spacing w:val="-6"/>
                <w:kern w:val="21"/>
                <w:sz w:val="24"/>
                <w:szCs w:val="24"/>
              </w:rPr>
              <w:t>体</w:t>
            </w:r>
            <w:r>
              <w:rPr>
                <w:rFonts w:ascii="Times New Roman"/>
                <w:snapToGrid w:val="0"/>
                <w:color w:val="auto"/>
                <w:spacing w:val="-6"/>
                <w:kern w:val="21"/>
                <w:sz w:val="24"/>
                <w:szCs w:val="24"/>
              </w:rPr>
              <w:t>废</w:t>
            </w:r>
            <w:r>
              <w:rPr>
                <w:rFonts w:hint="eastAsia" w:ascii="Times New Roman"/>
                <w:snapToGrid w:val="0"/>
                <w:color w:val="auto"/>
                <w:spacing w:val="-6"/>
                <w:kern w:val="21"/>
                <w:sz w:val="24"/>
                <w:szCs w:val="24"/>
              </w:rPr>
              <w:t>物</w:t>
            </w:r>
            <w:r>
              <w:rPr>
                <w:rFonts w:ascii="Times New Roman"/>
                <w:snapToGrid w:val="0"/>
                <w:color w:val="auto"/>
                <w:spacing w:val="-6"/>
                <w:kern w:val="21"/>
                <w:sz w:val="24"/>
                <w:szCs w:val="24"/>
              </w:rPr>
              <w:t>产生量）</w:t>
            </w:r>
            <w:r>
              <w:rPr>
                <w:rFonts w:ascii="Times New Roman"/>
                <w:snapToGrid w:val="0"/>
                <w:color w:val="auto"/>
                <w:spacing w:val="-6"/>
                <w:kern w:val="21"/>
                <w:sz w:val="24"/>
                <w:szCs w:val="24"/>
              </w:rPr>
              <w:fldChar w:fldCharType="begin"/>
            </w:r>
            <w:r>
              <w:rPr>
                <w:rFonts w:ascii="Times New Roman"/>
                <w:snapToGrid w:val="0"/>
                <w:color w:val="auto"/>
                <w:spacing w:val="-6"/>
                <w:kern w:val="21"/>
                <w:sz w:val="24"/>
                <w:szCs w:val="24"/>
              </w:rPr>
              <w:instrText xml:space="preserve"> = 1 \* GB3 \* MERGEFORMAT </w:instrText>
            </w:r>
            <w:r>
              <w:rPr>
                <w:rFonts w:ascii="Times New Roman"/>
                <w:snapToGrid w:val="0"/>
                <w:color w:val="auto"/>
                <w:spacing w:val="-6"/>
                <w:kern w:val="21"/>
                <w:sz w:val="24"/>
                <w:szCs w:val="24"/>
              </w:rPr>
              <w:fldChar w:fldCharType="separate"/>
            </w:r>
            <w:r>
              <w:rPr>
                <w:rFonts w:hint="eastAsia" w:ascii="Times New Roman" w:cs="宋体"/>
                <w:color w:val="auto"/>
                <w:kern w:val="2"/>
                <w:sz w:val="24"/>
                <w:szCs w:val="24"/>
              </w:rPr>
              <w:t>①</w:t>
            </w:r>
            <w:r>
              <w:rPr>
                <w:rFonts w:ascii="Times New Roman"/>
                <w:snapToGrid w:val="0"/>
                <w:color w:val="auto"/>
                <w:spacing w:val="-6"/>
                <w:kern w:val="21"/>
                <w:sz w:val="24"/>
                <w:szCs w:val="24"/>
              </w:rPr>
              <w:fldChar w:fldCharType="end"/>
            </w:r>
          </w:p>
        </w:tc>
        <w:tc>
          <w:tcPr>
            <w:tcW w:w="1217" w:type="dxa"/>
            <w:tcMar>
              <w:left w:w="28" w:type="dxa"/>
              <w:right w:w="28" w:type="dxa"/>
            </w:tcMar>
            <w:vAlign w:val="center"/>
          </w:tcPr>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现有工程</w:t>
            </w:r>
          </w:p>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许可排放量</w:t>
            </w:r>
            <w:r>
              <w:rPr>
                <w:rFonts w:ascii="Times New Roman"/>
                <w:snapToGrid w:val="0"/>
                <w:color w:val="auto"/>
                <w:spacing w:val="-6"/>
                <w:kern w:val="21"/>
                <w:sz w:val="24"/>
                <w:szCs w:val="24"/>
              </w:rPr>
              <w:fldChar w:fldCharType="begin"/>
            </w:r>
            <w:r>
              <w:rPr>
                <w:rFonts w:ascii="Times New Roman"/>
                <w:snapToGrid w:val="0"/>
                <w:color w:val="auto"/>
                <w:spacing w:val="-6"/>
                <w:kern w:val="21"/>
                <w:sz w:val="24"/>
                <w:szCs w:val="24"/>
              </w:rPr>
              <w:instrText xml:space="preserve"> = 2 \* GB3 \* MERGEFORMAT </w:instrText>
            </w:r>
            <w:r>
              <w:rPr>
                <w:rFonts w:ascii="Times New Roman"/>
                <w:snapToGrid w:val="0"/>
                <w:color w:val="auto"/>
                <w:spacing w:val="-6"/>
                <w:kern w:val="21"/>
                <w:sz w:val="24"/>
                <w:szCs w:val="24"/>
              </w:rPr>
              <w:fldChar w:fldCharType="separate"/>
            </w:r>
            <w:r>
              <w:rPr>
                <w:rFonts w:hint="eastAsia" w:ascii="Times New Roman" w:cs="宋体"/>
                <w:snapToGrid w:val="0"/>
                <w:color w:val="auto"/>
                <w:spacing w:val="-6"/>
                <w:kern w:val="21"/>
                <w:sz w:val="24"/>
                <w:szCs w:val="24"/>
              </w:rPr>
              <w:t>②</w:t>
            </w:r>
            <w:r>
              <w:rPr>
                <w:rFonts w:ascii="Times New Roman"/>
                <w:snapToGrid w:val="0"/>
                <w:color w:val="auto"/>
                <w:spacing w:val="-6"/>
                <w:kern w:val="21"/>
                <w:sz w:val="24"/>
                <w:szCs w:val="24"/>
              </w:rPr>
              <w:fldChar w:fldCharType="end"/>
            </w:r>
          </w:p>
        </w:tc>
        <w:tc>
          <w:tcPr>
            <w:tcW w:w="1560" w:type="dxa"/>
            <w:tcMar>
              <w:left w:w="28" w:type="dxa"/>
              <w:right w:w="28" w:type="dxa"/>
            </w:tcMar>
            <w:vAlign w:val="center"/>
          </w:tcPr>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在建工程</w:t>
            </w:r>
          </w:p>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排放量（固</w:t>
            </w:r>
            <w:r>
              <w:rPr>
                <w:rFonts w:hint="eastAsia" w:ascii="Times New Roman"/>
                <w:snapToGrid w:val="0"/>
                <w:color w:val="auto"/>
                <w:spacing w:val="-6"/>
                <w:kern w:val="21"/>
                <w:sz w:val="24"/>
                <w:szCs w:val="24"/>
              </w:rPr>
              <w:t>体</w:t>
            </w:r>
            <w:r>
              <w:rPr>
                <w:rFonts w:ascii="Times New Roman"/>
                <w:snapToGrid w:val="0"/>
                <w:color w:val="auto"/>
                <w:spacing w:val="-6"/>
                <w:kern w:val="21"/>
                <w:sz w:val="24"/>
                <w:szCs w:val="24"/>
              </w:rPr>
              <w:t>废</w:t>
            </w:r>
            <w:r>
              <w:rPr>
                <w:rFonts w:hint="eastAsia" w:ascii="Times New Roman"/>
                <w:snapToGrid w:val="0"/>
                <w:color w:val="auto"/>
                <w:spacing w:val="-6"/>
                <w:kern w:val="21"/>
                <w:sz w:val="24"/>
                <w:szCs w:val="24"/>
              </w:rPr>
              <w:t>物</w:t>
            </w:r>
            <w:r>
              <w:rPr>
                <w:rFonts w:ascii="Times New Roman"/>
                <w:snapToGrid w:val="0"/>
                <w:color w:val="auto"/>
                <w:spacing w:val="-6"/>
                <w:kern w:val="21"/>
                <w:sz w:val="24"/>
                <w:szCs w:val="24"/>
              </w:rPr>
              <w:t>产生量）</w:t>
            </w:r>
            <w:r>
              <w:rPr>
                <w:rFonts w:ascii="Times New Roman"/>
                <w:snapToGrid w:val="0"/>
                <w:color w:val="auto"/>
                <w:spacing w:val="-6"/>
                <w:kern w:val="21"/>
                <w:sz w:val="24"/>
                <w:szCs w:val="24"/>
              </w:rPr>
              <w:fldChar w:fldCharType="begin"/>
            </w:r>
            <w:r>
              <w:rPr>
                <w:rFonts w:ascii="Times New Roman"/>
                <w:snapToGrid w:val="0"/>
                <w:color w:val="auto"/>
                <w:spacing w:val="-6"/>
                <w:kern w:val="21"/>
                <w:sz w:val="24"/>
                <w:szCs w:val="24"/>
              </w:rPr>
              <w:instrText xml:space="preserve"> = 3 \* GB3 \* MERGEFORMAT </w:instrText>
            </w:r>
            <w:r>
              <w:rPr>
                <w:rFonts w:ascii="Times New Roman"/>
                <w:snapToGrid w:val="0"/>
                <w:color w:val="auto"/>
                <w:spacing w:val="-6"/>
                <w:kern w:val="21"/>
                <w:sz w:val="24"/>
                <w:szCs w:val="24"/>
              </w:rPr>
              <w:fldChar w:fldCharType="separate"/>
            </w:r>
            <w:r>
              <w:rPr>
                <w:rFonts w:hint="eastAsia" w:ascii="Times New Roman" w:cs="宋体"/>
                <w:color w:val="auto"/>
                <w:kern w:val="2"/>
                <w:sz w:val="24"/>
                <w:szCs w:val="24"/>
              </w:rPr>
              <w:t>③</w:t>
            </w:r>
            <w:r>
              <w:rPr>
                <w:rFonts w:ascii="Times New Roman"/>
                <w:snapToGrid w:val="0"/>
                <w:color w:val="auto"/>
                <w:spacing w:val="-6"/>
                <w:kern w:val="21"/>
                <w:sz w:val="24"/>
                <w:szCs w:val="24"/>
              </w:rPr>
              <w:fldChar w:fldCharType="end"/>
            </w:r>
          </w:p>
        </w:tc>
        <w:tc>
          <w:tcPr>
            <w:tcW w:w="1674" w:type="dxa"/>
            <w:tcMar>
              <w:left w:w="28" w:type="dxa"/>
              <w:right w:w="28" w:type="dxa"/>
            </w:tcMar>
            <w:vAlign w:val="center"/>
          </w:tcPr>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本项目</w:t>
            </w:r>
          </w:p>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排放量（固</w:t>
            </w:r>
            <w:r>
              <w:rPr>
                <w:rFonts w:hint="eastAsia" w:ascii="Times New Roman"/>
                <w:snapToGrid w:val="0"/>
                <w:color w:val="auto"/>
                <w:spacing w:val="-6"/>
                <w:kern w:val="21"/>
                <w:sz w:val="24"/>
                <w:szCs w:val="24"/>
              </w:rPr>
              <w:t>体</w:t>
            </w:r>
            <w:r>
              <w:rPr>
                <w:rFonts w:ascii="Times New Roman"/>
                <w:snapToGrid w:val="0"/>
                <w:color w:val="auto"/>
                <w:spacing w:val="-6"/>
                <w:kern w:val="21"/>
                <w:sz w:val="24"/>
                <w:szCs w:val="24"/>
              </w:rPr>
              <w:t>废</w:t>
            </w:r>
            <w:r>
              <w:rPr>
                <w:rFonts w:hint="eastAsia" w:ascii="Times New Roman"/>
                <w:snapToGrid w:val="0"/>
                <w:color w:val="auto"/>
                <w:spacing w:val="-6"/>
                <w:kern w:val="21"/>
                <w:sz w:val="24"/>
                <w:szCs w:val="24"/>
              </w:rPr>
              <w:t>物</w:t>
            </w:r>
            <w:r>
              <w:rPr>
                <w:rFonts w:ascii="Times New Roman"/>
                <w:snapToGrid w:val="0"/>
                <w:color w:val="auto"/>
                <w:spacing w:val="-6"/>
                <w:kern w:val="21"/>
                <w:sz w:val="24"/>
                <w:szCs w:val="24"/>
              </w:rPr>
              <w:t>产生量）</w:t>
            </w:r>
            <w:r>
              <w:rPr>
                <w:rFonts w:ascii="Times New Roman"/>
                <w:snapToGrid w:val="0"/>
                <w:color w:val="auto"/>
                <w:spacing w:val="-6"/>
                <w:kern w:val="21"/>
                <w:sz w:val="24"/>
                <w:szCs w:val="24"/>
              </w:rPr>
              <w:fldChar w:fldCharType="begin"/>
            </w:r>
            <w:r>
              <w:rPr>
                <w:rFonts w:ascii="Times New Roman"/>
                <w:snapToGrid w:val="0"/>
                <w:color w:val="auto"/>
                <w:spacing w:val="-6"/>
                <w:kern w:val="21"/>
                <w:sz w:val="24"/>
                <w:szCs w:val="24"/>
              </w:rPr>
              <w:instrText xml:space="preserve"> = 4 \* GB3 \* MERGEFORMAT </w:instrText>
            </w:r>
            <w:r>
              <w:rPr>
                <w:rFonts w:ascii="Times New Roman"/>
                <w:snapToGrid w:val="0"/>
                <w:color w:val="auto"/>
                <w:spacing w:val="-6"/>
                <w:kern w:val="21"/>
                <w:sz w:val="24"/>
                <w:szCs w:val="24"/>
              </w:rPr>
              <w:fldChar w:fldCharType="separate"/>
            </w:r>
            <w:r>
              <w:rPr>
                <w:rFonts w:hint="eastAsia" w:ascii="Times New Roman" w:cs="宋体"/>
                <w:color w:val="auto"/>
                <w:kern w:val="2"/>
                <w:sz w:val="24"/>
                <w:szCs w:val="24"/>
              </w:rPr>
              <w:t>④</w:t>
            </w:r>
            <w:r>
              <w:rPr>
                <w:rFonts w:ascii="Times New Roman"/>
                <w:snapToGrid w:val="0"/>
                <w:color w:val="auto"/>
                <w:spacing w:val="-6"/>
                <w:kern w:val="21"/>
                <w:sz w:val="24"/>
                <w:szCs w:val="24"/>
              </w:rPr>
              <w:fldChar w:fldCharType="end"/>
            </w:r>
          </w:p>
        </w:tc>
        <w:tc>
          <w:tcPr>
            <w:tcW w:w="1557" w:type="dxa"/>
            <w:tcMar>
              <w:left w:w="28" w:type="dxa"/>
              <w:right w:w="28" w:type="dxa"/>
            </w:tcMar>
            <w:vAlign w:val="center"/>
          </w:tcPr>
          <w:p>
            <w:pPr>
              <w:pStyle w:val="45"/>
              <w:spacing w:beforeLines="0" w:afterLines="0" w:line="240" w:lineRule="auto"/>
              <w:rPr>
                <w:rFonts w:ascii="Times New Roman"/>
                <w:snapToGrid w:val="0"/>
                <w:color w:val="auto"/>
                <w:spacing w:val="-16"/>
                <w:kern w:val="21"/>
                <w:sz w:val="24"/>
                <w:szCs w:val="24"/>
              </w:rPr>
            </w:pPr>
            <w:r>
              <w:rPr>
                <w:rFonts w:ascii="Times New Roman"/>
                <w:snapToGrid w:val="0"/>
                <w:color w:val="auto"/>
                <w:spacing w:val="-16"/>
                <w:kern w:val="21"/>
                <w:sz w:val="24"/>
                <w:szCs w:val="24"/>
              </w:rPr>
              <w:t>以新带老削减量</w:t>
            </w:r>
          </w:p>
          <w:p>
            <w:pPr>
              <w:pStyle w:val="45"/>
              <w:spacing w:beforeLines="0" w:afterLines="0" w:line="240" w:lineRule="auto"/>
              <w:rPr>
                <w:rFonts w:ascii="Times New Roman"/>
                <w:snapToGrid w:val="0"/>
                <w:color w:val="auto"/>
                <w:spacing w:val="-16"/>
                <w:kern w:val="21"/>
                <w:sz w:val="24"/>
                <w:szCs w:val="24"/>
              </w:rPr>
            </w:pPr>
            <w:r>
              <w:rPr>
                <w:rFonts w:ascii="Times New Roman"/>
                <w:snapToGrid w:val="0"/>
                <w:color w:val="auto"/>
                <w:spacing w:val="-16"/>
                <w:kern w:val="21"/>
                <w:sz w:val="24"/>
                <w:szCs w:val="24"/>
              </w:rPr>
              <w:t>（新建项目不填）</w:t>
            </w:r>
            <w:r>
              <w:rPr>
                <w:rFonts w:ascii="Times New Roman"/>
                <w:snapToGrid w:val="0"/>
                <w:color w:val="auto"/>
                <w:spacing w:val="-16"/>
                <w:kern w:val="21"/>
                <w:sz w:val="24"/>
                <w:szCs w:val="24"/>
              </w:rPr>
              <w:fldChar w:fldCharType="begin"/>
            </w:r>
            <w:r>
              <w:rPr>
                <w:rFonts w:ascii="Times New Roman"/>
                <w:snapToGrid w:val="0"/>
                <w:color w:val="auto"/>
                <w:spacing w:val="-16"/>
                <w:kern w:val="21"/>
                <w:sz w:val="24"/>
                <w:szCs w:val="24"/>
              </w:rPr>
              <w:instrText xml:space="preserve"> = 5 \* GB3 \* MERGEFORMAT </w:instrText>
            </w:r>
            <w:r>
              <w:rPr>
                <w:rFonts w:ascii="Times New Roman"/>
                <w:snapToGrid w:val="0"/>
                <w:color w:val="auto"/>
                <w:spacing w:val="-16"/>
                <w:kern w:val="21"/>
                <w:sz w:val="24"/>
                <w:szCs w:val="24"/>
              </w:rPr>
              <w:fldChar w:fldCharType="separate"/>
            </w:r>
            <w:r>
              <w:rPr>
                <w:rFonts w:hint="eastAsia" w:ascii="Times New Roman" w:cs="宋体"/>
                <w:color w:val="auto"/>
                <w:kern w:val="2"/>
                <w:sz w:val="24"/>
                <w:szCs w:val="24"/>
              </w:rPr>
              <w:t>⑤</w:t>
            </w:r>
            <w:r>
              <w:rPr>
                <w:rFonts w:ascii="Times New Roman"/>
                <w:snapToGrid w:val="0"/>
                <w:color w:val="auto"/>
                <w:spacing w:val="-16"/>
                <w:kern w:val="21"/>
                <w:sz w:val="24"/>
                <w:szCs w:val="24"/>
              </w:rPr>
              <w:fldChar w:fldCharType="end"/>
            </w:r>
          </w:p>
        </w:tc>
        <w:tc>
          <w:tcPr>
            <w:tcW w:w="1659" w:type="dxa"/>
            <w:tcMar>
              <w:left w:w="28" w:type="dxa"/>
              <w:right w:w="28" w:type="dxa"/>
            </w:tcMar>
            <w:vAlign w:val="center"/>
          </w:tcPr>
          <w:p>
            <w:pPr>
              <w:pStyle w:val="45"/>
              <w:spacing w:beforeLines="0" w:afterLines="0" w:line="240" w:lineRule="auto"/>
              <w:rPr>
                <w:rFonts w:ascii="Times New Roman"/>
                <w:snapToGrid w:val="0"/>
                <w:color w:val="auto"/>
                <w:spacing w:val="-16"/>
                <w:kern w:val="21"/>
                <w:sz w:val="24"/>
                <w:szCs w:val="24"/>
              </w:rPr>
            </w:pPr>
            <w:r>
              <w:rPr>
                <w:rFonts w:ascii="Times New Roman"/>
                <w:snapToGrid w:val="0"/>
                <w:color w:val="auto"/>
                <w:spacing w:val="-16"/>
                <w:kern w:val="21"/>
                <w:sz w:val="24"/>
                <w:szCs w:val="24"/>
              </w:rPr>
              <w:t>本项目建成后</w:t>
            </w:r>
          </w:p>
          <w:p>
            <w:pPr>
              <w:pStyle w:val="45"/>
              <w:spacing w:beforeLines="0" w:afterLines="0" w:line="240" w:lineRule="auto"/>
              <w:rPr>
                <w:rFonts w:ascii="Times New Roman"/>
                <w:snapToGrid w:val="0"/>
                <w:color w:val="auto"/>
                <w:spacing w:val="-16"/>
                <w:kern w:val="21"/>
                <w:sz w:val="24"/>
                <w:szCs w:val="24"/>
              </w:rPr>
            </w:pPr>
            <w:r>
              <w:rPr>
                <w:rFonts w:hint="eastAsia" w:ascii="Times New Roman"/>
                <w:snapToGrid w:val="0"/>
                <w:color w:val="auto"/>
                <w:spacing w:val="-16"/>
                <w:kern w:val="21"/>
                <w:sz w:val="24"/>
                <w:szCs w:val="24"/>
              </w:rPr>
              <w:t>全厂</w:t>
            </w:r>
            <w:r>
              <w:rPr>
                <w:rFonts w:ascii="Times New Roman"/>
                <w:snapToGrid w:val="0"/>
                <w:color w:val="auto"/>
                <w:spacing w:val="-16"/>
                <w:kern w:val="21"/>
                <w:sz w:val="24"/>
                <w:szCs w:val="24"/>
              </w:rPr>
              <w:t>排放量（固</w:t>
            </w:r>
            <w:r>
              <w:rPr>
                <w:rFonts w:hint="eastAsia" w:ascii="Times New Roman"/>
                <w:snapToGrid w:val="0"/>
                <w:color w:val="auto"/>
                <w:spacing w:val="-16"/>
                <w:kern w:val="21"/>
                <w:sz w:val="24"/>
                <w:szCs w:val="24"/>
              </w:rPr>
              <w:t>体</w:t>
            </w:r>
            <w:r>
              <w:rPr>
                <w:rFonts w:ascii="Times New Roman"/>
                <w:snapToGrid w:val="0"/>
                <w:color w:val="auto"/>
                <w:spacing w:val="-16"/>
                <w:kern w:val="21"/>
                <w:sz w:val="24"/>
                <w:szCs w:val="24"/>
              </w:rPr>
              <w:t>废</w:t>
            </w:r>
            <w:r>
              <w:rPr>
                <w:rFonts w:hint="eastAsia" w:ascii="Times New Roman"/>
                <w:snapToGrid w:val="0"/>
                <w:color w:val="auto"/>
                <w:spacing w:val="-16"/>
                <w:kern w:val="21"/>
                <w:sz w:val="24"/>
                <w:szCs w:val="24"/>
              </w:rPr>
              <w:t>物</w:t>
            </w:r>
            <w:r>
              <w:rPr>
                <w:rFonts w:ascii="Times New Roman"/>
                <w:snapToGrid w:val="0"/>
                <w:color w:val="auto"/>
                <w:spacing w:val="-16"/>
                <w:kern w:val="21"/>
                <w:sz w:val="24"/>
                <w:szCs w:val="24"/>
              </w:rPr>
              <w:t>产生量）</w:t>
            </w:r>
            <w:r>
              <w:rPr>
                <w:rFonts w:ascii="Times New Roman"/>
                <w:snapToGrid w:val="0"/>
                <w:color w:val="auto"/>
                <w:spacing w:val="-16"/>
                <w:kern w:val="21"/>
                <w:sz w:val="24"/>
                <w:szCs w:val="24"/>
              </w:rPr>
              <w:fldChar w:fldCharType="begin"/>
            </w:r>
            <w:r>
              <w:rPr>
                <w:rFonts w:ascii="Times New Roman"/>
                <w:snapToGrid w:val="0"/>
                <w:color w:val="auto"/>
                <w:spacing w:val="-16"/>
                <w:kern w:val="21"/>
                <w:sz w:val="24"/>
                <w:szCs w:val="24"/>
              </w:rPr>
              <w:instrText xml:space="preserve"> = 6 \* GB3 \* MERGEFORMAT </w:instrText>
            </w:r>
            <w:r>
              <w:rPr>
                <w:rFonts w:ascii="Times New Roman"/>
                <w:snapToGrid w:val="0"/>
                <w:color w:val="auto"/>
                <w:spacing w:val="-16"/>
                <w:kern w:val="21"/>
                <w:sz w:val="24"/>
                <w:szCs w:val="24"/>
              </w:rPr>
              <w:fldChar w:fldCharType="separate"/>
            </w:r>
            <w:r>
              <w:rPr>
                <w:rFonts w:hint="eastAsia" w:ascii="Times New Roman" w:cs="宋体"/>
                <w:color w:val="auto"/>
                <w:kern w:val="2"/>
                <w:sz w:val="24"/>
                <w:szCs w:val="24"/>
              </w:rPr>
              <w:t>⑥</w:t>
            </w:r>
            <w:r>
              <w:rPr>
                <w:rFonts w:ascii="Times New Roman"/>
                <w:snapToGrid w:val="0"/>
                <w:color w:val="auto"/>
                <w:spacing w:val="-16"/>
                <w:kern w:val="21"/>
                <w:sz w:val="24"/>
                <w:szCs w:val="24"/>
              </w:rPr>
              <w:fldChar w:fldCharType="end"/>
            </w:r>
          </w:p>
        </w:tc>
        <w:tc>
          <w:tcPr>
            <w:tcW w:w="1783" w:type="dxa"/>
            <w:tcMar>
              <w:left w:w="28" w:type="dxa"/>
              <w:right w:w="28" w:type="dxa"/>
            </w:tcMar>
            <w:vAlign w:val="center"/>
          </w:tcPr>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t>变化量</w:t>
            </w:r>
          </w:p>
          <w:p>
            <w:pPr>
              <w:pStyle w:val="45"/>
              <w:spacing w:beforeLines="0" w:afterLines="0" w:line="240" w:lineRule="auto"/>
              <w:rPr>
                <w:rFonts w:ascii="Times New Roman"/>
                <w:snapToGrid w:val="0"/>
                <w:color w:val="auto"/>
                <w:spacing w:val="-6"/>
                <w:kern w:val="21"/>
                <w:sz w:val="24"/>
                <w:szCs w:val="24"/>
              </w:rPr>
            </w:pPr>
            <w:r>
              <w:rPr>
                <w:rFonts w:ascii="Times New Roman"/>
                <w:snapToGrid w:val="0"/>
                <w:color w:val="auto"/>
                <w:spacing w:val="-6"/>
                <w:kern w:val="21"/>
                <w:sz w:val="24"/>
                <w:szCs w:val="24"/>
              </w:rPr>
              <w:fldChar w:fldCharType="begin"/>
            </w:r>
            <w:r>
              <w:rPr>
                <w:rFonts w:ascii="Times New Roman"/>
                <w:snapToGrid w:val="0"/>
                <w:color w:val="auto"/>
                <w:spacing w:val="-6"/>
                <w:kern w:val="21"/>
                <w:sz w:val="24"/>
                <w:szCs w:val="24"/>
              </w:rPr>
              <w:instrText xml:space="preserve"> = 7 \* GB3 \* MERGEFORMAT </w:instrText>
            </w:r>
            <w:r>
              <w:rPr>
                <w:rFonts w:ascii="Times New Roman"/>
                <w:snapToGrid w:val="0"/>
                <w:color w:val="auto"/>
                <w:spacing w:val="-6"/>
                <w:kern w:val="21"/>
                <w:sz w:val="24"/>
                <w:szCs w:val="24"/>
              </w:rPr>
              <w:fldChar w:fldCharType="separate"/>
            </w:r>
            <w:r>
              <w:rPr>
                <w:rFonts w:hint="eastAsia" w:ascii="Times New Roman" w:cs="宋体"/>
                <w:color w:val="auto"/>
                <w:kern w:val="2"/>
                <w:sz w:val="24"/>
                <w:szCs w:val="24"/>
              </w:rPr>
              <w:t>⑦</w:t>
            </w:r>
            <w:r>
              <w:rPr>
                <w:rFonts w:ascii="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废气</w:t>
            </w:r>
          </w:p>
        </w:tc>
        <w:tc>
          <w:tcPr>
            <w:tcW w:w="1510" w:type="dxa"/>
            <w:vAlign w:val="center"/>
          </w:tcPr>
          <w:p>
            <w:pPr>
              <w:jc w:val="center"/>
              <w:rPr>
                <w:color w:val="auto"/>
                <w:kern w:val="0"/>
                <w:sz w:val="24"/>
              </w:rPr>
            </w:pPr>
            <w:r>
              <w:rPr>
                <w:rFonts w:hint="eastAsia"/>
                <w:color w:val="auto"/>
                <w:kern w:val="0"/>
                <w:sz w:val="24"/>
              </w:rPr>
              <w:t>颗粒物</w:t>
            </w:r>
          </w:p>
        </w:tc>
        <w:tc>
          <w:tcPr>
            <w:tcW w:w="1619" w:type="dxa"/>
            <w:vAlign w:val="center"/>
          </w:tcPr>
          <w:p>
            <w:pPr>
              <w:pStyle w:val="45"/>
              <w:spacing w:beforeLines="0" w:afterLines="0" w:line="240" w:lineRule="auto"/>
              <w:rPr>
                <w:color w:val="auto"/>
                <w:sz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z w:val="24"/>
              </w:rPr>
            </w:pPr>
            <w:r>
              <w:rPr>
                <w:rFonts w:hint="eastAsia"/>
                <w:color w:val="auto"/>
                <w:spacing w:val="6"/>
                <w:sz w:val="24"/>
              </w:rPr>
              <w:t>/</w:t>
            </w:r>
          </w:p>
        </w:tc>
        <w:tc>
          <w:tcPr>
            <w:tcW w:w="1674" w:type="dxa"/>
            <w:vAlign w:val="center"/>
          </w:tcPr>
          <w:p>
            <w:pPr>
              <w:jc w:val="center"/>
              <w:rPr>
                <w:rFonts w:hint="default" w:eastAsia="宋体"/>
                <w:color w:val="auto"/>
                <w:spacing w:val="6"/>
                <w:sz w:val="24"/>
                <w:lang w:val="en-US" w:eastAsia="zh-CN"/>
              </w:rPr>
            </w:pPr>
            <w:r>
              <w:rPr>
                <w:rFonts w:hint="eastAsia"/>
                <w:color w:val="auto"/>
                <w:spacing w:val="6"/>
                <w:sz w:val="24"/>
                <w:lang w:val="en-US" w:eastAsia="zh-CN"/>
              </w:rPr>
              <w:t>33.889</w:t>
            </w:r>
            <w:r>
              <w:rPr>
                <w:rFonts w:hint="eastAsia" w:ascii="Times New Roman"/>
                <w:color w:val="auto"/>
                <w:spacing w:val="6"/>
                <w:kern w:val="2"/>
                <w:sz w:val="24"/>
                <w:szCs w:val="24"/>
              </w:rPr>
              <w:t>t/a</w:t>
            </w:r>
          </w:p>
        </w:tc>
        <w:tc>
          <w:tcPr>
            <w:tcW w:w="1557" w:type="dxa"/>
            <w:vAlign w:val="center"/>
          </w:tcPr>
          <w:p>
            <w:pPr>
              <w:jc w:val="center"/>
              <w:rPr>
                <w:color w:val="auto"/>
                <w:spacing w:val="6"/>
                <w:sz w:val="24"/>
              </w:rPr>
            </w:pPr>
            <w:r>
              <w:rPr>
                <w:rFonts w:hint="eastAsia"/>
                <w:color w:val="auto"/>
                <w:spacing w:val="6"/>
                <w:sz w:val="24"/>
              </w:rPr>
              <w:t>/</w:t>
            </w:r>
          </w:p>
        </w:tc>
        <w:tc>
          <w:tcPr>
            <w:tcW w:w="165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jc w:val="center"/>
              <w:rPr>
                <w:color w:val="auto"/>
                <w:kern w:val="0"/>
                <w:sz w:val="24"/>
              </w:rPr>
            </w:pPr>
            <w:r>
              <w:rPr>
                <w:rFonts w:hint="eastAsia"/>
                <w:color w:val="auto"/>
                <w:kern w:val="0"/>
                <w:sz w:val="24"/>
              </w:rPr>
              <w:t>二氧化硫</w:t>
            </w:r>
          </w:p>
        </w:tc>
        <w:tc>
          <w:tcPr>
            <w:tcW w:w="1619" w:type="dxa"/>
            <w:vAlign w:val="center"/>
          </w:tcPr>
          <w:p>
            <w:pPr>
              <w:pStyle w:val="45"/>
              <w:spacing w:beforeLines="0" w:afterLines="0" w:line="240" w:lineRule="auto"/>
              <w:rPr>
                <w:color w:val="auto"/>
                <w:sz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rPr>
            </w:pPr>
            <w:r>
              <w:rPr>
                <w:rFonts w:hint="eastAsia" w:ascii="Times New Roman"/>
                <w:color w:val="auto"/>
                <w:spacing w:val="6"/>
                <w:kern w:val="2"/>
                <w:sz w:val="24"/>
                <w:szCs w:val="24"/>
              </w:rPr>
              <w:t>/</w:t>
            </w:r>
          </w:p>
        </w:tc>
        <w:tc>
          <w:tcPr>
            <w:tcW w:w="1560" w:type="dxa"/>
            <w:vAlign w:val="center"/>
          </w:tcPr>
          <w:p>
            <w:pPr>
              <w:jc w:val="center"/>
              <w:rPr>
                <w:color w:val="auto"/>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22.774</w:t>
            </w:r>
            <w:r>
              <w:rPr>
                <w:rFonts w:hint="eastAsia" w:ascii="Times New Roman"/>
                <w:color w:val="auto"/>
                <w:spacing w:val="6"/>
                <w:kern w:val="2"/>
                <w:sz w:val="24"/>
                <w:szCs w:val="24"/>
              </w:rPr>
              <w:t>t/a</w:t>
            </w:r>
          </w:p>
        </w:tc>
        <w:tc>
          <w:tcPr>
            <w:tcW w:w="1557" w:type="dxa"/>
            <w:vAlign w:val="center"/>
          </w:tcPr>
          <w:p>
            <w:pPr>
              <w:jc w:val="center"/>
              <w:rPr>
                <w:color w:val="auto"/>
                <w:spacing w:val="6"/>
                <w:sz w:val="24"/>
              </w:rPr>
            </w:pPr>
            <w:r>
              <w:rPr>
                <w:rFonts w:hint="eastAsia"/>
                <w:color w:val="auto"/>
                <w:spacing w:val="6"/>
                <w:sz w:val="24"/>
              </w:rPr>
              <w:t>/</w:t>
            </w:r>
          </w:p>
        </w:tc>
        <w:tc>
          <w:tcPr>
            <w:tcW w:w="1659" w:type="dxa"/>
            <w:vAlign w:val="center"/>
          </w:tcPr>
          <w:p>
            <w:pPr>
              <w:jc w:val="center"/>
              <w:rPr>
                <w:color w:val="auto"/>
                <w:spacing w:val="6"/>
                <w:sz w:val="24"/>
              </w:rPr>
            </w:pPr>
            <w:r>
              <w:rPr>
                <w:rFonts w:hint="eastAsia"/>
                <w:color w:val="auto"/>
                <w:spacing w:val="6"/>
                <w:sz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氮氧化物</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3.953</w:t>
            </w:r>
            <w:r>
              <w:rPr>
                <w:rFonts w:hint="eastAsia" w:ascii="Times New Roman"/>
                <w:color w:val="auto"/>
                <w:spacing w:val="6"/>
                <w:kern w:val="2"/>
                <w:sz w:val="24"/>
                <w:szCs w:val="24"/>
              </w:rPr>
              <w:t>t/a</w:t>
            </w:r>
          </w:p>
        </w:tc>
        <w:tc>
          <w:tcPr>
            <w:tcW w:w="1557"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沥青烟</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rFonts w:hint="default" w:eastAsia="宋体"/>
                <w:color w:val="auto"/>
                <w:spacing w:val="6"/>
                <w:sz w:val="24"/>
                <w:lang w:val="en-US" w:eastAsia="zh-CN"/>
              </w:rPr>
            </w:pPr>
            <w:r>
              <w:rPr>
                <w:rFonts w:hint="eastAsia"/>
                <w:color w:val="auto"/>
                <w:spacing w:val="6"/>
                <w:sz w:val="24"/>
                <w:lang w:val="en-US" w:eastAsia="zh-CN"/>
              </w:rPr>
              <w:t>3.906</w:t>
            </w:r>
            <w:r>
              <w:rPr>
                <w:rFonts w:hint="eastAsia" w:ascii="Times New Roman"/>
                <w:color w:val="auto"/>
                <w:spacing w:val="6"/>
                <w:kern w:val="2"/>
                <w:sz w:val="24"/>
                <w:szCs w:val="24"/>
              </w:rPr>
              <w:t>t/a</w:t>
            </w:r>
          </w:p>
        </w:tc>
        <w:tc>
          <w:tcPr>
            <w:tcW w:w="1557"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苯并芘</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0.062</w:t>
            </w:r>
            <w:r>
              <w:rPr>
                <w:rFonts w:hint="eastAsia" w:ascii="Times New Roman"/>
                <w:color w:val="auto"/>
                <w:spacing w:val="6"/>
                <w:kern w:val="2"/>
                <w:sz w:val="24"/>
                <w:szCs w:val="24"/>
              </w:rPr>
              <w:t>t/a</w:t>
            </w:r>
          </w:p>
        </w:tc>
        <w:tc>
          <w:tcPr>
            <w:tcW w:w="1557"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废水</w:t>
            </w:r>
          </w:p>
        </w:tc>
        <w:tc>
          <w:tcPr>
            <w:tcW w:w="1510" w:type="dxa"/>
            <w:vAlign w:val="center"/>
          </w:tcPr>
          <w:p>
            <w:pPr>
              <w:pStyle w:val="45"/>
              <w:spacing w:beforeLines="0" w:afterLines="0" w:line="240" w:lineRule="auto"/>
              <w:rPr>
                <w:rFonts w:ascii="Times New Roman"/>
                <w:color w:val="auto"/>
                <w:spacing w:val="6"/>
                <w:sz w:val="24"/>
                <w:szCs w:val="24"/>
              </w:rPr>
            </w:pPr>
            <w:r>
              <w:rPr>
                <w:rFonts w:ascii="Times New Roman"/>
                <w:color w:val="auto"/>
                <w:spacing w:val="6"/>
                <w:sz w:val="24"/>
                <w:szCs w:val="24"/>
              </w:rPr>
              <w:t>COD</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0.</w:t>
            </w:r>
            <w:r>
              <w:rPr>
                <w:rFonts w:hint="eastAsia" w:ascii="Times New Roman"/>
                <w:color w:val="auto"/>
                <w:spacing w:val="6"/>
                <w:kern w:val="2"/>
                <w:sz w:val="24"/>
                <w:szCs w:val="24"/>
                <w:lang w:val="en-US" w:eastAsia="zh-CN"/>
              </w:rPr>
              <w:t>208</w:t>
            </w:r>
            <w:r>
              <w:rPr>
                <w:rFonts w:hint="eastAsia" w:ascii="Times New Roman"/>
                <w:color w:val="auto"/>
                <w:spacing w:val="6"/>
                <w:kern w:val="2"/>
                <w:sz w:val="24"/>
                <w:szCs w:val="24"/>
              </w:rPr>
              <w:t>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jc w:val="center"/>
              <w:rPr>
                <w:color w:val="auto"/>
                <w:spacing w:val="6"/>
                <w:sz w:val="24"/>
              </w:rPr>
            </w:pPr>
            <w:r>
              <w:rPr>
                <w:rFonts w:hint="eastAsia"/>
                <w:color w:val="auto"/>
                <w:spacing w:val="6"/>
                <w:sz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45"/>
              <w:spacing w:beforeLines="0" w:afterLines="0" w:line="240" w:lineRule="auto"/>
              <w:rPr>
                <w:rFonts w:ascii="Times New Roman"/>
                <w:color w:val="auto"/>
                <w:spacing w:val="6"/>
                <w:sz w:val="24"/>
                <w:szCs w:val="24"/>
              </w:rPr>
            </w:pPr>
            <w:r>
              <w:rPr>
                <w:rFonts w:hint="eastAsia" w:ascii="Times New Roman"/>
                <w:color w:val="auto"/>
                <w:spacing w:val="6"/>
                <w:sz w:val="24"/>
                <w:szCs w:val="24"/>
              </w:rPr>
              <w:t>氨氮</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lang w:val="en-US" w:eastAsia="zh-CN"/>
              </w:rPr>
              <w:t>0.011</w:t>
            </w:r>
            <w:r>
              <w:rPr>
                <w:rFonts w:hint="eastAsia" w:ascii="Times New Roman"/>
                <w:color w:val="auto"/>
                <w:spacing w:val="6"/>
                <w:kern w:val="2"/>
                <w:sz w:val="24"/>
                <w:szCs w:val="24"/>
              </w:rPr>
              <w:t>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jc w:val="center"/>
              <w:rPr>
                <w:color w:val="auto"/>
                <w:spacing w:val="6"/>
                <w:sz w:val="24"/>
              </w:rPr>
            </w:pPr>
            <w:r>
              <w:rPr>
                <w:rFonts w:hint="eastAsia"/>
                <w:color w:val="auto"/>
                <w:spacing w:val="6"/>
                <w:sz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一般工业</w:t>
            </w:r>
          </w:p>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固体废物</w:t>
            </w:r>
          </w:p>
        </w:tc>
        <w:tc>
          <w:tcPr>
            <w:tcW w:w="1510" w:type="dxa"/>
            <w:vAlign w:val="center"/>
          </w:tcPr>
          <w:p>
            <w:pPr>
              <w:snapToGrid w:val="0"/>
              <w:jc w:val="center"/>
              <w:rPr>
                <w:rFonts w:cs="宋体"/>
                <w:snapToGrid w:val="0"/>
                <w:color w:val="auto"/>
                <w:kern w:val="21"/>
                <w:sz w:val="24"/>
              </w:rPr>
            </w:pPr>
            <w:r>
              <w:rPr>
                <w:rFonts w:cs="宋体"/>
                <w:snapToGrid w:val="0"/>
                <w:color w:val="auto"/>
                <w:kern w:val="21"/>
                <w:sz w:val="24"/>
              </w:rPr>
              <w:t>生极成型碎</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4500t/a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jc w:val="center"/>
              <w:rPr>
                <w:color w:val="auto"/>
                <w:spacing w:val="6"/>
                <w:sz w:val="24"/>
              </w:rPr>
            </w:pPr>
            <w:r>
              <w:rPr>
                <w:rFonts w:hint="eastAsia"/>
                <w:color w:val="auto"/>
                <w:spacing w:val="6"/>
                <w:sz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snapToGrid w:val="0"/>
              <w:jc w:val="center"/>
              <w:rPr>
                <w:rFonts w:cs="宋体"/>
                <w:snapToGrid w:val="0"/>
                <w:color w:val="auto"/>
                <w:kern w:val="21"/>
                <w:sz w:val="24"/>
              </w:rPr>
            </w:pPr>
            <w:r>
              <w:rPr>
                <w:rFonts w:hint="eastAsia"/>
                <w:color w:val="auto"/>
                <w:sz w:val="24"/>
              </w:rPr>
              <w:t>石墨化碎</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1200t/a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snapToGrid w:val="0"/>
              <w:jc w:val="center"/>
              <w:rPr>
                <w:rFonts w:cs="宋体"/>
                <w:snapToGrid w:val="0"/>
                <w:color w:val="auto"/>
                <w:kern w:val="21"/>
                <w:sz w:val="24"/>
              </w:rPr>
            </w:pPr>
            <w:r>
              <w:rPr>
                <w:rFonts w:hint="eastAsia" w:cs="宋体"/>
                <w:snapToGrid w:val="0"/>
                <w:color w:val="auto"/>
                <w:kern w:val="21"/>
                <w:sz w:val="24"/>
              </w:rPr>
              <w:t>机加碎屑</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3000t/a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snapToGrid w:val="0"/>
              <w:jc w:val="center"/>
              <w:rPr>
                <w:rFonts w:cs="宋体"/>
                <w:snapToGrid w:val="0"/>
                <w:color w:val="auto"/>
                <w:kern w:val="21"/>
                <w:sz w:val="24"/>
              </w:rPr>
            </w:pPr>
            <w:r>
              <w:rPr>
                <w:rFonts w:hint="eastAsia" w:cs="宋体"/>
                <w:snapToGrid w:val="0"/>
                <w:color w:val="auto"/>
                <w:kern w:val="21"/>
                <w:sz w:val="24"/>
              </w:rPr>
              <w:t>除尘灰</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3370t/a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snapToGrid w:val="0"/>
              <w:jc w:val="center"/>
              <w:rPr>
                <w:rFonts w:cs="宋体"/>
                <w:snapToGrid w:val="0"/>
                <w:color w:val="auto"/>
                <w:kern w:val="21"/>
                <w:sz w:val="24"/>
              </w:rPr>
            </w:pPr>
            <w:r>
              <w:rPr>
                <w:rFonts w:hint="eastAsia" w:cs="宋体"/>
                <w:snapToGrid w:val="0"/>
                <w:color w:val="auto"/>
                <w:kern w:val="21"/>
                <w:sz w:val="24"/>
              </w:rPr>
              <w:t>废冶金焦</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3285t/a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snapToGrid w:val="0"/>
              <w:jc w:val="center"/>
              <w:rPr>
                <w:rFonts w:cs="宋体"/>
                <w:snapToGrid w:val="0"/>
                <w:color w:val="auto"/>
                <w:kern w:val="21"/>
                <w:sz w:val="24"/>
              </w:rPr>
            </w:pPr>
            <w:r>
              <w:rPr>
                <w:rFonts w:hint="eastAsia" w:cs="宋体"/>
                <w:snapToGrid w:val="0"/>
                <w:color w:val="auto"/>
                <w:kern w:val="21"/>
                <w:sz w:val="24"/>
              </w:rPr>
              <w:t>废耐火材料</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1350t/a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snapToGrid w:val="0"/>
              <w:jc w:val="center"/>
              <w:rPr>
                <w:rFonts w:cs="宋体"/>
                <w:snapToGrid w:val="0"/>
                <w:color w:val="auto"/>
                <w:kern w:val="21"/>
                <w:sz w:val="24"/>
              </w:rPr>
            </w:pPr>
            <w:r>
              <w:rPr>
                <w:rFonts w:hint="eastAsia" w:cs="宋体"/>
                <w:snapToGrid w:val="0"/>
                <w:color w:val="auto"/>
                <w:kern w:val="21"/>
                <w:sz w:val="24"/>
              </w:rPr>
              <w:t>脱硫渣</w:t>
            </w:r>
          </w:p>
        </w:tc>
        <w:tc>
          <w:tcPr>
            <w:tcW w:w="1619"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21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560" w:type="dxa"/>
            <w:vAlign w:val="center"/>
          </w:tcPr>
          <w:p>
            <w:pPr>
              <w:jc w:val="center"/>
              <w:rPr>
                <w:color w:val="auto"/>
                <w:spacing w:val="6"/>
                <w:sz w:val="24"/>
              </w:rPr>
            </w:pPr>
            <w:r>
              <w:rPr>
                <w:rFonts w:hint="eastAsia"/>
                <w:color w:val="auto"/>
                <w:spacing w:val="6"/>
                <w:sz w:val="24"/>
              </w:rPr>
              <w:t>/</w:t>
            </w:r>
          </w:p>
        </w:tc>
        <w:tc>
          <w:tcPr>
            <w:tcW w:w="1674" w:type="dxa"/>
            <w:vAlign w:val="center"/>
          </w:tcPr>
          <w:p>
            <w:pPr>
              <w:jc w:val="center"/>
              <w:rPr>
                <w:color w:val="auto"/>
                <w:spacing w:val="6"/>
                <w:sz w:val="24"/>
              </w:rPr>
            </w:pPr>
            <w:r>
              <w:rPr>
                <w:rFonts w:hint="eastAsia"/>
                <w:color w:val="auto"/>
                <w:spacing w:val="6"/>
                <w:sz w:val="24"/>
              </w:rPr>
              <w:t>250.6t/a</w:t>
            </w:r>
          </w:p>
        </w:tc>
        <w:tc>
          <w:tcPr>
            <w:tcW w:w="1557" w:type="dxa"/>
            <w:vAlign w:val="center"/>
          </w:tcPr>
          <w:p>
            <w:pPr>
              <w:pStyle w:val="45"/>
              <w:spacing w:beforeLines="0" w:afterLines="0" w:line="240" w:lineRule="auto"/>
              <w:rPr>
                <w:rFonts w:ascii="Times New Roman"/>
                <w:color w:val="auto"/>
                <w:spacing w:val="6"/>
                <w:kern w:val="2"/>
                <w:sz w:val="24"/>
                <w:szCs w:val="24"/>
              </w:rPr>
            </w:pPr>
            <w:r>
              <w:rPr>
                <w:rFonts w:hint="eastAsia" w:ascii="Times New Roman"/>
                <w:color w:val="auto"/>
                <w:spacing w:val="6"/>
                <w:kern w:val="2"/>
                <w:sz w:val="24"/>
                <w:szCs w:val="24"/>
              </w:rPr>
              <w:t>/</w:t>
            </w:r>
          </w:p>
        </w:tc>
        <w:tc>
          <w:tcPr>
            <w:tcW w:w="1659" w:type="dxa"/>
            <w:vAlign w:val="center"/>
          </w:tcPr>
          <w:p>
            <w:pPr>
              <w:pStyle w:val="45"/>
              <w:spacing w:beforeLines="0" w:afterLines="0" w:line="240" w:lineRule="auto"/>
              <w:rPr>
                <w:color w:val="auto"/>
                <w:spacing w:val="6"/>
                <w:sz w:val="24"/>
              </w:rPr>
            </w:pPr>
            <w:r>
              <w:rPr>
                <w:rFonts w:hint="eastAsia" w:ascii="Times New Roman"/>
                <w:color w:val="auto"/>
                <w:spacing w:val="6"/>
                <w:kern w:val="2"/>
                <w:sz w:val="24"/>
                <w:szCs w:val="24"/>
              </w:rPr>
              <w:t>/</w:t>
            </w:r>
          </w:p>
        </w:tc>
        <w:tc>
          <w:tcPr>
            <w:tcW w:w="1783" w:type="dxa"/>
            <w:vAlign w:val="center"/>
          </w:tcPr>
          <w:p>
            <w:pPr>
              <w:jc w:val="center"/>
              <w:rPr>
                <w:color w:val="auto"/>
                <w:spacing w:val="6"/>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危险废物</w:t>
            </w:r>
          </w:p>
        </w:tc>
        <w:tc>
          <w:tcPr>
            <w:tcW w:w="1510" w:type="dxa"/>
            <w:vAlign w:val="center"/>
          </w:tcPr>
          <w:p>
            <w:pPr>
              <w:pStyle w:val="38"/>
              <w:rPr>
                <w:color w:val="auto"/>
                <w:sz w:val="24"/>
              </w:rPr>
            </w:pPr>
            <w:r>
              <w:rPr>
                <w:rFonts w:hint="eastAsia"/>
                <w:color w:val="auto"/>
                <w:sz w:val="24"/>
              </w:rPr>
              <w:t>废焦油</w:t>
            </w:r>
          </w:p>
        </w:tc>
        <w:tc>
          <w:tcPr>
            <w:tcW w:w="1619"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w:t>
            </w:r>
          </w:p>
        </w:tc>
        <w:tc>
          <w:tcPr>
            <w:tcW w:w="1217"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w:t>
            </w:r>
          </w:p>
        </w:tc>
        <w:tc>
          <w:tcPr>
            <w:tcW w:w="1560" w:type="dxa"/>
            <w:vAlign w:val="center"/>
          </w:tcPr>
          <w:p>
            <w:pPr>
              <w:jc w:val="center"/>
              <w:rPr>
                <w:rFonts w:cs="宋体"/>
                <w:snapToGrid w:val="0"/>
                <w:color w:val="auto"/>
                <w:kern w:val="21"/>
                <w:sz w:val="24"/>
              </w:rPr>
            </w:pPr>
            <w:r>
              <w:rPr>
                <w:rFonts w:hint="eastAsia"/>
                <w:color w:val="auto"/>
                <w:spacing w:val="6"/>
                <w:sz w:val="24"/>
              </w:rPr>
              <w:t>/</w:t>
            </w:r>
          </w:p>
        </w:tc>
        <w:tc>
          <w:tcPr>
            <w:tcW w:w="1674" w:type="dxa"/>
            <w:vAlign w:val="center"/>
          </w:tcPr>
          <w:p>
            <w:pPr>
              <w:pStyle w:val="38"/>
              <w:rPr>
                <w:color w:val="auto"/>
                <w:sz w:val="24"/>
              </w:rPr>
            </w:pPr>
            <w:r>
              <w:rPr>
                <w:rFonts w:hint="eastAsia"/>
                <w:color w:val="auto"/>
                <w:sz w:val="24"/>
              </w:rPr>
              <w:t>96.7t</w:t>
            </w:r>
            <w:r>
              <w:rPr>
                <w:rFonts w:hint="eastAsia"/>
                <w:color w:val="auto"/>
                <w:sz w:val="24"/>
                <w:lang w:eastAsia="en-US"/>
              </w:rPr>
              <w:t>/a</w:t>
            </w:r>
          </w:p>
        </w:tc>
        <w:tc>
          <w:tcPr>
            <w:tcW w:w="1557"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w:t>
            </w:r>
          </w:p>
        </w:tc>
        <w:tc>
          <w:tcPr>
            <w:tcW w:w="1659" w:type="dxa"/>
            <w:vAlign w:val="center"/>
          </w:tcPr>
          <w:p>
            <w:pPr>
              <w:jc w:val="center"/>
              <w:rPr>
                <w:snapToGrid w:val="0"/>
                <w:color w:val="auto"/>
                <w:kern w:val="0"/>
                <w:sz w:val="24"/>
              </w:rPr>
            </w:pPr>
            <w:r>
              <w:rPr>
                <w:rFonts w:hint="eastAsia"/>
                <w:color w:val="auto"/>
                <w:spacing w:val="6"/>
                <w:sz w:val="24"/>
              </w:rPr>
              <w:t>/</w:t>
            </w:r>
          </w:p>
        </w:tc>
        <w:tc>
          <w:tcPr>
            <w:tcW w:w="1783" w:type="dxa"/>
            <w:vAlign w:val="center"/>
          </w:tcPr>
          <w:p>
            <w:pPr>
              <w:jc w:val="center"/>
              <w:rPr>
                <w:snapToGrid w:val="0"/>
                <w:color w:val="auto"/>
                <w:kern w:val="0"/>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38"/>
              <w:rPr>
                <w:color w:val="auto"/>
                <w:sz w:val="24"/>
              </w:rPr>
            </w:pPr>
            <w:r>
              <w:rPr>
                <w:rFonts w:hint="eastAsia"/>
                <w:color w:val="auto"/>
                <w:sz w:val="24"/>
              </w:rPr>
              <w:t>隔油池</w:t>
            </w:r>
          </w:p>
          <w:p>
            <w:pPr>
              <w:pStyle w:val="38"/>
              <w:rPr>
                <w:color w:val="auto"/>
                <w:sz w:val="24"/>
              </w:rPr>
            </w:pPr>
            <w:r>
              <w:rPr>
                <w:rFonts w:hint="eastAsia"/>
                <w:color w:val="auto"/>
                <w:sz w:val="24"/>
              </w:rPr>
              <w:t>废焦油</w:t>
            </w:r>
          </w:p>
        </w:tc>
        <w:tc>
          <w:tcPr>
            <w:tcW w:w="1619"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w:t>
            </w:r>
          </w:p>
        </w:tc>
        <w:tc>
          <w:tcPr>
            <w:tcW w:w="1217"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w:t>
            </w:r>
          </w:p>
        </w:tc>
        <w:tc>
          <w:tcPr>
            <w:tcW w:w="1560" w:type="dxa"/>
            <w:vAlign w:val="center"/>
          </w:tcPr>
          <w:p>
            <w:pPr>
              <w:jc w:val="center"/>
              <w:rPr>
                <w:rFonts w:cs="宋体"/>
                <w:snapToGrid w:val="0"/>
                <w:color w:val="auto"/>
                <w:kern w:val="21"/>
                <w:sz w:val="24"/>
              </w:rPr>
            </w:pPr>
            <w:r>
              <w:rPr>
                <w:rFonts w:hint="eastAsia"/>
                <w:color w:val="auto"/>
                <w:spacing w:val="6"/>
                <w:sz w:val="24"/>
              </w:rPr>
              <w:t>/</w:t>
            </w:r>
          </w:p>
        </w:tc>
        <w:tc>
          <w:tcPr>
            <w:tcW w:w="1674" w:type="dxa"/>
            <w:vAlign w:val="center"/>
          </w:tcPr>
          <w:p>
            <w:pPr>
              <w:pStyle w:val="38"/>
              <w:rPr>
                <w:color w:val="auto"/>
                <w:sz w:val="24"/>
              </w:rPr>
            </w:pPr>
            <w:r>
              <w:rPr>
                <w:rFonts w:hint="eastAsia"/>
                <w:color w:val="auto"/>
                <w:sz w:val="24"/>
              </w:rPr>
              <w:t>3t</w:t>
            </w:r>
            <w:r>
              <w:rPr>
                <w:rFonts w:hint="eastAsia"/>
                <w:color w:val="auto"/>
                <w:sz w:val="24"/>
                <w:lang w:eastAsia="en-US"/>
              </w:rPr>
              <w:t>/a</w:t>
            </w:r>
          </w:p>
        </w:tc>
        <w:tc>
          <w:tcPr>
            <w:tcW w:w="1557" w:type="dxa"/>
            <w:vAlign w:val="center"/>
          </w:tcPr>
          <w:p>
            <w:pPr>
              <w:pStyle w:val="45"/>
              <w:spacing w:beforeLines="0" w:afterLines="0" w:line="240" w:lineRule="auto"/>
              <w:rPr>
                <w:rFonts w:ascii="Times New Roman" w:cs="宋体"/>
                <w:snapToGrid w:val="0"/>
                <w:color w:val="auto"/>
                <w:kern w:val="21"/>
                <w:sz w:val="24"/>
                <w:szCs w:val="24"/>
              </w:rPr>
            </w:pPr>
            <w:r>
              <w:rPr>
                <w:rFonts w:hint="eastAsia" w:ascii="Times New Roman" w:cs="宋体"/>
                <w:snapToGrid w:val="0"/>
                <w:color w:val="auto"/>
                <w:kern w:val="21"/>
                <w:sz w:val="24"/>
                <w:szCs w:val="24"/>
              </w:rPr>
              <w:t>/</w:t>
            </w:r>
          </w:p>
        </w:tc>
        <w:tc>
          <w:tcPr>
            <w:tcW w:w="1659" w:type="dxa"/>
            <w:vAlign w:val="center"/>
          </w:tcPr>
          <w:p>
            <w:pPr>
              <w:jc w:val="center"/>
              <w:rPr>
                <w:snapToGrid w:val="0"/>
                <w:color w:val="auto"/>
                <w:kern w:val="0"/>
                <w:sz w:val="24"/>
              </w:rPr>
            </w:pPr>
            <w:r>
              <w:rPr>
                <w:rFonts w:hint="eastAsia"/>
                <w:color w:val="auto"/>
                <w:spacing w:val="6"/>
                <w:sz w:val="24"/>
              </w:rPr>
              <w:t>/</w:t>
            </w:r>
          </w:p>
        </w:tc>
        <w:tc>
          <w:tcPr>
            <w:tcW w:w="1783" w:type="dxa"/>
            <w:vAlign w:val="center"/>
          </w:tcPr>
          <w:p>
            <w:pPr>
              <w:jc w:val="center"/>
              <w:rPr>
                <w:snapToGrid w:val="0"/>
                <w:color w:val="auto"/>
                <w:kern w:val="0"/>
                <w:sz w:val="24"/>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38"/>
              <w:rPr>
                <w:rFonts w:hint="eastAsia" w:ascii="Times New Roman" w:hAnsi="Times New Roman" w:eastAsia="宋体" w:cs="Times New Roman"/>
                <w:snapToGrid w:val="0"/>
                <w:color w:val="auto"/>
                <w:kern w:val="0"/>
                <w:sz w:val="24"/>
                <w:szCs w:val="24"/>
                <w:lang w:val="en-US" w:eastAsia="zh-CN" w:bidi="ar-SA"/>
              </w:rPr>
            </w:pPr>
            <w:r>
              <w:rPr>
                <w:rFonts w:hint="eastAsia"/>
                <w:color w:val="auto"/>
                <w:sz w:val="24"/>
              </w:rPr>
              <w:t>废机油</w:t>
            </w:r>
          </w:p>
        </w:tc>
        <w:tc>
          <w:tcPr>
            <w:tcW w:w="1619" w:type="dxa"/>
            <w:vAlign w:val="center"/>
          </w:tcPr>
          <w:p>
            <w:pPr>
              <w:pStyle w:val="45"/>
              <w:spacing w:beforeLines="0" w:afterLines="0" w:line="240" w:lineRule="auto"/>
              <w:rPr>
                <w:rFonts w:hint="eastAsia" w:ascii="Times New Roman" w:hAnsi="Times New Roman" w:eastAsia="宋体" w:cs="宋体"/>
                <w:snapToGrid w:val="0"/>
                <w:color w:val="auto"/>
                <w:kern w:val="21"/>
                <w:sz w:val="24"/>
                <w:szCs w:val="24"/>
                <w:lang w:val="en-US" w:eastAsia="zh-CN" w:bidi="ar-SA"/>
              </w:rPr>
            </w:pPr>
            <w:r>
              <w:rPr>
                <w:rFonts w:hint="eastAsia" w:ascii="Times New Roman" w:cs="宋体"/>
                <w:snapToGrid w:val="0"/>
                <w:color w:val="auto"/>
                <w:kern w:val="21"/>
                <w:sz w:val="24"/>
                <w:szCs w:val="24"/>
              </w:rPr>
              <w:t>/</w:t>
            </w:r>
          </w:p>
        </w:tc>
        <w:tc>
          <w:tcPr>
            <w:tcW w:w="1217" w:type="dxa"/>
            <w:vAlign w:val="center"/>
          </w:tcPr>
          <w:p>
            <w:pPr>
              <w:pStyle w:val="45"/>
              <w:spacing w:beforeLines="0" w:afterLines="0" w:line="240" w:lineRule="auto"/>
              <w:rPr>
                <w:rFonts w:hint="eastAsia" w:ascii="Times New Roman" w:hAnsi="Times New Roman" w:eastAsia="宋体" w:cs="宋体"/>
                <w:snapToGrid w:val="0"/>
                <w:color w:val="auto"/>
                <w:kern w:val="21"/>
                <w:sz w:val="24"/>
                <w:szCs w:val="24"/>
                <w:lang w:val="en-US" w:eastAsia="zh-CN" w:bidi="ar-SA"/>
              </w:rPr>
            </w:pPr>
            <w:r>
              <w:rPr>
                <w:rFonts w:hint="eastAsia" w:ascii="Times New Roman" w:cs="宋体"/>
                <w:snapToGrid w:val="0"/>
                <w:color w:val="auto"/>
                <w:kern w:val="21"/>
                <w:sz w:val="24"/>
                <w:szCs w:val="24"/>
              </w:rPr>
              <w:t>/</w:t>
            </w:r>
          </w:p>
        </w:tc>
        <w:tc>
          <w:tcPr>
            <w:tcW w:w="1560" w:type="dxa"/>
            <w:vAlign w:val="center"/>
          </w:tcPr>
          <w:p>
            <w:pPr>
              <w:jc w:val="center"/>
              <w:rPr>
                <w:rFonts w:hint="eastAsia" w:ascii="Times New Roman" w:hAnsi="Times New Roman" w:eastAsia="宋体" w:cs="宋体"/>
                <w:snapToGrid w:val="0"/>
                <w:color w:val="auto"/>
                <w:kern w:val="21"/>
                <w:sz w:val="24"/>
                <w:szCs w:val="24"/>
                <w:lang w:val="en-US" w:eastAsia="zh-CN" w:bidi="ar-SA"/>
              </w:rPr>
            </w:pPr>
            <w:r>
              <w:rPr>
                <w:rFonts w:hint="eastAsia"/>
                <w:color w:val="auto"/>
                <w:spacing w:val="6"/>
                <w:sz w:val="24"/>
              </w:rPr>
              <w:t>/</w:t>
            </w:r>
          </w:p>
        </w:tc>
        <w:tc>
          <w:tcPr>
            <w:tcW w:w="1674" w:type="dxa"/>
            <w:vAlign w:val="center"/>
          </w:tcPr>
          <w:p>
            <w:pPr>
              <w:pStyle w:val="38"/>
              <w:rPr>
                <w:rFonts w:hint="eastAsia" w:ascii="Times New Roman" w:hAnsi="Times New Roman" w:eastAsia="宋体" w:cs="Times New Roman"/>
                <w:snapToGrid w:val="0"/>
                <w:color w:val="auto"/>
                <w:kern w:val="0"/>
                <w:sz w:val="24"/>
                <w:szCs w:val="24"/>
                <w:lang w:val="en-US" w:eastAsia="zh-CN" w:bidi="ar-SA"/>
              </w:rPr>
            </w:pPr>
            <w:r>
              <w:rPr>
                <w:rFonts w:hint="eastAsia"/>
                <w:color w:val="auto"/>
                <w:sz w:val="24"/>
              </w:rPr>
              <w:t>0.5t/a</w:t>
            </w:r>
          </w:p>
        </w:tc>
        <w:tc>
          <w:tcPr>
            <w:tcW w:w="1557" w:type="dxa"/>
            <w:vAlign w:val="center"/>
          </w:tcPr>
          <w:p>
            <w:pPr>
              <w:pStyle w:val="45"/>
              <w:spacing w:beforeLines="0" w:afterLines="0" w:line="240" w:lineRule="auto"/>
              <w:rPr>
                <w:rFonts w:hint="eastAsia" w:ascii="Times New Roman" w:hAnsi="Times New Roman" w:eastAsia="宋体" w:cs="宋体"/>
                <w:snapToGrid w:val="0"/>
                <w:color w:val="auto"/>
                <w:kern w:val="21"/>
                <w:sz w:val="24"/>
                <w:szCs w:val="24"/>
                <w:lang w:val="en-US" w:eastAsia="zh-CN" w:bidi="ar-SA"/>
              </w:rPr>
            </w:pPr>
            <w:r>
              <w:rPr>
                <w:rFonts w:hint="eastAsia" w:ascii="Times New Roman" w:cs="宋体"/>
                <w:snapToGrid w:val="0"/>
                <w:color w:val="auto"/>
                <w:kern w:val="21"/>
                <w:sz w:val="24"/>
                <w:szCs w:val="24"/>
              </w:rPr>
              <w:t>/</w:t>
            </w:r>
          </w:p>
        </w:tc>
        <w:tc>
          <w:tcPr>
            <w:tcW w:w="1659" w:type="dxa"/>
            <w:vAlign w:val="center"/>
          </w:tcPr>
          <w:p>
            <w:pPr>
              <w:jc w:val="center"/>
              <w:rPr>
                <w:rFonts w:hint="eastAsia" w:ascii="Times New Roman" w:hAnsi="Times New Roman" w:eastAsia="宋体" w:cs="Times New Roman"/>
                <w:snapToGrid w:val="0"/>
                <w:color w:val="auto"/>
                <w:kern w:val="0"/>
                <w:sz w:val="24"/>
                <w:szCs w:val="24"/>
                <w:lang w:val="en-US" w:eastAsia="zh-CN" w:bidi="ar-SA"/>
              </w:rPr>
            </w:pPr>
            <w:r>
              <w:rPr>
                <w:rFonts w:hint="eastAsia"/>
                <w:color w:val="auto"/>
                <w:spacing w:val="6"/>
                <w:sz w:val="24"/>
              </w:rPr>
              <w:t>/</w:t>
            </w:r>
          </w:p>
        </w:tc>
        <w:tc>
          <w:tcPr>
            <w:tcW w:w="1783" w:type="dxa"/>
            <w:vAlign w:val="center"/>
          </w:tcPr>
          <w:p>
            <w:pPr>
              <w:jc w:val="center"/>
              <w:rPr>
                <w:rFonts w:hint="eastAsia" w:ascii="Times New Roman" w:hAnsi="Times New Roman" w:eastAsia="宋体" w:cs="Times New Roman"/>
                <w:snapToGrid w:val="0"/>
                <w:color w:val="auto"/>
                <w:kern w:val="0"/>
                <w:sz w:val="24"/>
                <w:szCs w:val="24"/>
                <w:lang w:val="en-US" w:eastAsia="zh-CN" w:bidi="ar-SA"/>
              </w:rPr>
            </w:pPr>
            <w:r>
              <w:rPr>
                <w:rFonts w:hint="eastAsia"/>
                <w:color w:val="auto"/>
                <w:spacing w:val="6"/>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continue"/>
            <w:vAlign w:val="center"/>
          </w:tcPr>
          <w:p>
            <w:pPr>
              <w:pStyle w:val="45"/>
              <w:spacing w:beforeLines="0" w:afterLines="0" w:line="240" w:lineRule="auto"/>
              <w:rPr>
                <w:rFonts w:ascii="Times New Roman" w:cs="宋体"/>
                <w:snapToGrid w:val="0"/>
                <w:color w:val="auto"/>
                <w:kern w:val="21"/>
                <w:sz w:val="24"/>
                <w:szCs w:val="24"/>
              </w:rPr>
            </w:pPr>
          </w:p>
        </w:tc>
        <w:tc>
          <w:tcPr>
            <w:tcW w:w="1510" w:type="dxa"/>
            <w:vAlign w:val="center"/>
          </w:tcPr>
          <w:p>
            <w:pPr>
              <w:pStyle w:val="38"/>
              <w:rPr>
                <w:rFonts w:hint="default" w:eastAsia="宋体"/>
                <w:color w:val="auto"/>
                <w:sz w:val="24"/>
                <w:lang w:val="en-US" w:eastAsia="zh-CN"/>
              </w:rPr>
            </w:pPr>
            <w:r>
              <w:rPr>
                <w:rFonts w:hint="eastAsia"/>
                <w:color w:val="auto"/>
                <w:sz w:val="24"/>
                <w:lang w:val="en-US" w:eastAsia="zh-CN"/>
              </w:rPr>
              <w:t>废石油焦粉</w:t>
            </w:r>
          </w:p>
        </w:tc>
        <w:tc>
          <w:tcPr>
            <w:tcW w:w="1619" w:type="dxa"/>
            <w:vAlign w:val="center"/>
          </w:tcPr>
          <w:p>
            <w:pPr>
              <w:pStyle w:val="45"/>
              <w:spacing w:beforeLines="0" w:afterLines="0" w:line="240" w:lineRule="auto"/>
              <w:rPr>
                <w:rFonts w:hint="eastAsia" w:ascii="Times New Roman" w:eastAsia="宋体" w:cs="宋体"/>
                <w:snapToGrid w:val="0"/>
                <w:color w:val="auto"/>
                <w:kern w:val="21"/>
                <w:sz w:val="24"/>
                <w:szCs w:val="24"/>
                <w:lang w:val="en-US" w:eastAsia="zh-CN"/>
              </w:rPr>
            </w:pPr>
            <w:r>
              <w:rPr>
                <w:rFonts w:hint="eastAsia" w:ascii="Times New Roman" w:cs="宋体"/>
                <w:snapToGrid w:val="0"/>
                <w:color w:val="auto"/>
                <w:kern w:val="21"/>
                <w:sz w:val="24"/>
                <w:szCs w:val="24"/>
                <w:lang w:val="en-US" w:eastAsia="zh-CN"/>
              </w:rPr>
              <w:t>/</w:t>
            </w:r>
          </w:p>
        </w:tc>
        <w:tc>
          <w:tcPr>
            <w:tcW w:w="1217" w:type="dxa"/>
            <w:vAlign w:val="center"/>
          </w:tcPr>
          <w:p>
            <w:pPr>
              <w:pStyle w:val="45"/>
              <w:spacing w:beforeLines="0" w:afterLines="0" w:line="240" w:lineRule="auto"/>
              <w:rPr>
                <w:rFonts w:hint="eastAsia" w:ascii="Times New Roman" w:eastAsia="宋体" w:cs="宋体"/>
                <w:snapToGrid w:val="0"/>
                <w:color w:val="auto"/>
                <w:kern w:val="21"/>
                <w:sz w:val="24"/>
                <w:szCs w:val="24"/>
                <w:lang w:val="en-US" w:eastAsia="zh-CN"/>
              </w:rPr>
            </w:pPr>
            <w:r>
              <w:rPr>
                <w:rFonts w:hint="eastAsia" w:ascii="Times New Roman" w:cs="宋体"/>
                <w:snapToGrid w:val="0"/>
                <w:color w:val="auto"/>
                <w:kern w:val="21"/>
                <w:sz w:val="24"/>
                <w:szCs w:val="24"/>
                <w:lang w:val="en-US" w:eastAsia="zh-CN"/>
              </w:rPr>
              <w:t>/</w:t>
            </w:r>
          </w:p>
        </w:tc>
        <w:tc>
          <w:tcPr>
            <w:tcW w:w="1560" w:type="dxa"/>
            <w:vAlign w:val="center"/>
          </w:tcPr>
          <w:p>
            <w:pPr>
              <w:jc w:val="center"/>
              <w:rPr>
                <w:rFonts w:hint="eastAsia" w:eastAsia="宋体" w:cs="宋体"/>
                <w:snapToGrid w:val="0"/>
                <w:color w:val="auto"/>
                <w:kern w:val="21"/>
                <w:sz w:val="24"/>
                <w:lang w:val="en-US" w:eastAsia="zh-CN"/>
              </w:rPr>
            </w:pPr>
            <w:r>
              <w:rPr>
                <w:rFonts w:hint="eastAsia" w:cs="宋体"/>
                <w:snapToGrid w:val="0"/>
                <w:color w:val="auto"/>
                <w:kern w:val="21"/>
                <w:sz w:val="24"/>
                <w:lang w:val="en-US" w:eastAsia="zh-CN"/>
              </w:rPr>
              <w:t>/</w:t>
            </w:r>
          </w:p>
        </w:tc>
        <w:tc>
          <w:tcPr>
            <w:tcW w:w="1674" w:type="dxa"/>
            <w:vAlign w:val="center"/>
          </w:tcPr>
          <w:p>
            <w:pPr>
              <w:pStyle w:val="38"/>
              <w:rPr>
                <w:rFonts w:hint="default" w:eastAsia="宋体"/>
                <w:color w:val="auto"/>
                <w:sz w:val="24"/>
                <w:lang w:val="en-US" w:eastAsia="zh-CN"/>
              </w:rPr>
            </w:pPr>
            <w:r>
              <w:rPr>
                <w:rFonts w:hint="eastAsia"/>
                <w:color w:val="auto"/>
                <w:sz w:val="24"/>
                <w:lang w:val="en-US" w:eastAsia="zh-CN"/>
              </w:rPr>
              <w:t>380t/a</w:t>
            </w:r>
          </w:p>
        </w:tc>
        <w:tc>
          <w:tcPr>
            <w:tcW w:w="1557" w:type="dxa"/>
            <w:vAlign w:val="center"/>
          </w:tcPr>
          <w:p>
            <w:pPr>
              <w:pStyle w:val="45"/>
              <w:spacing w:beforeLines="0" w:afterLines="0" w:line="240" w:lineRule="auto"/>
              <w:rPr>
                <w:rFonts w:ascii="Times New Roman" w:cs="宋体"/>
                <w:snapToGrid w:val="0"/>
                <w:color w:val="auto"/>
                <w:kern w:val="21"/>
                <w:sz w:val="24"/>
                <w:szCs w:val="24"/>
              </w:rPr>
            </w:pPr>
          </w:p>
        </w:tc>
        <w:tc>
          <w:tcPr>
            <w:tcW w:w="1659" w:type="dxa"/>
            <w:vAlign w:val="center"/>
          </w:tcPr>
          <w:p>
            <w:pPr>
              <w:jc w:val="center"/>
              <w:rPr>
                <w:snapToGrid w:val="0"/>
                <w:color w:val="auto"/>
                <w:kern w:val="0"/>
                <w:sz w:val="24"/>
              </w:rPr>
            </w:pPr>
          </w:p>
        </w:tc>
        <w:tc>
          <w:tcPr>
            <w:tcW w:w="1783" w:type="dxa"/>
            <w:vAlign w:val="center"/>
          </w:tcPr>
          <w:p>
            <w:pPr>
              <w:jc w:val="center"/>
              <w:rPr>
                <w:snapToGrid w:val="0"/>
                <w:color w:val="auto"/>
                <w:kern w:val="0"/>
                <w:sz w:val="24"/>
              </w:rPr>
            </w:pPr>
          </w:p>
        </w:tc>
      </w:tr>
    </w:tbl>
    <w:p>
      <w:pPr>
        <w:pStyle w:val="45"/>
        <w:spacing w:before="192" w:beforeLines="80" w:after="24"/>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ascii="Times New Roman"/>
          <w:color w:val="auto"/>
          <w:szCs w:val="21"/>
        </w:rPr>
        <w:t>①</w:t>
      </w:r>
      <w:r>
        <w:rPr>
          <w:rFonts w:ascii="Times New Roman"/>
          <w:snapToGrid w:val="0"/>
          <w:color w:val="auto"/>
          <w:spacing w:val="-6"/>
          <w:kern w:val="21"/>
          <w:szCs w:val="21"/>
        </w:rPr>
        <w:fldChar w:fldCharType="end"/>
      </w: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rPr>
          <w:rFonts w:ascii="Times New Roman"/>
          <w:snapToGrid w:val="0"/>
          <w:color w:val="auto"/>
          <w:spacing w:val="-6"/>
          <w:kern w:val="21"/>
          <w:szCs w:val="21"/>
        </w:rPr>
      </w:pPr>
    </w:p>
    <w:p>
      <w:pPr>
        <w:rPr>
          <w:rFonts w:ascii="Times New Roman"/>
          <w:snapToGrid w:val="0"/>
          <w:color w:val="auto"/>
          <w:spacing w:val="-6"/>
          <w:kern w:val="21"/>
          <w:szCs w:val="21"/>
        </w:rPr>
      </w:pPr>
    </w:p>
    <w:p>
      <w:pPr>
        <w:pStyle w:val="2"/>
      </w:pPr>
      <w:r>
        <w:drawing>
          <wp:inline distT="0" distB="0" distL="114300" distR="114300">
            <wp:extent cx="7263765" cy="5123180"/>
            <wp:effectExtent l="0" t="0" r="13335" b="12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1"/>
                    <a:stretch>
                      <a:fillRect/>
                    </a:stretch>
                  </pic:blipFill>
                  <pic:spPr>
                    <a:xfrm>
                      <a:off x="0" y="0"/>
                      <a:ext cx="7263765" cy="5123180"/>
                    </a:xfrm>
                    <a:prstGeom prst="rect">
                      <a:avLst/>
                    </a:prstGeom>
                    <a:noFill/>
                    <a:ln>
                      <a:noFill/>
                    </a:ln>
                  </pic:spPr>
                </pic:pic>
              </a:graphicData>
            </a:graphic>
          </wp:inline>
        </w:drawing>
      </w:r>
    </w:p>
    <w:p>
      <w:pPr>
        <w:jc w:val="center"/>
      </w:pPr>
      <w:r>
        <w:drawing>
          <wp:inline distT="0" distB="0" distL="114300" distR="114300">
            <wp:extent cx="6322695" cy="5177155"/>
            <wp:effectExtent l="0" t="0" r="1905" b="444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2"/>
                    <a:stretch>
                      <a:fillRect/>
                    </a:stretch>
                  </pic:blipFill>
                  <pic:spPr>
                    <a:xfrm>
                      <a:off x="0" y="0"/>
                      <a:ext cx="6322695" cy="517715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7624445" cy="5278120"/>
            <wp:effectExtent l="0" t="0" r="14605" b="1778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3"/>
                    <a:stretch>
                      <a:fillRect/>
                    </a:stretch>
                  </pic:blipFill>
                  <pic:spPr>
                    <a:xfrm>
                      <a:off x="0" y="0"/>
                      <a:ext cx="7624445" cy="5278120"/>
                    </a:xfrm>
                    <a:prstGeom prst="rect">
                      <a:avLst/>
                    </a:prstGeom>
                    <a:noFill/>
                    <a:ln>
                      <a:noFill/>
                    </a:ln>
                  </pic:spPr>
                </pic:pic>
              </a:graphicData>
            </a:graphic>
          </wp:inline>
        </w:drawing>
      </w:r>
    </w:p>
    <w:p>
      <w:pPr>
        <w:jc w:val="center"/>
      </w:pPr>
      <w:r>
        <w:drawing>
          <wp:inline distT="0" distB="0" distL="114300" distR="114300">
            <wp:extent cx="7032625" cy="5156835"/>
            <wp:effectExtent l="0" t="0" r="15875"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4"/>
                    <a:stretch>
                      <a:fillRect/>
                    </a:stretch>
                  </pic:blipFill>
                  <pic:spPr>
                    <a:xfrm>
                      <a:off x="0" y="0"/>
                      <a:ext cx="7032625" cy="5156835"/>
                    </a:xfrm>
                    <a:prstGeom prst="rect">
                      <a:avLst/>
                    </a:prstGeom>
                    <a:noFill/>
                    <a:ln>
                      <a:noFill/>
                    </a:ln>
                  </pic:spPr>
                </pic:pic>
              </a:graphicData>
            </a:graphic>
          </wp:inline>
        </w:drawing>
      </w:r>
    </w:p>
    <w:p>
      <w:pPr>
        <w:pStyle w:val="2"/>
        <w:ind w:left="0" w:leftChars="0" w:firstLine="0" w:firstLineChars="0"/>
        <w:jc w:val="center"/>
        <w:sectPr>
          <w:footerReference r:id="rId6" w:type="default"/>
          <w:pgSz w:w="16838" w:h="11906" w:orient="landscape"/>
          <w:pgMar w:top="1803" w:right="1440" w:bottom="1803" w:left="1440" w:header="851" w:footer="1077" w:gutter="0"/>
          <w:pgBorders>
            <w:top w:val="none" w:sz="0" w:space="0"/>
            <w:left w:val="none" w:sz="0" w:space="0"/>
            <w:bottom w:val="none" w:sz="0" w:space="0"/>
            <w:right w:val="none" w:sz="0" w:space="0"/>
          </w:pgBorders>
          <w:cols w:space="0" w:num="1"/>
          <w:rtlGutter w:val="0"/>
          <w:docGrid w:linePitch="312" w:charSpace="0"/>
        </w:sectPr>
      </w:pPr>
      <w:r>
        <w:drawing>
          <wp:inline distT="0" distB="0" distL="114300" distR="114300">
            <wp:extent cx="7292975" cy="5143500"/>
            <wp:effectExtent l="0" t="0" r="3175"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5"/>
                    <a:stretch>
                      <a:fillRect/>
                    </a:stretch>
                  </pic:blipFill>
                  <pic:spPr>
                    <a:xfrm>
                      <a:off x="0" y="0"/>
                      <a:ext cx="7292975" cy="5143500"/>
                    </a:xfrm>
                    <a:prstGeom prst="rect">
                      <a:avLst/>
                    </a:prstGeom>
                    <a:noFill/>
                    <a:ln>
                      <a:noFill/>
                    </a:ln>
                  </pic:spPr>
                </pic:pic>
              </a:graphicData>
            </a:graphic>
          </wp:inline>
        </w:drawing>
      </w:r>
    </w:p>
    <w:p>
      <w:pPr>
        <w:jc w:val="center"/>
      </w:pPr>
    </w:p>
    <w:p>
      <w:pPr>
        <w:jc w:val="center"/>
      </w:pPr>
    </w:p>
    <w:p>
      <w:pPr>
        <w:jc w:val="center"/>
      </w:pPr>
    </w:p>
    <w:p>
      <w:pPr>
        <w:jc w:val="center"/>
      </w:pPr>
      <w:r>
        <w:drawing>
          <wp:inline distT="0" distB="0" distL="114300" distR="114300">
            <wp:extent cx="5233670" cy="7487920"/>
            <wp:effectExtent l="0" t="0" r="5080" b="1778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6"/>
                    <a:stretch>
                      <a:fillRect/>
                    </a:stretch>
                  </pic:blipFill>
                  <pic:spPr>
                    <a:xfrm>
                      <a:off x="0" y="0"/>
                      <a:ext cx="5233670" cy="7487920"/>
                    </a:xfrm>
                    <a:prstGeom prst="rect">
                      <a:avLst/>
                    </a:prstGeom>
                    <a:noFill/>
                    <a:ln>
                      <a:noFill/>
                    </a:ln>
                  </pic:spPr>
                </pic:pic>
              </a:graphicData>
            </a:graphic>
          </wp:inline>
        </w:drawing>
      </w:r>
    </w:p>
    <w:p>
      <w:pPr>
        <w:pStyle w:val="2"/>
      </w:pPr>
    </w:p>
    <w:p/>
    <w:p>
      <w:pPr>
        <w:pStyle w:val="2"/>
      </w:pPr>
    </w:p>
    <w:p/>
    <w:p>
      <w:pPr>
        <w:pStyle w:val="2"/>
        <w:ind w:left="0" w:leftChars="0" w:firstLine="0" w:firstLineChars="0"/>
      </w:pPr>
    </w:p>
    <w:p>
      <w:pPr>
        <w:pStyle w:val="2"/>
        <w:ind w:left="0" w:leftChars="0" w:firstLine="0" w:firstLineChars="0"/>
      </w:pPr>
      <w:r>
        <w:drawing>
          <wp:inline distT="0" distB="0" distL="114300" distR="114300">
            <wp:extent cx="5375910" cy="8428990"/>
            <wp:effectExtent l="0" t="0" r="15240" b="1016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7"/>
                    <a:stretch>
                      <a:fillRect/>
                    </a:stretch>
                  </pic:blipFill>
                  <pic:spPr>
                    <a:xfrm>
                      <a:off x="0" y="0"/>
                      <a:ext cx="5375910" cy="8428990"/>
                    </a:xfrm>
                    <a:prstGeom prst="rect">
                      <a:avLst/>
                    </a:prstGeom>
                    <a:noFill/>
                    <a:ln>
                      <a:noFill/>
                    </a:ln>
                  </pic:spPr>
                </pic:pic>
              </a:graphicData>
            </a:graphic>
          </wp:inline>
        </w:drawing>
      </w:r>
    </w:p>
    <w:p>
      <w:r>
        <w:drawing>
          <wp:inline distT="0" distB="0" distL="114300" distR="114300">
            <wp:extent cx="5279390" cy="8193405"/>
            <wp:effectExtent l="0" t="0" r="16510" b="1714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8"/>
                    <a:stretch>
                      <a:fillRect/>
                    </a:stretch>
                  </pic:blipFill>
                  <pic:spPr>
                    <a:xfrm>
                      <a:off x="0" y="0"/>
                      <a:ext cx="5279390" cy="8193405"/>
                    </a:xfrm>
                    <a:prstGeom prst="rect">
                      <a:avLst/>
                    </a:prstGeom>
                    <a:noFill/>
                    <a:ln>
                      <a:noFill/>
                    </a:ln>
                  </pic:spPr>
                </pic:pic>
              </a:graphicData>
            </a:graphic>
          </wp:inline>
        </w:drawing>
      </w:r>
    </w:p>
    <w:p>
      <w:pPr>
        <w:pStyle w:val="2"/>
      </w:pPr>
    </w:p>
    <w:p/>
    <w:p>
      <w:pPr>
        <w:pStyle w:val="2"/>
        <w:sectPr>
          <w:pgSz w:w="11906" w:h="16838"/>
          <w:pgMar w:top="1440" w:right="1803" w:bottom="1440" w:left="1803" w:header="851" w:footer="1077" w:gutter="0"/>
          <w:paperSrc/>
          <w:pgBorders>
            <w:top w:val="none" w:sz="0" w:space="0"/>
            <w:left w:val="none" w:sz="0" w:space="0"/>
            <w:bottom w:val="none" w:sz="0" w:space="0"/>
            <w:right w:val="none" w:sz="0" w:space="0"/>
          </w:pgBorders>
          <w:cols w:space="0" w:num="1"/>
          <w:rtlGutter w:val="0"/>
          <w:docGrid w:linePitch="312" w:charSpace="0"/>
        </w:sectPr>
      </w:pPr>
    </w:p>
    <w:p>
      <w:pPr>
        <w:jc w:val="center"/>
      </w:pPr>
      <w:r>
        <w:drawing>
          <wp:inline distT="0" distB="0" distL="114300" distR="114300">
            <wp:extent cx="6896735" cy="5275580"/>
            <wp:effectExtent l="0" t="0" r="18415" b="127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9"/>
                    <a:stretch>
                      <a:fillRect/>
                    </a:stretch>
                  </pic:blipFill>
                  <pic:spPr>
                    <a:xfrm>
                      <a:off x="0" y="0"/>
                      <a:ext cx="6896735" cy="5275580"/>
                    </a:xfrm>
                    <a:prstGeom prst="rect">
                      <a:avLst/>
                    </a:prstGeom>
                    <a:noFill/>
                    <a:ln>
                      <a:noFill/>
                    </a:ln>
                  </pic:spPr>
                </pic:pic>
              </a:graphicData>
            </a:graphic>
          </wp:inline>
        </w:drawing>
      </w:r>
    </w:p>
    <w:p>
      <w:pPr>
        <w:pStyle w:val="2"/>
        <w:jc w:val="center"/>
        <w:sectPr>
          <w:pgSz w:w="16838" w:h="11906" w:orient="landscape"/>
          <w:pgMar w:top="1803" w:right="1440" w:bottom="1803" w:left="1440" w:header="851" w:footer="1077" w:gutter="0"/>
          <w:paperSrc/>
          <w:pgBorders>
            <w:top w:val="none" w:sz="0" w:space="0"/>
            <w:left w:val="none" w:sz="0" w:space="0"/>
            <w:bottom w:val="none" w:sz="0" w:space="0"/>
            <w:right w:val="none" w:sz="0" w:space="0"/>
          </w:pgBorders>
          <w:cols w:space="0" w:num="1"/>
          <w:rtlGutter w:val="0"/>
          <w:docGrid w:linePitch="312" w:charSpace="0"/>
        </w:sectPr>
      </w:pPr>
      <w:r>
        <w:drawing>
          <wp:inline distT="0" distB="0" distL="114300" distR="114300">
            <wp:extent cx="6412865" cy="5149850"/>
            <wp:effectExtent l="0" t="0" r="6985" b="1270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40"/>
                    <a:stretch>
                      <a:fillRect/>
                    </a:stretch>
                  </pic:blipFill>
                  <pic:spPr>
                    <a:xfrm>
                      <a:off x="0" y="0"/>
                      <a:ext cx="6412865" cy="5149850"/>
                    </a:xfrm>
                    <a:prstGeom prst="rect">
                      <a:avLst/>
                    </a:prstGeom>
                    <a:noFill/>
                    <a:ln>
                      <a:noFill/>
                    </a:ln>
                  </pic:spPr>
                </pic:pic>
              </a:graphicData>
            </a:graphic>
          </wp:inline>
        </w:drawing>
      </w:r>
    </w:p>
    <w:p>
      <w:r>
        <w:drawing>
          <wp:inline distT="0" distB="0" distL="114300" distR="114300">
            <wp:extent cx="5269230" cy="6771005"/>
            <wp:effectExtent l="0" t="0" r="7620" b="1079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1"/>
                    <a:stretch>
                      <a:fillRect/>
                    </a:stretch>
                  </pic:blipFill>
                  <pic:spPr>
                    <a:xfrm>
                      <a:off x="0" y="0"/>
                      <a:ext cx="5269230" cy="6771005"/>
                    </a:xfrm>
                    <a:prstGeom prst="rect">
                      <a:avLst/>
                    </a:prstGeom>
                    <a:noFill/>
                    <a:ln>
                      <a:noFill/>
                    </a:ln>
                  </pic:spPr>
                </pic:pic>
              </a:graphicData>
            </a:graphic>
          </wp:inline>
        </w:drawing>
      </w:r>
    </w:p>
    <w:p>
      <w:pPr>
        <w:pStyle w:val="2"/>
      </w:pPr>
    </w:p>
    <w:p/>
    <w:p>
      <w:pPr>
        <w:pStyle w:val="2"/>
      </w:pPr>
    </w:p>
    <w:p/>
    <w:p>
      <w:pPr>
        <w:pStyle w:val="2"/>
      </w:pPr>
    </w:p>
    <w:p/>
    <w:p>
      <w:pPr>
        <w:pStyle w:val="2"/>
      </w:pPr>
    </w:p>
    <w:p/>
    <w:p>
      <w:pPr>
        <w:pStyle w:val="2"/>
      </w:pPr>
    </w:p>
    <w:p/>
    <w:p>
      <w:pPr>
        <w:pStyle w:val="2"/>
      </w:pPr>
    </w:p>
    <w:p>
      <w:pPr>
        <w:rPr>
          <w:rFonts w:hint="eastAsia" w:eastAsia="宋体"/>
          <w:lang w:eastAsia="zh-CN"/>
        </w:rPr>
      </w:pPr>
      <w:r>
        <w:rPr>
          <w:rFonts w:hint="eastAsia" w:eastAsia="宋体"/>
          <w:lang w:eastAsia="zh-CN"/>
        </w:rPr>
        <w:drawing>
          <wp:inline distT="0" distB="0" distL="114300" distR="114300">
            <wp:extent cx="5264150" cy="7451725"/>
            <wp:effectExtent l="0" t="0" r="12700" b="15875"/>
            <wp:docPr id="130" name="图片 130" descr="附件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附件_页面_01"/>
                    <pic:cNvPicPr>
                      <a:picLocks noChangeAspect="1"/>
                    </pic:cNvPicPr>
                  </pic:nvPicPr>
                  <pic:blipFill>
                    <a:blip r:embed="rId42"/>
                    <a:stretch>
                      <a:fillRect/>
                    </a:stretch>
                  </pic:blipFill>
                  <pic:spPr>
                    <a:xfrm>
                      <a:off x="0" y="0"/>
                      <a:ext cx="5264150" cy="7451725"/>
                    </a:xfrm>
                    <a:prstGeom prst="rect">
                      <a:avLst/>
                    </a:prstGeom>
                  </pic:spPr>
                </pic:pic>
              </a:graphicData>
            </a:graphic>
          </wp:inline>
        </w:drawing>
      </w:r>
      <w:r>
        <w:rPr>
          <w:rFonts w:hint="eastAsia" w:eastAsia="宋体"/>
          <w:lang w:eastAsia="zh-CN"/>
        </w:rPr>
        <w:drawing>
          <wp:inline distT="0" distB="0" distL="114300" distR="114300">
            <wp:extent cx="5262880" cy="3759200"/>
            <wp:effectExtent l="0" t="0" r="13970" b="12700"/>
            <wp:docPr id="129" name="图片 129" descr="附件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附件_页面_02"/>
                    <pic:cNvPicPr>
                      <a:picLocks noChangeAspect="1"/>
                    </pic:cNvPicPr>
                  </pic:nvPicPr>
                  <pic:blipFill>
                    <a:blip r:embed="rId43"/>
                    <a:stretch>
                      <a:fillRect/>
                    </a:stretch>
                  </pic:blipFill>
                  <pic:spPr>
                    <a:xfrm>
                      <a:off x="0" y="0"/>
                      <a:ext cx="5262880" cy="3759200"/>
                    </a:xfrm>
                    <a:prstGeom prst="rect">
                      <a:avLst/>
                    </a:prstGeom>
                  </pic:spPr>
                </pic:pic>
              </a:graphicData>
            </a:graphic>
          </wp:inline>
        </w:drawing>
      </w:r>
      <w:r>
        <w:rPr>
          <w:rFonts w:hint="eastAsia" w:eastAsia="宋体"/>
          <w:lang w:eastAsia="zh-CN"/>
        </w:rPr>
        <w:drawing>
          <wp:inline distT="0" distB="0" distL="114300" distR="114300">
            <wp:extent cx="5263515" cy="3761740"/>
            <wp:effectExtent l="0" t="0" r="13335" b="10160"/>
            <wp:docPr id="128" name="图片 128" descr="附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附件_页面_03"/>
                    <pic:cNvPicPr>
                      <a:picLocks noChangeAspect="1"/>
                    </pic:cNvPicPr>
                  </pic:nvPicPr>
                  <pic:blipFill>
                    <a:blip r:embed="rId44"/>
                    <a:stretch>
                      <a:fillRect/>
                    </a:stretch>
                  </pic:blipFill>
                  <pic:spPr>
                    <a:xfrm>
                      <a:off x="0" y="0"/>
                      <a:ext cx="5263515" cy="3761740"/>
                    </a:xfrm>
                    <a:prstGeom prst="rect">
                      <a:avLst/>
                    </a:prstGeom>
                  </pic:spPr>
                </pic:pic>
              </a:graphicData>
            </a:graphic>
          </wp:inline>
        </w:drawing>
      </w:r>
      <w:r>
        <w:rPr>
          <w:rFonts w:hint="eastAsia" w:eastAsia="宋体"/>
          <w:lang w:eastAsia="zh-CN"/>
        </w:rPr>
        <w:drawing>
          <wp:inline distT="0" distB="0" distL="114300" distR="114300">
            <wp:extent cx="5269230" cy="3724910"/>
            <wp:effectExtent l="0" t="0" r="7620" b="8890"/>
            <wp:docPr id="127" name="图片 127" descr="附件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附件_页面_04"/>
                    <pic:cNvPicPr>
                      <a:picLocks noChangeAspect="1"/>
                    </pic:cNvPicPr>
                  </pic:nvPicPr>
                  <pic:blipFill>
                    <a:blip r:embed="rId45"/>
                    <a:stretch>
                      <a:fillRect/>
                    </a:stretch>
                  </pic:blipFill>
                  <pic:spPr>
                    <a:xfrm>
                      <a:off x="0" y="0"/>
                      <a:ext cx="5269230" cy="3724910"/>
                    </a:xfrm>
                    <a:prstGeom prst="rect">
                      <a:avLst/>
                    </a:prstGeom>
                  </pic:spPr>
                </pic:pic>
              </a:graphicData>
            </a:graphic>
          </wp:inline>
        </w:drawing>
      </w:r>
      <w:r>
        <w:rPr>
          <w:rFonts w:hint="eastAsia" w:eastAsia="宋体"/>
          <w:lang w:eastAsia="zh-CN"/>
        </w:rPr>
        <w:drawing>
          <wp:inline distT="0" distB="0" distL="114300" distR="114300">
            <wp:extent cx="5269230" cy="3724910"/>
            <wp:effectExtent l="0" t="0" r="7620" b="8890"/>
            <wp:docPr id="126" name="图片 126" descr="附件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附件_页面_05"/>
                    <pic:cNvPicPr>
                      <a:picLocks noChangeAspect="1"/>
                    </pic:cNvPicPr>
                  </pic:nvPicPr>
                  <pic:blipFill>
                    <a:blip r:embed="rId46"/>
                    <a:stretch>
                      <a:fillRect/>
                    </a:stretch>
                  </pic:blipFill>
                  <pic:spPr>
                    <a:xfrm>
                      <a:off x="0" y="0"/>
                      <a:ext cx="5269230" cy="3724910"/>
                    </a:xfrm>
                    <a:prstGeom prst="rect">
                      <a:avLst/>
                    </a:prstGeom>
                  </pic:spPr>
                </pic:pic>
              </a:graphicData>
            </a:graphic>
          </wp:inline>
        </w:drawing>
      </w:r>
      <w:r>
        <w:rPr>
          <w:rFonts w:hint="eastAsia" w:eastAsia="宋体"/>
          <w:lang w:eastAsia="zh-CN"/>
        </w:rPr>
        <w:drawing>
          <wp:inline distT="0" distB="0" distL="114300" distR="114300">
            <wp:extent cx="5269230" cy="3724910"/>
            <wp:effectExtent l="0" t="0" r="7620" b="8890"/>
            <wp:docPr id="125" name="图片 125" descr="附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附件_页面_06"/>
                    <pic:cNvPicPr>
                      <a:picLocks noChangeAspect="1"/>
                    </pic:cNvPicPr>
                  </pic:nvPicPr>
                  <pic:blipFill>
                    <a:blip r:embed="rId47"/>
                    <a:stretch>
                      <a:fillRect/>
                    </a:stretch>
                  </pic:blipFill>
                  <pic:spPr>
                    <a:xfrm>
                      <a:off x="0" y="0"/>
                      <a:ext cx="5269230" cy="3724910"/>
                    </a:xfrm>
                    <a:prstGeom prst="rect">
                      <a:avLst/>
                    </a:prstGeom>
                  </pic:spPr>
                </pic:pic>
              </a:graphicData>
            </a:graphic>
          </wp:inline>
        </w:drawing>
      </w:r>
      <w:r>
        <w:rPr>
          <w:rFonts w:hint="eastAsia" w:eastAsia="宋体"/>
          <w:lang w:eastAsia="zh-CN"/>
        </w:rPr>
        <w:drawing>
          <wp:inline distT="0" distB="0" distL="114300" distR="114300">
            <wp:extent cx="5269230" cy="3724910"/>
            <wp:effectExtent l="0" t="0" r="7620" b="8890"/>
            <wp:docPr id="124" name="图片 124" descr="附件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附件_页面_07"/>
                    <pic:cNvPicPr>
                      <a:picLocks noChangeAspect="1"/>
                    </pic:cNvPicPr>
                  </pic:nvPicPr>
                  <pic:blipFill>
                    <a:blip r:embed="rId48"/>
                    <a:stretch>
                      <a:fillRect/>
                    </a:stretch>
                  </pic:blipFill>
                  <pic:spPr>
                    <a:xfrm>
                      <a:off x="0" y="0"/>
                      <a:ext cx="5269230" cy="3724910"/>
                    </a:xfrm>
                    <a:prstGeom prst="rect">
                      <a:avLst/>
                    </a:prstGeom>
                  </pic:spPr>
                </pic:pic>
              </a:graphicData>
            </a:graphic>
          </wp:inline>
        </w:drawing>
      </w:r>
      <w:r>
        <w:rPr>
          <w:rFonts w:hint="eastAsia" w:eastAsia="宋体"/>
          <w:lang w:eastAsia="zh-CN"/>
        </w:rPr>
        <w:drawing>
          <wp:inline distT="0" distB="0" distL="114300" distR="114300">
            <wp:extent cx="5267325" cy="7451725"/>
            <wp:effectExtent l="0" t="0" r="9525" b="15875"/>
            <wp:docPr id="123" name="图片 123" descr="附件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附件_页面_08"/>
                    <pic:cNvPicPr>
                      <a:picLocks noChangeAspect="1"/>
                    </pic:cNvPicPr>
                  </pic:nvPicPr>
                  <pic:blipFill>
                    <a:blip r:embed="rId49"/>
                    <a:stretch>
                      <a:fillRect/>
                    </a:stretch>
                  </pic:blipFill>
                  <pic:spPr>
                    <a:xfrm>
                      <a:off x="0" y="0"/>
                      <a:ext cx="5267325" cy="7451725"/>
                    </a:xfrm>
                    <a:prstGeom prst="rect">
                      <a:avLst/>
                    </a:prstGeom>
                  </pic:spPr>
                </pic:pic>
              </a:graphicData>
            </a:graphic>
          </wp:inline>
        </w:drawing>
      </w:r>
      <w:r>
        <w:rPr>
          <w:rFonts w:hint="eastAsia" w:eastAsia="宋体"/>
          <w:lang w:eastAsia="zh-CN"/>
        </w:rPr>
        <w:drawing>
          <wp:inline distT="0" distB="0" distL="114300" distR="114300">
            <wp:extent cx="5267325" cy="7451725"/>
            <wp:effectExtent l="0" t="0" r="9525" b="15875"/>
            <wp:docPr id="122" name="图片 122" descr="附件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附件_页面_09"/>
                    <pic:cNvPicPr>
                      <a:picLocks noChangeAspect="1"/>
                    </pic:cNvPicPr>
                  </pic:nvPicPr>
                  <pic:blipFill>
                    <a:blip r:embed="rId50"/>
                    <a:stretch>
                      <a:fillRect/>
                    </a:stretch>
                  </pic:blipFill>
                  <pic:spPr>
                    <a:xfrm>
                      <a:off x="0" y="0"/>
                      <a:ext cx="5267325" cy="7451725"/>
                    </a:xfrm>
                    <a:prstGeom prst="rect">
                      <a:avLst/>
                    </a:prstGeom>
                  </pic:spPr>
                </pic:pic>
              </a:graphicData>
            </a:graphic>
          </wp:inline>
        </w:drawing>
      </w:r>
      <w:r>
        <w:rPr>
          <w:rFonts w:hint="eastAsia" w:eastAsia="宋体"/>
          <w:lang w:eastAsia="zh-CN"/>
        </w:rPr>
        <w:drawing>
          <wp:inline distT="0" distB="0" distL="114300" distR="114300">
            <wp:extent cx="5267325" cy="7451725"/>
            <wp:effectExtent l="0" t="0" r="9525" b="15875"/>
            <wp:docPr id="121" name="图片 121" descr="附件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附件_页面_10"/>
                    <pic:cNvPicPr>
                      <a:picLocks noChangeAspect="1"/>
                    </pic:cNvPicPr>
                  </pic:nvPicPr>
                  <pic:blipFill>
                    <a:blip r:embed="rId51"/>
                    <a:stretch>
                      <a:fillRect/>
                    </a:stretch>
                  </pic:blipFill>
                  <pic:spPr>
                    <a:xfrm>
                      <a:off x="0" y="0"/>
                      <a:ext cx="5267325" cy="7451725"/>
                    </a:xfrm>
                    <a:prstGeom prst="rect">
                      <a:avLst/>
                    </a:prstGeom>
                  </pic:spPr>
                </pic:pic>
              </a:graphicData>
            </a:graphic>
          </wp:inline>
        </w:drawing>
      </w:r>
      <w:r>
        <w:rPr>
          <w:rFonts w:hint="eastAsia" w:eastAsia="宋体"/>
          <w:lang w:eastAsia="zh-CN"/>
        </w:rPr>
        <w:drawing>
          <wp:inline distT="0" distB="0" distL="114300" distR="114300">
            <wp:extent cx="5263515" cy="7442835"/>
            <wp:effectExtent l="0" t="0" r="13335" b="5715"/>
            <wp:docPr id="120" name="图片 120" descr="附件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附件_页面_11"/>
                    <pic:cNvPicPr>
                      <a:picLocks noChangeAspect="1"/>
                    </pic:cNvPicPr>
                  </pic:nvPicPr>
                  <pic:blipFill>
                    <a:blip r:embed="rId52"/>
                    <a:stretch>
                      <a:fillRect/>
                    </a:stretch>
                  </pic:blipFill>
                  <pic:spPr>
                    <a:xfrm>
                      <a:off x="0" y="0"/>
                      <a:ext cx="5263515" cy="7442835"/>
                    </a:xfrm>
                    <a:prstGeom prst="rect">
                      <a:avLst/>
                    </a:prstGeom>
                  </pic:spPr>
                </pic:pic>
              </a:graphicData>
            </a:graphic>
          </wp:inline>
        </w:drawing>
      </w:r>
      <w:r>
        <w:rPr>
          <w:rFonts w:hint="eastAsia" w:eastAsia="宋体"/>
          <w:lang w:eastAsia="zh-CN"/>
        </w:rPr>
        <w:drawing>
          <wp:inline distT="0" distB="0" distL="114300" distR="114300">
            <wp:extent cx="5263515" cy="7442835"/>
            <wp:effectExtent l="0" t="0" r="13335" b="5715"/>
            <wp:docPr id="119" name="图片 119" descr="附件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附件_页面_12"/>
                    <pic:cNvPicPr>
                      <a:picLocks noChangeAspect="1"/>
                    </pic:cNvPicPr>
                  </pic:nvPicPr>
                  <pic:blipFill>
                    <a:blip r:embed="rId53"/>
                    <a:stretch>
                      <a:fillRect/>
                    </a:stretch>
                  </pic:blipFill>
                  <pic:spPr>
                    <a:xfrm>
                      <a:off x="0" y="0"/>
                      <a:ext cx="5263515" cy="7442835"/>
                    </a:xfrm>
                    <a:prstGeom prst="rect">
                      <a:avLst/>
                    </a:prstGeom>
                  </pic:spPr>
                </pic:pic>
              </a:graphicData>
            </a:graphic>
          </wp:inline>
        </w:drawing>
      </w:r>
      <w:r>
        <w:rPr>
          <w:rFonts w:hint="eastAsia" w:eastAsia="宋体"/>
          <w:lang w:eastAsia="zh-CN"/>
        </w:rPr>
        <w:drawing>
          <wp:inline distT="0" distB="0" distL="114300" distR="114300">
            <wp:extent cx="5263515" cy="7442835"/>
            <wp:effectExtent l="0" t="0" r="13335" b="5715"/>
            <wp:docPr id="118" name="图片 118" descr="附件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附件_页面_13"/>
                    <pic:cNvPicPr>
                      <a:picLocks noChangeAspect="1"/>
                    </pic:cNvPicPr>
                  </pic:nvPicPr>
                  <pic:blipFill>
                    <a:blip r:embed="rId54"/>
                    <a:stretch>
                      <a:fillRect/>
                    </a:stretch>
                  </pic:blipFill>
                  <pic:spPr>
                    <a:xfrm>
                      <a:off x="0" y="0"/>
                      <a:ext cx="5263515" cy="7442835"/>
                    </a:xfrm>
                    <a:prstGeom prst="rect">
                      <a:avLst/>
                    </a:prstGeom>
                  </pic:spPr>
                </pic:pic>
              </a:graphicData>
            </a:graphic>
          </wp:inline>
        </w:drawing>
      </w:r>
      <w:r>
        <w:rPr>
          <w:rFonts w:hint="eastAsia" w:eastAsia="宋体"/>
          <w:lang w:eastAsia="zh-CN"/>
        </w:rPr>
        <w:drawing>
          <wp:inline distT="0" distB="0" distL="114300" distR="114300">
            <wp:extent cx="5263515" cy="7442835"/>
            <wp:effectExtent l="0" t="0" r="13335" b="5715"/>
            <wp:docPr id="117" name="图片 117" descr="附件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附件_页面_14"/>
                    <pic:cNvPicPr>
                      <a:picLocks noChangeAspect="1"/>
                    </pic:cNvPicPr>
                  </pic:nvPicPr>
                  <pic:blipFill>
                    <a:blip r:embed="rId55"/>
                    <a:stretch>
                      <a:fillRect/>
                    </a:stretch>
                  </pic:blipFill>
                  <pic:spPr>
                    <a:xfrm>
                      <a:off x="0" y="0"/>
                      <a:ext cx="5263515" cy="7442835"/>
                    </a:xfrm>
                    <a:prstGeom prst="rect">
                      <a:avLst/>
                    </a:prstGeom>
                  </pic:spPr>
                </pic:pic>
              </a:graphicData>
            </a:graphic>
          </wp:inline>
        </w:drawing>
      </w:r>
      <w:r>
        <w:rPr>
          <w:rFonts w:hint="eastAsia" w:eastAsia="宋体"/>
          <w:lang w:eastAsia="zh-CN"/>
        </w:rPr>
        <w:drawing>
          <wp:inline distT="0" distB="0" distL="114300" distR="114300">
            <wp:extent cx="5263515" cy="7355205"/>
            <wp:effectExtent l="0" t="0" r="13335" b="17145"/>
            <wp:docPr id="116" name="图片 116" descr="附件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附件_页面_15"/>
                    <pic:cNvPicPr>
                      <a:picLocks noChangeAspect="1"/>
                    </pic:cNvPicPr>
                  </pic:nvPicPr>
                  <pic:blipFill>
                    <a:blip r:embed="rId56"/>
                    <a:stretch>
                      <a:fillRect/>
                    </a:stretch>
                  </pic:blipFill>
                  <pic:spPr>
                    <a:xfrm>
                      <a:off x="0" y="0"/>
                      <a:ext cx="5263515" cy="7355205"/>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15" name="图片 115" descr="附件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附件_页面_16"/>
                    <pic:cNvPicPr>
                      <a:picLocks noChangeAspect="1"/>
                    </pic:cNvPicPr>
                  </pic:nvPicPr>
                  <pic:blipFill>
                    <a:blip r:embed="rId57"/>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14" name="图片 114" descr="附件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附件_页面_17"/>
                    <pic:cNvPicPr>
                      <a:picLocks noChangeAspect="1"/>
                    </pic:cNvPicPr>
                  </pic:nvPicPr>
                  <pic:blipFill>
                    <a:blip r:embed="rId58"/>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13" name="图片 113" descr="附件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附件_页面_18"/>
                    <pic:cNvPicPr>
                      <a:picLocks noChangeAspect="1"/>
                    </pic:cNvPicPr>
                  </pic:nvPicPr>
                  <pic:blipFill>
                    <a:blip r:embed="rId59"/>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12" name="图片 112" descr="附件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附件_页面_19"/>
                    <pic:cNvPicPr>
                      <a:picLocks noChangeAspect="1"/>
                    </pic:cNvPicPr>
                  </pic:nvPicPr>
                  <pic:blipFill>
                    <a:blip r:embed="rId60"/>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11" name="图片 111" descr="附件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附件_页面_20"/>
                    <pic:cNvPicPr>
                      <a:picLocks noChangeAspect="1"/>
                    </pic:cNvPicPr>
                  </pic:nvPicPr>
                  <pic:blipFill>
                    <a:blip r:embed="rId61"/>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10" name="图片 110" descr="附件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附件_页面_21"/>
                    <pic:cNvPicPr>
                      <a:picLocks noChangeAspect="1"/>
                    </pic:cNvPicPr>
                  </pic:nvPicPr>
                  <pic:blipFill>
                    <a:blip r:embed="rId62"/>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9" name="图片 109" descr="附件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附件_页面_22"/>
                    <pic:cNvPicPr>
                      <a:picLocks noChangeAspect="1"/>
                    </pic:cNvPicPr>
                  </pic:nvPicPr>
                  <pic:blipFill>
                    <a:blip r:embed="rId63"/>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8" name="图片 108" descr="附件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附件_页面_23"/>
                    <pic:cNvPicPr>
                      <a:picLocks noChangeAspect="1"/>
                    </pic:cNvPicPr>
                  </pic:nvPicPr>
                  <pic:blipFill>
                    <a:blip r:embed="rId64"/>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7" name="图片 107" descr="附件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附件_页面_24"/>
                    <pic:cNvPicPr>
                      <a:picLocks noChangeAspect="1"/>
                    </pic:cNvPicPr>
                  </pic:nvPicPr>
                  <pic:blipFill>
                    <a:blip r:embed="rId65"/>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6" name="图片 106" descr="附件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附件_页面_25"/>
                    <pic:cNvPicPr>
                      <a:picLocks noChangeAspect="1"/>
                    </pic:cNvPicPr>
                  </pic:nvPicPr>
                  <pic:blipFill>
                    <a:blip r:embed="rId66"/>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4" name="图片 104" descr="附件_页面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附件_页面_26"/>
                    <pic:cNvPicPr>
                      <a:picLocks noChangeAspect="1"/>
                    </pic:cNvPicPr>
                  </pic:nvPicPr>
                  <pic:blipFill>
                    <a:blip r:embed="rId67"/>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3" name="图片 103" descr="附件_页面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附件_页面_27"/>
                    <pic:cNvPicPr>
                      <a:picLocks noChangeAspect="1"/>
                    </pic:cNvPicPr>
                  </pic:nvPicPr>
                  <pic:blipFill>
                    <a:blip r:embed="rId68"/>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2" name="图片 102" descr="附件_页面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附件_页面_28"/>
                    <pic:cNvPicPr>
                      <a:picLocks noChangeAspect="1"/>
                    </pic:cNvPicPr>
                  </pic:nvPicPr>
                  <pic:blipFill>
                    <a:blip r:embed="rId69"/>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1" name="图片 101" descr="附件_页面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附件_页面_29"/>
                    <pic:cNvPicPr>
                      <a:picLocks noChangeAspect="1"/>
                    </pic:cNvPicPr>
                  </pic:nvPicPr>
                  <pic:blipFill>
                    <a:blip r:embed="rId70"/>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100" name="图片 100" descr="附件_页面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附件_页面_30"/>
                    <pic:cNvPicPr>
                      <a:picLocks noChangeAspect="1"/>
                    </pic:cNvPicPr>
                  </pic:nvPicPr>
                  <pic:blipFill>
                    <a:blip r:embed="rId71"/>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99" name="图片 99" descr="附件_页面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附件_页面_31"/>
                    <pic:cNvPicPr>
                      <a:picLocks noChangeAspect="1"/>
                    </pic:cNvPicPr>
                  </pic:nvPicPr>
                  <pic:blipFill>
                    <a:blip r:embed="rId72"/>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7325" cy="7451725"/>
            <wp:effectExtent l="0" t="0" r="9525" b="15875"/>
            <wp:docPr id="98" name="图片 98" descr="附件_页面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附件_页面_32"/>
                    <pic:cNvPicPr>
                      <a:picLocks noChangeAspect="1"/>
                    </pic:cNvPicPr>
                  </pic:nvPicPr>
                  <pic:blipFill>
                    <a:blip r:embed="rId73"/>
                    <a:stretch>
                      <a:fillRect/>
                    </a:stretch>
                  </pic:blipFill>
                  <pic:spPr>
                    <a:xfrm>
                      <a:off x="0" y="0"/>
                      <a:ext cx="5267325" cy="7451725"/>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97" name="图片 97" descr="附件_页面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附件_页面_33"/>
                    <pic:cNvPicPr>
                      <a:picLocks noChangeAspect="1"/>
                    </pic:cNvPicPr>
                  </pic:nvPicPr>
                  <pic:blipFill>
                    <a:blip r:embed="rId74"/>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96" name="图片 96" descr="附件_页面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附件_页面_34"/>
                    <pic:cNvPicPr>
                      <a:picLocks noChangeAspect="1"/>
                    </pic:cNvPicPr>
                  </pic:nvPicPr>
                  <pic:blipFill>
                    <a:blip r:embed="rId75"/>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64150" cy="7448550"/>
            <wp:effectExtent l="0" t="0" r="12700" b="0"/>
            <wp:docPr id="95" name="图片 95" descr="附件_页面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附件_页面_35"/>
                    <pic:cNvPicPr>
                      <a:picLocks noChangeAspect="1"/>
                    </pic:cNvPicPr>
                  </pic:nvPicPr>
                  <pic:blipFill>
                    <a:blip r:embed="rId76"/>
                    <a:stretch>
                      <a:fillRect/>
                    </a:stretch>
                  </pic:blipFill>
                  <pic:spPr>
                    <a:xfrm>
                      <a:off x="0" y="0"/>
                      <a:ext cx="5264150" cy="7448550"/>
                    </a:xfrm>
                    <a:prstGeom prst="rect">
                      <a:avLst/>
                    </a:prstGeom>
                  </pic:spPr>
                </pic:pic>
              </a:graphicData>
            </a:graphic>
          </wp:inline>
        </w:drawing>
      </w:r>
      <w:r>
        <w:rPr>
          <w:rFonts w:hint="eastAsia" w:eastAsia="宋体"/>
          <w:lang w:eastAsia="zh-CN"/>
        </w:rPr>
        <w:drawing>
          <wp:inline distT="0" distB="0" distL="114300" distR="114300">
            <wp:extent cx="5259705" cy="7440295"/>
            <wp:effectExtent l="0" t="0" r="17145" b="8255"/>
            <wp:docPr id="94" name="图片 94" descr="附件_页面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附件_页面_36"/>
                    <pic:cNvPicPr>
                      <a:picLocks noChangeAspect="1"/>
                    </pic:cNvPicPr>
                  </pic:nvPicPr>
                  <pic:blipFill>
                    <a:blip r:embed="rId77"/>
                    <a:stretch>
                      <a:fillRect/>
                    </a:stretch>
                  </pic:blipFill>
                  <pic:spPr>
                    <a:xfrm>
                      <a:off x="0" y="0"/>
                      <a:ext cx="5259705" cy="7440295"/>
                    </a:xfrm>
                    <a:prstGeom prst="rect">
                      <a:avLst/>
                    </a:prstGeom>
                  </pic:spPr>
                </pic:pic>
              </a:graphicData>
            </a:graphic>
          </wp:inline>
        </w:drawing>
      </w:r>
      <w:r>
        <w:rPr>
          <w:rFonts w:hint="eastAsia" w:eastAsia="宋体"/>
          <w:lang w:eastAsia="zh-CN"/>
        </w:rPr>
        <w:drawing>
          <wp:inline distT="0" distB="0" distL="114300" distR="114300">
            <wp:extent cx="5254625" cy="7429500"/>
            <wp:effectExtent l="0" t="0" r="3175" b="0"/>
            <wp:docPr id="93" name="图片 93" descr="附件_页面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附件_页面_37"/>
                    <pic:cNvPicPr>
                      <a:picLocks noChangeAspect="1"/>
                    </pic:cNvPicPr>
                  </pic:nvPicPr>
                  <pic:blipFill>
                    <a:blip r:embed="rId78"/>
                    <a:stretch>
                      <a:fillRect/>
                    </a:stretch>
                  </pic:blipFill>
                  <pic:spPr>
                    <a:xfrm>
                      <a:off x="0" y="0"/>
                      <a:ext cx="5254625" cy="7429500"/>
                    </a:xfrm>
                    <a:prstGeom prst="rect">
                      <a:avLst/>
                    </a:prstGeom>
                  </pic:spPr>
                </pic:pic>
              </a:graphicData>
            </a:graphic>
          </wp:inline>
        </w:drawing>
      </w:r>
      <w:r>
        <w:rPr>
          <w:rFonts w:hint="eastAsia" w:eastAsia="宋体"/>
          <w:lang w:eastAsia="zh-CN"/>
        </w:rPr>
        <w:drawing>
          <wp:inline distT="0" distB="0" distL="114300" distR="114300">
            <wp:extent cx="5270500" cy="7758430"/>
            <wp:effectExtent l="0" t="0" r="6350" b="13970"/>
            <wp:docPr id="92" name="图片 92" descr="附件_页面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附件_页面_38"/>
                    <pic:cNvPicPr>
                      <a:picLocks noChangeAspect="1"/>
                    </pic:cNvPicPr>
                  </pic:nvPicPr>
                  <pic:blipFill>
                    <a:blip r:embed="rId79"/>
                    <a:stretch>
                      <a:fillRect/>
                    </a:stretch>
                  </pic:blipFill>
                  <pic:spPr>
                    <a:xfrm>
                      <a:off x="0" y="0"/>
                      <a:ext cx="5270500" cy="7758430"/>
                    </a:xfrm>
                    <a:prstGeom prst="rect">
                      <a:avLst/>
                    </a:prstGeom>
                  </pic:spPr>
                </pic:pic>
              </a:graphicData>
            </a:graphic>
          </wp:inline>
        </w:drawing>
      </w:r>
      <w:r>
        <w:rPr>
          <w:rFonts w:hint="eastAsia" w:eastAsia="宋体"/>
          <w:lang w:eastAsia="zh-CN"/>
        </w:rPr>
        <w:drawing>
          <wp:inline distT="0" distB="0" distL="114300" distR="114300">
            <wp:extent cx="5262880" cy="7802880"/>
            <wp:effectExtent l="0" t="0" r="13970" b="7620"/>
            <wp:docPr id="91" name="图片 91" descr="附件_页面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附件_页面_39"/>
                    <pic:cNvPicPr>
                      <a:picLocks noChangeAspect="1"/>
                    </pic:cNvPicPr>
                  </pic:nvPicPr>
                  <pic:blipFill>
                    <a:blip r:embed="rId80"/>
                    <a:stretch>
                      <a:fillRect/>
                    </a:stretch>
                  </pic:blipFill>
                  <pic:spPr>
                    <a:xfrm>
                      <a:off x="0" y="0"/>
                      <a:ext cx="5262880" cy="7802880"/>
                    </a:xfrm>
                    <a:prstGeom prst="rect">
                      <a:avLst/>
                    </a:prstGeom>
                  </pic:spPr>
                </pic:pic>
              </a:graphicData>
            </a:graphic>
          </wp:inline>
        </w:drawing>
      </w:r>
      <w:r>
        <w:rPr>
          <w:rFonts w:hint="eastAsia" w:eastAsia="宋体"/>
          <w:lang w:eastAsia="zh-CN"/>
        </w:rPr>
        <w:drawing>
          <wp:inline distT="0" distB="0" distL="114300" distR="114300">
            <wp:extent cx="5270500" cy="7779385"/>
            <wp:effectExtent l="0" t="0" r="6350" b="12065"/>
            <wp:docPr id="90" name="图片 90" descr="附件_页面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附件_页面_40"/>
                    <pic:cNvPicPr>
                      <a:picLocks noChangeAspect="1"/>
                    </pic:cNvPicPr>
                  </pic:nvPicPr>
                  <pic:blipFill>
                    <a:blip r:embed="rId81"/>
                    <a:stretch>
                      <a:fillRect/>
                    </a:stretch>
                  </pic:blipFill>
                  <pic:spPr>
                    <a:xfrm>
                      <a:off x="0" y="0"/>
                      <a:ext cx="5270500" cy="7779385"/>
                    </a:xfrm>
                    <a:prstGeom prst="rect">
                      <a:avLst/>
                    </a:prstGeom>
                  </pic:spPr>
                </pic:pic>
              </a:graphicData>
            </a:graphic>
          </wp:inline>
        </w:drawing>
      </w:r>
      <w:r>
        <w:rPr>
          <w:rFonts w:hint="eastAsia" w:eastAsia="宋体"/>
          <w:lang w:eastAsia="zh-CN"/>
        </w:rPr>
        <w:drawing>
          <wp:inline distT="0" distB="0" distL="114300" distR="114300">
            <wp:extent cx="5262245" cy="7924800"/>
            <wp:effectExtent l="0" t="0" r="14605" b="0"/>
            <wp:docPr id="89" name="图片 89" descr="附件_页面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附件_页面_41"/>
                    <pic:cNvPicPr>
                      <a:picLocks noChangeAspect="1"/>
                    </pic:cNvPicPr>
                  </pic:nvPicPr>
                  <pic:blipFill>
                    <a:blip r:embed="rId82"/>
                    <a:stretch>
                      <a:fillRect/>
                    </a:stretch>
                  </pic:blipFill>
                  <pic:spPr>
                    <a:xfrm>
                      <a:off x="0" y="0"/>
                      <a:ext cx="5262245" cy="7924800"/>
                    </a:xfrm>
                    <a:prstGeom prst="rect">
                      <a:avLst/>
                    </a:prstGeom>
                  </pic:spPr>
                </pic:pic>
              </a:graphicData>
            </a:graphic>
          </wp:inline>
        </w:drawing>
      </w:r>
      <w:r>
        <w:rPr>
          <w:rFonts w:hint="eastAsia" w:eastAsia="宋体"/>
          <w:lang w:eastAsia="zh-CN"/>
        </w:rPr>
        <w:drawing>
          <wp:inline distT="0" distB="0" distL="114300" distR="114300">
            <wp:extent cx="5269865" cy="7723505"/>
            <wp:effectExtent l="0" t="0" r="6985" b="10795"/>
            <wp:docPr id="88" name="图片 88" descr="附件_页面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附件_页面_42"/>
                    <pic:cNvPicPr>
                      <a:picLocks noChangeAspect="1"/>
                    </pic:cNvPicPr>
                  </pic:nvPicPr>
                  <pic:blipFill>
                    <a:blip r:embed="rId83"/>
                    <a:stretch>
                      <a:fillRect/>
                    </a:stretch>
                  </pic:blipFill>
                  <pic:spPr>
                    <a:xfrm>
                      <a:off x="0" y="0"/>
                      <a:ext cx="5269865" cy="7723505"/>
                    </a:xfrm>
                    <a:prstGeom prst="rect">
                      <a:avLst/>
                    </a:prstGeom>
                  </pic:spPr>
                </pic:pic>
              </a:graphicData>
            </a:graphic>
          </wp:inline>
        </w:drawing>
      </w:r>
      <w:r>
        <w:rPr>
          <w:rFonts w:hint="eastAsia" w:eastAsia="宋体"/>
          <w:lang w:eastAsia="zh-CN"/>
        </w:rPr>
        <w:drawing>
          <wp:inline distT="0" distB="0" distL="114300" distR="114300">
            <wp:extent cx="5270500" cy="7463155"/>
            <wp:effectExtent l="0" t="0" r="6350" b="4445"/>
            <wp:docPr id="87" name="图片 87" descr="附件_页面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附件_页面_43"/>
                    <pic:cNvPicPr>
                      <a:picLocks noChangeAspect="1"/>
                    </pic:cNvPicPr>
                  </pic:nvPicPr>
                  <pic:blipFill>
                    <a:blip r:embed="rId84"/>
                    <a:stretch>
                      <a:fillRect/>
                    </a:stretch>
                  </pic:blipFill>
                  <pic:spPr>
                    <a:xfrm>
                      <a:off x="0" y="0"/>
                      <a:ext cx="5270500" cy="7463155"/>
                    </a:xfrm>
                    <a:prstGeom prst="rect">
                      <a:avLst/>
                    </a:prstGeom>
                  </pic:spPr>
                </pic:pic>
              </a:graphicData>
            </a:graphic>
          </wp:inline>
        </w:drawing>
      </w:r>
      <w:r>
        <w:rPr>
          <w:rFonts w:hint="eastAsia" w:eastAsia="宋体"/>
          <w:lang w:eastAsia="zh-CN"/>
        </w:rPr>
        <w:drawing>
          <wp:inline distT="0" distB="0" distL="114300" distR="114300">
            <wp:extent cx="5262880" cy="3571875"/>
            <wp:effectExtent l="0" t="0" r="13970" b="9525"/>
            <wp:docPr id="86" name="图片 86" descr="附件_页面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附件_页面_44"/>
                    <pic:cNvPicPr>
                      <a:picLocks noChangeAspect="1"/>
                    </pic:cNvPicPr>
                  </pic:nvPicPr>
                  <pic:blipFill>
                    <a:blip r:embed="rId85"/>
                    <a:stretch>
                      <a:fillRect/>
                    </a:stretch>
                  </pic:blipFill>
                  <pic:spPr>
                    <a:xfrm>
                      <a:off x="0" y="0"/>
                      <a:ext cx="5262880" cy="3571875"/>
                    </a:xfrm>
                    <a:prstGeom prst="rect">
                      <a:avLst/>
                    </a:prstGeom>
                  </pic:spPr>
                </pic:pic>
              </a:graphicData>
            </a:graphic>
          </wp:inline>
        </w:drawing>
      </w:r>
      <w:r>
        <w:rPr>
          <w:rFonts w:hint="eastAsia" w:eastAsia="宋体"/>
          <w:lang w:eastAsia="zh-CN"/>
        </w:rPr>
        <w:drawing>
          <wp:inline distT="0" distB="0" distL="114300" distR="114300">
            <wp:extent cx="5250180" cy="7429500"/>
            <wp:effectExtent l="0" t="0" r="7620" b="0"/>
            <wp:docPr id="85" name="图片 85" descr="附件_页面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附件_页面_45"/>
                    <pic:cNvPicPr>
                      <a:picLocks noChangeAspect="1"/>
                    </pic:cNvPicPr>
                  </pic:nvPicPr>
                  <pic:blipFill>
                    <a:blip r:embed="rId86"/>
                    <a:stretch>
                      <a:fillRect/>
                    </a:stretch>
                  </pic:blipFill>
                  <pic:spPr>
                    <a:xfrm>
                      <a:off x="0" y="0"/>
                      <a:ext cx="5250180" cy="7429500"/>
                    </a:xfrm>
                    <a:prstGeom prst="rect">
                      <a:avLst/>
                    </a:prstGeom>
                  </pic:spPr>
                </pic:pic>
              </a:graphicData>
            </a:graphic>
          </wp:inline>
        </w:drawing>
      </w:r>
      <w:r>
        <w:rPr>
          <w:rFonts w:hint="eastAsia" w:eastAsia="宋体"/>
          <w:lang w:eastAsia="zh-CN"/>
        </w:rPr>
        <w:drawing>
          <wp:inline distT="0" distB="0" distL="114300" distR="114300">
            <wp:extent cx="5266690" cy="7660640"/>
            <wp:effectExtent l="0" t="0" r="10160" b="16510"/>
            <wp:docPr id="84" name="图片 84" descr="附件_页面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附件_页面_46"/>
                    <pic:cNvPicPr>
                      <a:picLocks noChangeAspect="1"/>
                    </pic:cNvPicPr>
                  </pic:nvPicPr>
                  <pic:blipFill>
                    <a:blip r:embed="rId87"/>
                    <a:stretch>
                      <a:fillRect/>
                    </a:stretch>
                  </pic:blipFill>
                  <pic:spPr>
                    <a:xfrm>
                      <a:off x="0" y="0"/>
                      <a:ext cx="5266690" cy="7660640"/>
                    </a:xfrm>
                    <a:prstGeom prst="rect">
                      <a:avLst/>
                    </a:prstGeom>
                  </pic:spPr>
                </pic:pic>
              </a:graphicData>
            </a:graphic>
          </wp:inline>
        </w:drawing>
      </w:r>
      <w:r>
        <w:rPr>
          <w:rFonts w:hint="eastAsia" w:eastAsia="宋体"/>
          <w:lang w:eastAsia="zh-CN"/>
        </w:rPr>
        <w:drawing>
          <wp:inline distT="0" distB="0" distL="114300" distR="114300">
            <wp:extent cx="5264785" cy="7843520"/>
            <wp:effectExtent l="0" t="0" r="12065" b="5080"/>
            <wp:docPr id="83" name="图片 83" descr="附件_页面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附件_页面_47"/>
                    <pic:cNvPicPr>
                      <a:picLocks noChangeAspect="1"/>
                    </pic:cNvPicPr>
                  </pic:nvPicPr>
                  <pic:blipFill>
                    <a:blip r:embed="rId88"/>
                    <a:stretch>
                      <a:fillRect/>
                    </a:stretch>
                  </pic:blipFill>
                  <pic:spPr>
                    <a:xfrm>
                      <a:off x="0" y="0"/>
                      <a:ext cx="5264785" cy="7843520"/>
                    </a:xfrm>
                    <a:prstGeom prst="rect">
                      <a:avLst/>
                    </a:prstGeom>
                  </pic:spPr>
                </pic:pic>
              </a:graphicData>
            </a:graphic>
          </wp:inline>
        </w:drawing>
      </w:r>
      <w:r>
        <w:rPr>
          <w:rFonts w:hint="eastAsia" w:eastAsia="宋体"/>
          <w:lang w:eastAsia="zh-CN"/>
        </w:rPr>
        <w:drawing>
          <wp:inline distT="0" distB="0" distL="114300" distR="114300">
            <wp:extent cx="5264785" cy="7376160"/>
            <wp:effectExtent l="0" t="0" r="12065" b="15240"/>
            <wp:docPr id="82" name="图片 82" descr="附件_页面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附件_页面_48"/>
                    <pic:cNvPicPr>
                      <a:picLocks noChangeAspect="1"/>
                    </pic:cNvPicPr>
                  </pic:nvPicPr>
                  <pic:blipFill>
                    <a:blip r:embed="rId89"/>
                    <a:stretch>
                      <a:fillRect/>
                    </a:stretch>
                  </pic:blipFill>
                  <pic:spPr>
                    <a:xfrm>
                      <a:off x="0" y="0"/>
                      <a:ext cx="5264785" cy="7376160"/>
                    </a:xfrm>
                    <a:prstGeom prst="rect">
                      <a:avLst/>
                    </a:prstGeom>
                  </pic:spPr>
                </pic:pic>
              </a:graphicData>
            </a:graphic>
          </wp:inline>
        </w:drawing>
      </w:r>
      <w:r>
        <w:rPr>
          <w:rFonts w:hint="eastAsia" w:eastAsia="宋体"/>
          <w:lang w:eastAsia="zh-CN"/>
        </w:rPr>
        <w:drawing>
          <wp:inline distT="0" distB="0" distL="114300" distR="114300">
            <wp:extent cx="5264785" cy="7671435"/>
            <wp:effectExtent l="0" t="0" r="12065" b="5715"/>
            <wp:docPr id="81" name="图片 81" descr="附件_页面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附件_页面_49"/>
                    <pic:cNvPicPr>
                      <a:picLocks noChangeAspect="1"/>
                    </pic:cNvPicPr>
                  </pic:nvPicPr>
                  <pic:blipFill>
                    <a:blip r:embed="rId90"/>
                    <a:stretch>
                      <a:fillRect/>
                    </a:stretch>
                  </pic:blipFill>
                  <pic:spPr>
                    <a:xfrm>
                      <a:off x="0" y="0"/>
                      <a:ext cx="5264785" cy="767143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80" name="图片 80" descr="附件_页面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附件_页面_50"/>
                    <pic:cNvPicPr>
                      <a:picLocks noChangeAspect="1"/>
                    </pic:cNvPicPr>
                  </pic:nvPicPr>
                  <pic:blipFill>
                    <a:blip r:embed="rId91"/>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9" name="图片 79" descr="附件_页面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附件_页面_51"/>
                    <pic:cNvPicPr>
                      <a:picLocks noChangeAspect="1"/>
                    </pic:cNvPicPr>
                  </pic:nvPicPr>
                  <pic:blipFill>
                    <a:blip r:embed="rId92"/>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8" name="图片 78" descr="附件_页面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附件_页面_52"/>
                    <pic:cNvPicPr>
                      <a:picLocks noChangeAspect="1"/>
                    </pic:cNvPicPr>
                  </pic:nvPicPr>
                  <pic:blipFill>
                    <a:blip r:embed="rId93"/>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7" name="图片 77" descr="附件_页面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附件_页面_53"/>
                    <pic:cNvPicPr>
                      <a:picLocks noChangeAspect="1"/>
                    </pic:cNvPicPr>
                  </pic:nvPicPr>
                  <pic:blipFill>
                    <a:blip r:embed="rId94"/>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6" name="图片 76" descr="附件_页面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附件_页面_54"/>
                    <pic:cNvPicPr>
                      <a:picLocks noChangeAspect="1"/>
                    </pic:cNvPicPr>
                  </pic:nvPicPr>
                  <pic:blipFill>
                    <a:blip r:embed="rId95"/>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5" name="图片 75" descr="附件_页面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附件_页面_55"/>
                    <pic:cNvPicPr>
                      <a:picLocks noChangeAspect="1"/>
                    </pic:cNvPicPr>
                  </pic:nvPicPr>
                  <pic:blipFill>
                    <a:blip r:embed="rId96"/>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4" name="图片 74" descr="附件_页面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附件_页面_56"/>
                    <pic:cNvPicPr>
                      <a:picLocks noChangeAspect="1"/>
                    </pic:cNvPicPr>
                  </pic:nvPicPr>
                  <pic:blipFill>
                    <a:blip r:embed="rId97"/>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3" name="图片 73" descr="附件_页面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附件_页面_57"/>
                    <pic:cNvPicPr>
                      <a:picLocks noChangeAspect="1"/>
                    </pic:cNvPicPr>
                  </pic:nvPicPr>
                  <pic:blipFill>
                    <a:blip r:embed="rId98"/>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2" name="图片 72" descr="附件_页面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附件_页面_58"/>
                    <pic:cNvPicPr>
                      <a:picLocks noChangeAspect="1"/>
                    </pic:cNvPicPr>
                  </pic:nvPicPr>
                  <pic:blipFill>
                    <a:blip r:embed="rId99"/>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1" name="图片 71" descr="附件_页面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附件_页面_59"/>
                    <pic:cNvPicPr>
                      <a:picLocks noChangeAspect="1"/>
                    </pic:cNvPicPr>
                  </pic:nvPicPr>
                  <pic:blipFill>
                    <a:blip r:embed="rId100"/>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70" name="图片 70" descr="附件_页面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附件_页面_60"/>
                    <pic:cNvPicPr>
                      <a:picLocks noChangeAspect="1"/>
                    </pic:cNvPicPr>
                  </pic:nvPicPr>
                  <pic:blipFill>
                    <a:blip r:embed="rId101"/>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9" name="图片 69" descr="附件_页面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附件_页面_61"/>
                    <pic:cNvPicPr>
                      <a:picLocks noChangeAspect="1"/>
                    </pic:cNvPicPr>
                  </pic:nvPicPr>
                  <pic:blipFill>
                    <a:blip r:embed="rId102"/>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8" name="图片 68" descr="附件_页面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附件_页面_62"/>
                    <pic:cNvPicPr>
                      <a:picLocks noChangeAspect="1"/>
                    </pic:cNvPicPr>
                  </pic:nvPicPr>
                  <pic:blipFill>
                    <a:blip r:embed="rId103"/>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7" name="图片 67" descr="附件_页面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附件_页面_63"/>
                    <pic:cNvPicPr>
                      <a:picLocks noChangeAspect="1"/>
                    </pic:cNvPicPr>
                  </pic:nvPicPr>
                  <pic:blipFill>
                    <a:blip r:embed="rId104"/>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6" name="图片 66" descr="附件_页面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附件_页面_64"/>
                    <pic:cNvPicPr>
                      <a:picLocks noChangeAspect="1"/>
                    </pic:cNvPicPr>
                  </pic:nvPicPr>
                  <pic:blipFill>
                    <a:blip r:embed="rId105"/>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5" name="图片 65" descr="附件_页面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附件_页面_65"/>
                    <pic:cNvPicPr>
                      <a:picLocks noChangeAspect="1"/>
                    </pic:cNvPicPr>
                  </pic:nvPicPr>
                  <pic:blipFill>
                    <a:blip r:embed="rId106"/>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4" name="图片 64" descr="附件_页面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附件_页面_66"/>
                    <pic:cNvPicPr>
                      <a:picLocks noChangeAspect="1"/>
                    </pic:cNvPicPr>
                  </pic:nvPicPr>
                  <pic:blipFill>
                    <a:blip r:embed="rId107"/>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0340" cy="3719195"/>
            <wp:effectExtent l="0" t="0" r="16510" b="14605"/>
            <wp:docPr id="63" name="图片 63" descr="附件_页面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附件_页面_67"/>
                    <pic:cNvPicPr>
                      <a:picLocks noChangeAspect="1"/>
                    </pic:cNvPicPr>
                  </pic:nvPicPr>
                  <pic:blipFill>
                    <a:blip r:embed="rId108"/>
                    <a:stretch>
                      <a:fillRect/>
                    </a:stretch>
                  </pic:blipFill>
                  <pic:spPr>
                    <a:xfrm>
                      <a:off x="0" y="0"/>
                      <a:ext cx="5260340" cy="371919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62" name="图片 62" descr="附件_页面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附件_页面_68"/>
                    <pic:cNvPicPr>
                      <a:picLocks noChangeAspect="1"/>
                    </pic:cNvPicPr>
                  </pic:nvPicPr>
                  <pic:blipFill>
                    <a:blip r:embed="rId109"/>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61" name="图片 61" descr="附件_页面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附件_页面_69"/>
                    <pic:cNvPicPr>
                      <a:picLocks noChangeAspect="1"/>
                    </pic:cNvPicPr>
                  </pic:nvPicPr>
                  <pic:blipFill>
                    <a:blip r:embed="rId110"/>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60" name="图片 60" descr="附件_页面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附件_页面_70"/>
                    <pic:cNvPicPr>
                      <a:picLocks noChangeAspect="1"/>
                    </pic:cNvPicPr>
                  </pic:nvPicPr>
                  <pic:blipFill>
                    <a:blip r:embed="rId111"/>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9" name="图片 59" descr="附件_页面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附件_页面_71"/>
                    <pic:cNvPicPr>
                      <a:picLocks noChangeAspect="1"/>
                    </pic:cNvPicPr>
                  </pic:nvPicPr>
                  <pic:blipFill>
                    <a:blip r:embed="rId112"/>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8" name="图片 58" descr="附件_页面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附件_页面_72"/>
                    <pic:cNvPicPr>
                      <a:picLocks noChangeAspect="1"/>
                    </pic:cNvPicPr>
                  </pic:nvPicPr>
                  <pic:blipFill>
                    <a:blip r:embed="rId113"/>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7" name="图片 57" descr="附件_页面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附件_页面_73"/>
                    <pic:cNvPicPr>
                      <a:picLocks noChangeAspect="1"/>
                    </pic:cNvPicPr>
                  </pic:nvPicPr>
                  <pic:blipFill>
                    <a:blip r:embed="rId114"/>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6" name="图片 56" descr="附件_页面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附件_页面_74"/>
                    <pic:cNvPicPr>
                      <a:picLocks noChangeAspect="1"/>
                    </pic:cNvPicPr>
                  </pic:nvPicPr>
                  <pic:blipFill>
                    <a:blip r:embed="rId115"/>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5" name="图片 55" descr="附件_页面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附件_页面_75"/>
                    <pic:cNvPicPr>
                      <a:picLocks noChangeAspect="1"/>
                    </pic:cNvPicPr>
                  </pic:nvPicPr>
                  <pic:blipFill>
                    <a:blip r:embed="rId116"/>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4" name="图片 54" descr="附件_页面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附件_页面_76"/>
                    <pic:cNvPicPr>
                      <a:picLocks noChangeAspect="1"/>
                    </pic:cNvPicPr>
                  </pic:nvPicPr>
                  <pic:blipFill>
                    <a:blip r:embed="rId117"/>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3" name="图片 53" descr="附件_页面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附件_页面_77"/>
                    <pic:cNvPicPr>
                      <a:picLocks noChangeAspect="1"/>
                    </pic:cNvPicPr>
                  </pic:nvPicPr>
                  <pic:blipFill>
                    <a:blip r:embed="rId118"/>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2" name="图片 52" descr="附件_页面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附件_页面_78"/>
                    <pic:cNvPicPr>
                      <a:picLocks noChangeAspect="1"/>
                    </pic:cNvPicPr>
                  </pic:nvPicPr>
                  <pic:blipFill>
                    <a:blip r:embed="rId119"/>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3720465"/>
            <wp:effectExtent l="0" t="0" r="13335" b="13335"/>
            <wp:docPr id="51" name="图片 51" descr="附件_页面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附件_页面_79"/>
                    <pic:cNvPicPr>
                      <a:picLocks noChangeAspect="1"/>
                    </pic:cNvPicPr>
                  </pic:nvPicPr>
                  <pic:blipFill>
                    <a:blip r:embed="rId120"/>
                    <a:stretch>
                      <a:fillRect/>
                    </a:stretch>
                  </pic:blipFill>
                  <pic:spPr>
                    <a:xfrm>
                      <a:off x="0" y="0"/>
                      <a:ext cx="5263515" cy="3720465"/>
                    </a:xfrm>
                    <a:prstGeom prst="rect">
                      <a:avLst/>
                    </a:prstGeom>
                  </pic:spPr>
                </pic:pic>
              </a:graphicData>
            </a:graphic>
          </wp:inline>
        </w:drawing>
      </w:r>
      <w:r>
        <w:rPr>
          <w:rFonts w:hint="eastAsia" w:eastAsia="宋体"/>
          <w:lang w:eastAsia="zh-CN"/>
        </w:rPr>
        <w:drawing>
          <wp:inline distT="0" distB="0" distL="114300" distR="114300">
            <wp:extent cx="5263515" cy="7445375"/>
            <wp:effectExtent l="0" t="0" r="13335" b="3175"/>
            <wp:docPr id="50" name="图片 50" descr="附件_页面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附件_页面_80"/>
                    <pic:cNvPicPr>
                      <a:picLocks noChangeAspect="1"/>
                    </pic:cNvPicPr>
                  </pic:nvPicPr>
                  <pic:blipFill>
                    <a:blip r:embed="rId121"/>
                    <a:stretch>
                      <a:fillRect/>
                    </a:stretch>
                  </pic:blipFill>
                  <pic:spPr>
                    <a:xfrm>
                      <a:off x="0" y="0"/>
                      <a:ext cx="5263515" cy="7445375"/>
                    </a:xfrm>
                    <a:prstGeom prst="rect">
                      <a:avLst/>
                    </a:prstGeom>
                  </pic:spPr>
                </pic:pic>
              </a:graphicData>
            </a:graphic>
          </wp:inline>
        </w:drawing>
      </w:r>
      <w:r>
        <w:rPr>
          <w:rFonts w:hint="eastAsia" w:eastAsia="宋体"/>
          <w:lang w:eastAsia="zh-CN"/>
        </w:rPr>
        <w:drawing>
          <wp:inline distT="0" distB="0" distL="114300" distR="114300">
            <wp:extent cx="5263515" cy="7445375"/>
            <wp:effectExtent l="0" t="0" r="13335" b="3175"/>
            <wp:docPr id="49" name="图片 49" descr="附件_页面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附件_页面_81"/>
                    <pic:cNvPicPr>
                      <a:picLocks noChangeAspect="1"/>
                    </pic:cNvPicPr>
                  </pic:nvPicPr>
                  <pic:blipFill>
                    <a:blip r:embed="rId122"/>
                    <a:stretch>
                      <a:fillRect/>
                    </a:stretch>
                  </pic:blipFill>
                  <pic:spPr>
                    <a:xfrm>
                      <a:off x="0" y="0"/>
                      <a:ext cx="5263515" cy="7445375"/>
                    </a:xfrm>
                    <a:prstGeom prst="rect">
                      <a:avLst/>
                    </a:prstGeom>
                  </pic:spPr>
                </pic:pic>
              </a:graphicData>
            </a:graphic>
          </wp:inline>
        </w:drawing>
      </w:r>
      <w:r>
        <w:rPr>
          <w:rFonts w:hint="eastAsia" w:eastAsia="宋体"/>
          <w:lang w:eastAsia="zh-CN"/>
        </w:rPr>
        <w:drawing>
          <wp:inline distT="0" distB="0" distL="114300" distR="114300">
            <wp:extent cx="5263515" cy="7445375"/>
            <wp:effectExtent l="0" t="0" r="13335" b="3175"/>
            <wp:docPr id="48" name="图片 48" descr="附件_页面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附件_页面_82"/>
                    <pic:cNvPicPr>
                      <a:picLocks noChangeAspect="1"/>
                    </pic:cNvPicPr>
                  </pic:nvPicPr>
                  <pic:blipFill>
                    <a:blip r:embed="rId123"/>
                    <a:stretch>
                      <a:fillRect/>
                    </a:stretch>
                  </pic:blipFill>
                  <pic:spPr>
                    <a:xfrm>
                      <a:off x="0" y="0"/>
                      <a:ext cx="5263515" cy="7445375"/>
                    </a:xfrm>
                    <a:prstGeom prst="rect">
                      <a:avLst/>
                    </a:prstGeom>
                  </pic:spPr>
                </pic:pic>
              </a:graphicData>
            </a:graphic>
          </wp:inline>
        </w:drawing>
      </w:r>
      <w:r>
        <w:rPr>
          <w:rFonts w:hint="eastAsia" w:eastAsia="宋体"/>
          <w:lang w:eastAsia="zh-CN"/>
        </w:rPr>
        <w:drawing>
          <wp:inline distT="0" distB="0" distL="114300" distR="114300">
            <wp:extent cx="5263515" cy="7445375"/>
            <wp:effectExtent l="0" t="0" r="13335" b="3175"/>
            <wp:docPr id="31" name="图片 31" descr="附件_页面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_页面_83"/>
                    <pic:cNvPicPr>
                      <a:picLocks noChangeAspect="1"/>
                    </pic:cNvPicPr>
                  </pic:nvPicPr>
                  <pic:blipFill>
                    <a:blip r:embed="rId124"/>
                    <a:stretch>
                      <a:fillRect/>
                    </a:stretch>
                  </pic:blipFill>
                  <pic:spPr>
                    <a:xfrm>
                      <a:off x="0" y="0"/>
                      <a:ext cx="5263515" cy="7445375"/>
                    </a:xfrm>
                    <a:prstGeom prst="rect">
                      <a:avLst/>
                    </a:prstGeom>
                  </pic:spPr>
                </pic:pic>
              </a:graphicData>
            </a:graphic>
          </wp:inline>
        </w:drawing>
      </w:r>
      <w:r>
        <w:rPr>
          <w:rFonts w:hint="eastAsia" w:eastAsia="宋体"/>
          <w:lang w:eastAsia="zh-CN"/>
        </w:rPr>
        <w:drawing>
          <wp:inline distT="0" distB="0" distL="114300" distR="114300">
            <wp:extent cx="5263515" cy="7445375"/>
            <wp:effectExtent l="0" t="0" r="13335" b="3175"/>
            <wp:docPr id="30" name="图片 30" descr="附件_页面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_页面_84"/>
                    <pic:cNvPicPr>
                      <a:picLocks noChangeAspect="1"/>
                    </pic:cNvPicPr>
                  </pic:nvPicPr>
                  <pic:blipFill>
                    <a:blip r:embed="rId125"/>
                    <a:stretch>
                      <a:fillRect/>
                    </a:stretch>
                  </pic:blipFill>
                  <pic:spPr>
                    <a:xfrm>
                      <a:off x="0" y="0"/>
                      <a:ext cx="5263515" cy="7445375"/>
                    </a:xfrm>
                    <a:prstGeom prst="rect">
                      <a:avLst/>
                    </a:prstGeom>
                  </pic:spPr>
                </pic:pic>
              </a:graphicData>
            </a:graphic>
          </wp:inline>
        </w:drawing>
      </w:r>
      <w:r>
        <w:rPr>
          <w:rFonts w:hint="eastAsia" w:eastAsia="宋体"/>
          <w:lang w:eastAsia="zh-CN"/>
        </w:rPr>
        <w:drawing>
          <wp:inline distT="0" distB="0" distL="114300" distR="114300">
            <wp:extent cx="5263515" cy="7445375"/>
            <wp:effectExtent l="0" t="0" r="13335" b="3175"/>
            <wp:docPr id="29" name="图片 29" descr="附件_页面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_页面_85"/>
                    <pic:cNvPicPr>
                      <a:picLocks noChangeAspect="1"/>
                    </pic:cNvPicPr>
                  </pic:nvPicPr>
                  <pic:blipFill>
                    <a:blip r:embed="rId126"/>
                    <a:stretch>
                      <a:fillRect/>
                    </a:stretch>
                  </pic:blipFill>
                  <pic:spPr>
                    <a:xfrm>
                      <a:off x="0" y="0"/>
                      <a:ext cx="5263515" cy="7445375"/>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
      <w:pPr>
        <w:rPr>
          <w:rFonts w:hint="eastAsia" w:eastAsia="宋体"/>
          <w:lang w:eastAsia="zh-CN"/>
        </w:rPr>
      </w:pPr>
      <w:r>
        <w:rPr>
          <w:rFonts w:hint="eastAsia" w:eastAsia="宋体"/>
          <w:lang w:eastAsia="zh-CN"/>
        </w:rPr>
        <w:drawing>
          <wp:inline distT="0" distB="0" distL="114300" distR="114300">
            <wp:extent cx="5268595" cy="7450455"/>
            <wp:effectExtent l="0" t="0" r="8255" b="17145"/>
            <wp:docPr id="137" name="图片 137" descr="评审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评审意见_页面_1"/>
                    <pic:cNvPicPr>
                      <a:picLocks noChangeAspect="1"/>
                    </pic:cNvPicPr>
                  </pic:nvPicPr>
                  <pic:blipFill>
                    <a:blip r:embed="rId127"/>
                    <a:stretch>
                      <a:fillRect/>
                    </a:stretch>
                  </pic:blipFill>
                  <pic:spPr>
                    <a:xfrm>
                      <a:off x="0" y="0"/>
                      <a:ext cx="5268595" cy="7450455"/>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68595" cy="7450455"/>
            <wp:effectExtent l="0" t="0" r="8255" b="17145"/>
            <wp:docPr id="138" name="图片 138" descr="评审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评审意见_页面_2"/>
                    <pic:cNvPicPr>
                      <a:picLocks noChangeAspect="1"/>
                    </pic:cNvPicPr>
                  </pic:nvPicPr>
                  <pic:blipFill>
                    <a:blip r:embed="rId128"/>
                    <a:stretch>
                      <a:fillRect/>
                    </a:stretch>
                  </pic:blipFill>
                  <pic:spPr>
                    <a:xfrm>
                      <a:off x="0" y="0"/>
                      <a:ext cx="5268595" cy="745045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68595" cy="7450455"/>
            <wp:effectExtent l="0" t="0" r="8255" b="17145"/>
            <wp:docPr id="139" name="图片 139" descr="评审意见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评审意见_页面_3"/>
                    <pic:cNvPicPr>
                      <a:picLocks noChangeAspect="1"/>
                    </pic:cNvPicPr>
                  </pic:nvPicPr>
                  <pic:blipFill>
                    <a:blip r:embed="rId129"/>
                    <a:stretch>
                      <a:fillRect/>
                    </a:stretch>
                  </pic:blipFill>
                  <pic:spPr>
                    <a:xfrm>
                      <a:off x="0" y="0"/>
                      <a:ext cx="5268595" cy="745045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69865" cy="3726815"/>
            <wp:effectExtent l="0" t="0" r="6985" b="6985"/>
            <wp:docPr id="140" name="图片 140" descr="评审意见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评审意见_页面_4"/>
                    <pic:cNvPicPr>
                      <a:picLocks noChangeAspect="1"/>
                    </pic:cNvPicPr>
                  </pic:nvPicPr>
                  <pic:blipFill>
                    <a:blip r:embed="rId130"/>
                    <a:stretch>
                      <a:fillRect/>
                    </a:stretch>
                  </pic:blipFill>
                  <pic:spPr>
                    <a:xfrm>
                      <a:off x="0" y="0"/>
                      <a:ext cx="5269865" cy="372681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68595" cy="7452360"/>
            <wp:effectExtent l="0" t="0" r="8255" b="15240"/>
            <wp:docPr id="141" name="图片 141" descr="评审意见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评审意见_页面_5"/>
                    <pic:cNvPicPr>
                      <a:picLocks noChangeAspect="1"/>
                    </pic:cNvPicPr>
                  </pic:nvPicPr>
                  <pic:blipFill>
                    <a:blip r:embed="rId131"/>
                    <a:stretch>
                      <a:fillRect/>
                    </a:stretch>
                  </pic:blipFill>
                  <pic:spPr>
                    <a:xfrm>
                      <a:off x="0" y="0"/>
                      <a:ext cx="5268595" cy="7452360"/>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rPr>
          <w:rFonts w:hint="default"/>
          <w:lang w:val="en-US" w:eastAsia="zh-CN"/>
        </w:rPr>
      </w:pPr>
      <w:bookmarkStart w:id="40" w:name="_GoBack"/>
      <w:r>
        <w:rPr>
          <w:rFonts w:hint="default"/>
          <w:lang w:val="en-US" w:eastAsia="zh-CN"/>
        </w:rPr>
        <w:drawing>
          <wp:inline distT="0" distB="0" distL="114300" distR="114300">
            <wp:extent cx="5268595" cy="7450455"/>
            <wp:effectExtent l="0" t="0" r="8255" b="17145"/>
            <wp:docPr id="142" name="图片 142" descr="评审意见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评审意见_页面_6"/>
                    <pic:cNvPicPr>
                      <a:picLocks noChangeAspect="1"/>
                    </pic:cNvPicPr>
                  </pic:nvPicPr>
                  <pic:blipFill>
                    <a:blip r:embed="rId132"/>
                    <a:stretch>
                      <a:fillRect/>
                    </a:stretch>
                  </pic:blipFill>
                  <pic:spPr>
                    <a:xfrm>
                      <a:off x="0" y="0"/>
                      <a:ext cx="5268595" cy="7450455"/>
                    </a:xfrm>
                    <a:prstGeom prst="rect">
                      <a:avLst/>
                    </a:prstGeom>
                  </pic:spPr>
                </pic:pic>
              </a:graphicData>
            </a:graphic>
          </wp:inline>
        </w:drawing>
      </w:r>
      <w:bookmarkEnd w:id="40"/>
    </w:p>
    <w:p>
      <w:pPr>
        <w:pStyle w:val="2"/>
      </w:pPr>
    </w:p>
    <w:p/>
    <w:sectPr>
      <w:pgSz w:w="11906" w:h="16838"/>
      <w:pgMar w:top="1440" w:right="1803" w:bottom="1440" w:left="1803" w:header="851" w:footer="1077" w:gutter="0"/>
      <w:paperSrc/>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MingLiU">
    <w:altName w:val="PMingLiU-ExtB"/>
    <w:panose1 w:val="02010609000101010101"/>
    <w:charset w:val="88"/>
    <w:family w:val="auto"/>
    <w:pitch w:val="default"/>
    <w:sig w:usb0="00000000" w:usb1="00000000"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5"/>
      </w:rPr>
    </w:pPr>
    <w:r>
      <w:rPr>
        <w:rStyle w:val="25"/>
      </w:rPr>
      <w:fldChar w:fldCharType="begin"/>
    </w:r>
    <w:r>
      <w:rPr>
        <w:rStyle w:val="25"/>
      </w:rPr>
      <w:instrText xml:space="preserve">PAGE  </w:instrText>
    </w:r>
    <w:r>
      <w:rPr>
        <w:rStyle w:val="25"/>
      </w:rP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849D1A"/>
    <w:multiLevelType w:val="singleLevel"/>
    <w:tmpl w:val="AE849D1A"/>
    <w:lvl w:ilvl="0" w:tentative="0">
      <w:start w:val="3"/>
      <w:numFmt w:val="decimal"/>
      <w:suff w:val="nothing"/>
      <w:lvlText w:val="%1、"/>
      <w:lvlJc w:val="left"/>
    </w:lvl>
  </w:abstractNum>
  <w:abstractNum w:abstractNumId="1">
    <w:nsid w:val="09AC4F92"/>
    <w:multiLevelType w:val="multilevel"/>
    <w:tmpl w:val="09AC4F92"/>
    <w:lvl w:ilvl="0" w:tentative="0">
      <w:start w:val="1"/>
      <w:numFmt w:val="decimal"/>
      <w:lvlText w:val="%1"/>
      <w:lvlJc w:val="left"/>
      <w:pPr>
        <w:ind w:left="290" w:hanging="432"/>
      </w:pPr>
      <w:rPr>
        <w:rFonts w:hint="eastAsia"/>
      </w:rPr>
    </w:lvl>
    <w:lvl w:ilvl="1" w:tentative="0">
      <w:start w:val="1"/>
      <w:numFmt w:val="decimal"/>
      <w:lvlText w:val="%1.%2"/>
      <w:lvlJc w:val="left"/>
      <w:pPr>
        <w:ind w:left="1144" w:hanging="576"/>
      </w:pPr>
      <w:rPr>
        <w:rFonts w:hint="eastAsia"/>
      </w:rPr>
    </w:lvl>
    <w:lvl w:ilvl="2" w:tentative="0">
      <w:start w:val="1"/>
      <w:numFmt w:val="decimal"/>
      <w:suff w:val="nothing"/>
      <w:lvlText w:val="%1.%2.%3"/>
      <w:lvlJc w:val="left"/>
      <w:pPr>
        <w:ind w:left="720" w:hanging="720"/>
      </w:pPr>
      <w:rPr>
        <w:rFonts w:hint="eastAsia"/>
      </w:rPr>
    </w:lvl>
    <w:lvl w:ilvl="3" w:tentative="0">
      <w:start w:val="1"/>
      <w:numFmt w:val="decimal"/>
      <w:pStyle w:val="6"/>
      <w:lvlText w:val="%1.%2.%3.%4"/>
      <w:lvlJc w:val="left"/>
      <w:pPr>
        <w:ind w:left="1006" w:hanging="864"/>
      </w:pPr>
      <w:rPr>
        <w:rFonts w:hint="eastAsia"/>
        <w:lang w:val="en-US"/>
      </w:rPr>
    </w:lvl>
    <w:lvl w:ilvl="4" w:tentative="0">
      <w:start w:val="1"/>
      <w:numFmt w:val="decimal"/>
      <w:lvlText w:val="%1.%2.%3.%4.%5"/>
      <w:lvlJc w:val="left"/>
      <w:pPr>
        <w:ind w:left="866" w:hanging="1008"/>
      </w:pPr>
      <w:rPr>
        <w:rFonts w:hint="eastAsia"/>
      </w:rPr>
    </w:lvl>
    <w:lvl w:ilvl="5" w:tentative="0">
      <w:start w:val="1"/>
      <w:numFmt w:val="decimal"/>
      <w:lvlText w:val="%1.%2.%3.%4.%5.%6"/>
      <w:lvlJc w:val="left"/>
      <w:pPr>
        <w:ind w:left="1010" w:hanging="1152"/>
      </w:pPr>
      <w:rPr>
        <w:rFonts w:hint="eastAsia"/>
      </w:rPr>
    </w:lvl>
    <w:lvl w:ilvl="6" w:tentative="0">
      <w:start w:val="1"/>
      <w:numFmt w:val="decimal"/>
      <w:lvlText w:val="%1.%2.%3.%4.%5.%6.%7"/>
      <w:lvlJc w:val="left"/>
      <w:pPr>
        <w:ind w:left="1154" w:hanging="1296"/>
      </w:pPr>
      <w:rPr>
        <w:rFonts w:hint="eastAsia"/>
      </w:rPr>
    </w:lvl>
    <w:lvl w:ilvl="7" w:tentative="0">
      <w:start w:val="1"/>
      <w:numFmt w:val="decimal"/>
      <w:lvlText w:val="%1.%2.%3.%4.%5.%6.%7.%8"/>
      <w:lvlJc w:val="left"/>
      <w:pPr>
        <w:ind w:left="1298" w:hanging="1440"/>
      </w:pPr>
      <w:rPr>
        <w:rFonts w:hint="eastAsia"/>
      </w:rPr>
    </w:lvl>
    <w:lvl w:ilvl="8" w:tentative="0">
      <w:start w:val="1"/>
      <w:numFmt w:val="decimal"/>
      <w:lvlText w:val="%1.%2.%3.%4.%5.%6.%7.%8.%9"/>
      <w:lvlJc w:val="left"/>
      <w:pPr>
        <w:ind w:left="1442"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53A0"/>
    <w:rsid w:val="0006547C"/>
    <w:rsid w:val="000B62DD"/>
    <w:rsid w:val="000F79C0"/>
    <w:rsid w:val="00113430"/>
    <w:rsid w:val="00123B9B"/>
    <w:rsid w:val="00172A27"/>
    <w:rsid w:val="001B75E4"/>
    <w:rsid w:val="001F64CE"/>
    <w:rsid w:val="003163A1"/>
    <w:rsid w:val="00362607"/>
    <w:rsid w:val="00363F80"/>
    <w:rsid w:val="003B6977"/>
    <w:rsid w:val="003D4A6B"/>
    <w:rsid w:val="003F3241"/>
    <w:rsid w:val="00467A79"/>
    <w:rsid w:val="004948E1"/>
    <w:rsid w:val="004A4C0D"/>
    <w:rsid w:val="004D6259"/>
    <w:rsid w:val="004F7D48"/>
    <w:rsid w:val="00531B72"/>
    <w:rsid w:val="00542030"/>
    <w:rsid w:val="005665B1"/>
    <w:rsid w:val="005F7A44"/>
    <w:rsid w:val="00627805"/>
    <w:rsid w:val="0069262D"/>
    <w:rsid w:val="006B006E"/>
    <w:rsid w:val="006E6019"/>
    <w:rsid w:val="006F7483"/>
    <w:rsid w:val="007D4083"/>
    <w:rsid w:val="00821638"/>
    <w:rsid w:val="00866FA7"/>
    <w:rsid w:val="008D4314"/>
    <w:rsid w:val="009E5012"/>
    <w:rsid w:val="00B05DDA"/>
    <w:rsid w:val="00B70D21"/>
    <w:rsid w:val="00BF00E8"/>
    <w:rsid w:val="00C034B6"/>
    <w:rsid w:val="00C92EB5"/>
    <w:rsid w:val="00CD6646"/>
    <w:rsid w:val="00D6202A"/>
    <w:rsid w:val="00DB4B5B"/>
    <w:rsid w:val="00DC0A55"/>
    <w:rsid w:val="00E05145"/>
    <w:rsid w:val="00E859B7"/>
    <w:rsid w:val="00E912C1"/>
    <w:rsid w:val="00EB23A0"/>
    <w:rsid w:val="00F06981"/>
    <w:rsid w:val="00F449CB"/>
    <w:rsid w:val="00F803B2"/>
    <w:rsid w:val="00FB01C3"/>
    <w:rsid w:val="010F6644"/>
    <w:rsid w:val="011456C0"/>
    <w:rsid w:val="011E7F52"/>
    <w:rsid w:val="01231828"/>
    <w:rsid w:val="01232883"/>
    <w:rsid w:val="012E4AE7"/>
    <w:rsid w:val="013B0602"/>
    <w:rsid w:val="014D1F9E"/>
    <w:rsid w:val="01671F68"/>
    <w:rsid w:val="0176573F"/>
    <w:rsid w:val="017F598A"/>
    <w:rsid w:val="01963860"/>
    <w:rsid w:val="01A677E6"/>
    <w:rsid w:val="01B0145A"/>
    <w:rsid w:val="01D16EB5"/>
    <w:rsid w:val="01D248D8"/>
    <w:rsid w:val="01DD4397"/>
    <w:rsid w:val="01E55D66"/>
    <w:rsid w:val="01F02BE1"/>
    <w:rsid w:val="01F30233"/>
    <w:rsid w:val="01F8563B"/>
    <w:rsid w:val="02071B33"/>
    <w:rsid w:val="022C590F"/>
    <w:rsid w:val="02365718"/>
    <w:rsid w:val="02392F83"/>
    <w:rsid w:val="023B0E96"/>
    <w:rsid w:val="024276C2"/>
    <w:rsid w:val="02597F42"/>
    <w:rsid w:val="02626C11"/>
    <w:rsid w:val="026D4D87"/>
    <w:rsid w:val="02821F1D"/>
    <w:rsid w:val="02897A20"/>
    <w:rsid w:val="0294056A"/>
    <w:rsid w:val="02A94568"/>
    <w:rsid w:val="02AF40C5"/>
    <w:rsid w:val="02B60960"/>
    <w:rsid w:val="02D141FF"/>
    <w:rsid w:val="02ED37DA"/>
    <w:rsid w:val="030F51F8"/>
    <w:rsid w:val="03150128"/>
    <w:rsid w:val="0322483E"/>
    <w:rsid w:val="03307E12"/>
    <w:rsid w:val="03310B5E"/>
    <w:rsid w:val="0359715E"/>
    <w:rsid w:val="036202A4"/>
    <w:rsid w:val="03696FC0"/>
    <w:rsid w:val="036F0251"/>
    <w:rsid w:val="03752467"/>
    <w:rsid w:val="03777C72"/>
    <w:rsid w:val="03A3649A"/>
    <w:rsid w:val="03B84F3C"/>
    <w:rsid w:val="03B96CBC"/>
    <w:rsid w:val="03C30662"/>
    <w:rsid w:val="03C86E60"/>
    <w:rsid w:val="03D674EE"/>
    <w:rsid w:val="03DE795A"/>
    <w:rsid w:val="03EA284E"/>
    <w:rsid w:val="04037503"/>
    <w:rsid w:val="04041DE8"/>
    <w:rsid w:val="040D5C55"/>
    <w:rsid w:val="0410068E"/>
    <w:rsid w:val="04111257"/>
    <w:rsid w:val="041A53CA"/>
    <w:rsid w:val="041A6AC6"/>
    <w:rsid w:val="04226F8A"/>
    <w:rsid w:val="042739A5"/>
    <w:rsid w:val="042833C4"/>
    <w:rsid w:val="04446107"/>
    <w:rsid w:val="044915C5"/>
    <w:rsid w:val="044D3889"/>
    <w:rsid w:val="0468679E"/>
    <w:rsid w:val="046C68BD"/>
    <w:rsid w:val="04705FC0"/>
    <w:rsid w:val="048001F8"/>
    <w:rsid w:val="04815C8E"/>
    <w:rsid w:val="04856704"/>
    <w:rsid w:val="049D0C46"/>
    <w:rsid w:val="04A05552"/>
    <w:rsid w:val="04A50645"/>
    <w:rsid w:val="04A91EE3"/>
    <w:rsid w:val="04AA0EEA"/>
    <w:rsid w:val="04AF31A2"/>
    <w:rsid w:val="04C73703"/>
    <w:rsid w:val="04CA66BD"/>
    <w:rsid w:val="04D3608A"/>
    <w:rsid w:val="04EA0602"/>
    <w:rsid w:val="04ED243B"/>
    <w:rsid w:val="04ED26F4"/>
    <w:rsid w:val="04EE7018"/>
    <w:rsid w:val="04F25860"/>
    <w:rsid w:val="04F41CC4"/>
    <w:rsid w:val="04F454F9"/>
    <w:rsid w:val="050C6B2B"/>
    <w:rsid w:val="05192120"/>
    <w:rsid w:val="051A45D9"/>
    <w:rsid w:val="051B2258"/>
    <w:rsid w:val="05205971"/>
    <w:rsid w:val="0528347C"/>
    <w:rsid w:val="052A46C3"/>
    <w:rsid w:val="052D187D"/>
    <w:rsid w:val="053013F3"/>
    <w:rsid w:val="05362296"/>
    <w:rsid w:val="053871C7"/>
    <w:rsid w:val="055C78B0"/>
    <w:rsid w:val="05775FAE"/>
    <w:rsid w:val="05800B50"/>
    <w:rsid w:val="05821E82"/>
    <w:rsid w:val="05AA69DF"/>
    <w:rsid w:val="05C82902"/>
    <w:rsid w:val="05D2338E"/>
    <w:rsid w:val="05F87759"/>
    <w:rsid w:val="060670BD"/>
    <w:rsid w:val="060A7FA0"/>
    <w:rsid w:val="06101588"/>
    <w:rsid w:val="06146582"/>
    <w:rsid w:val="0616649F"/>
    <w:rsid w:val="061A5FFA"/>
    <w:rsid w:val="063A1050"/>
    <w:rsid w:val="063C01B7"/>
    <w:rsid w:val="064873F1"/>
    <w:rsid w:val="067D0AC9"/>
    <w:rsid w:val="068726C5"/>
    <w:rsid w:val="06875556"/>
    <w:rsid w:val="06977BE4"/>
    <w:rsid w:val="06A75606"/>
    <w:rsid w:val="06AC2C86"/>
    <w:rsid w:val="06AF23D6"/>
    <w:rsid w:val="06AF5D8F"/>
    <w:rsid w:val="06B57AA5"/>
    <w:rsid w:val="06B87B66"/>
    <w:rsid w:val="06C04899"/>
    <w:rsid w:val="06C702DB"/>
    <w:rsid w:val="06CF20D6"/>
    <w:rsid w:val="06F30BAD"/>
    <w:rsid w:val="07137495"/>
    <w:rsid w:val="07152DCE"/>
    <w:rsid w:val="0729663D"/>
    <w:rsid w:val="07331B75"/>
    <w:rsid w:val="07450B7E"/>
    <w:rsid w:val="07456144"/>
    <w:rsid w:val="075A4404"/>
    <w:rsid w:val="075F0940"/>
    <w:rsid w:val="0760621B"/>
    <w:rsid w:val="078A5F05"/>
    <w:rsid w:val="0797667F"/>
    <w:rsid w:val="07A00154"/>
    <w:rsid w:val="07AD2E73"/>
    <w:rsid w:val="07C8593C"/>
    <w:rsid w:val="07EB52BB"/>
    <w:rsid w:val="07F02911"/>
    <w:rsid w:val="082564DE"/>
    <w:rsid w:val="082F7FAB"/>
    <w:rsid w:val="08357215"/>
    <w:rsid w:val="08423A15"/>
    <w:rsid w:val="084F547E"/>
    <w:rsid w:val="085B5C00"/>
    <w:rsid w:val="085C43F7"/>
    <w:rsid w:val="086A1C49"/>
    <w:rsid w:val="08802478"/>
    <w:rsid w:val="088763EC"/>
    <w:rsid w:val="088B66AF"/>
    <w:rsid w:val="088D26E5"/>
    <w:rsid w:val="08991960"/>
    <w:rsid w:val="08A92142"/>
    <w:rsid w:val="08AC784D"/>
    <w:rsid w:val="08C6217A"/>
    <w:rsid w:val="08D41578"/>
    <w:rsid w:val="08E770B7"/>
    <w:rsid w:val="08FE244E"/>
    <w:rsid w:val="090F1948"/>
    <w:rsid w:val="091F5A50"/>
    <w:rsid w:val="09292684"/>
    <w:rsid w:val="094053D2"/>
    <w:rsid w:val="09436105"/>
    <w:rsid w:val="0947251F"/>
    <w:rsid w:val="09564178"/>
    <w:rsid w:val="095941E0"/>
    <w:rsid w:val="095E0943"/>
    <w:rsid w:val="096D3661"/>
    <w:rsid w:val="09712F54"/>
    <w:rsid w:val="09865A44"/>
    <w:rsid w:val="0988578E"/>
    <w:rsid w:val="098A4A56"/>
    <w:rsid w:val="098B735B"/>
    <w:rsid w:val="099A2DBE"/>
    <w:rsid w:val="099A6A2B"/>
    <w:rsid w:val="09A363AD"/>
    <w:rsid w:val="09A451E6"/>
    <w:rsid w:val="09A7724B"/>
    <w:rsid w:val="09C94DC7"/>
    <w:rsid w:val="09CC46CB"/>
    <w:rsid w:val="09CD3561"/>
    <w:rsid w:val="09D0493D"/>
    <w:rsid w:val="09D90A4D"/>
    <w:rsid w:val="09DA1E47"/>
    <w:rsid w:val="09EC5BA6"/>
    <w:rsid w:val="09EC71DB"/>
    <w:rsid w:val="09EE0DC2"/>
    <w:rsid w:val="09F34224"/>
    <w:rsid w:val="09FB12AC"/>
    <w:rsid w:val="09FF2938"/>
    <w:rsid w:val="0A030E64"/>
    <w:rsid w:val="0A0C53FF"/>
    <w:rsid w:val="0A124932"/>
    <w:rsid w:val="0A153391"/>
    <w:rsid w:val="0A1B28E5"/>
    <w:rsid w:val="0A2A2C87"/>
    <w:rsid w:val="0A3308F0"/>
    <w:rsid w:val="0A626617"/>
    <w:rsid w:val="0A6834C4"/>
    <w:rsid w:val="0A7D1576"/>
    <w:rsid w:val="0A8C54EF"/>
    <w:rsid w:val="0A8E5DBE"/>
    <w:rsid w:val="0A905BA6"/>
    <w:rsid w:val="0A98672D"/>
    <w:rsid w:val="0A9C087A"/>
    <w:rsid w:val="0A9D050E"/>
    <w:rsid w:val="0AA80BC6"/>
    <w:rsid w:val="0AAA7529"/>
    <w:rsid w:val="0AB27309"/>
    <w:rsid w:val="0AB44503"/>
    <w:rsid w:val="0ABE36FF"/>
    <w:rsid w:val="0ACA446B"/>
    <w:rsid w:val="0ACB3B40"/>
    <w:rsid w:val="0ADD0E84"/>
    <w:rsid w:val="0AE2774E"/>
    <w:rsid w:val="0AF869C7"/>
    <w:rsid w:val="0AFE6AED"/>
    <w:rsid w:val="0B001B05"/>
    <w:rsid w:val="0B0078A7"/>
    <w:rsid w:val="0B300F99"/>
    <w:rsid w:val="0B341C63"/>
    <w:rsid w:val="0B3C507C"/>
    <w:rsid w:val="0B481DB3"/>
    <w:rsid w:val="0B4B563F"/>
    <w:rsid w:val="0B647096"/>
    <w:rsid w:val="0B6B0746"/>
    <w:rsid w:val="0B6E70A9"/>
    <w:rsid w:val="0B7634CD"/>
    <w:rsid w:val="0B824A76"/>
    <w:rsid w:val="0B914518"/>
    <w:rsid w:val="0B97172B"/>
    <w:rsid w:val="0B9D7F80"/>
    <w:rsid w:val="0B9E7924"/>
    <w:rsid w:val="0BA85920"/>
    <w:rsid w:val="0BAA65BA"/>
    <w:rsid w:val="0BB32CBE"/>
    <w:rsid w:val="0BB37A1C"/>
    <w:rsid w:val="0BB6451B"/>
    <w:rsid w:val="0BBF0E3B"/>
    <w:rsid w:val="0BD424BF"/>
    <w:rsid w:val="0BF534B1"/>
    <w:rsid w:val="0BFA5EE0"/>
    <w:rsid w:val="0BFC055E"/>
    <w:rsid w:val="0C04131A"/>
    <w:rsid w:val="0C07082B"/>
    <w:rsid w:val="0C0C4BE4"/>
    <w:rsid w:val="0C145936"/>
    <w:rsid w:val="0C160CFA"/>
    <w:rsid w:val="0C1E3B04"/>
    <w:rsid w:val="0C2373BC"/>
    <w:rsid w:val="0C2B48AF"/>
    <w:rsid w:val="0C345900"/>
    <w:rsid w:val="0C516B7C"/>
    <w:rsid w:val="0C57662F"/>
    <w:rsid w:val="0C5B0508"/>
    <w:rsid w:val="0C5D756A"/>
    <w:rsid w:val="0C5E70FD"/>
    <w:rsid w:val="0C666669"/>
    <w:rsid w:val="0C6C302D"/>
    <w:rsid w:val="0C850DB3"/>
    <w:rsid w:val="0C862AA7"/>
    <w:rsid w:val="0C8D7C49"/>
    <w:rsid w:val="0C9D74F1"/>
    <w:rsid w:val="0C9F416A"/>
    <w:rsid w:val="0CBE1D95"/>
    <w:rsid w:val="0CC2618E"/>
    <w:rsid w:val="0CC40F7D"/>
    <w:rsid w:val="0CC43889"/>
    <w:rsid w:val="0CD536CD"/>
    <w:rsid w:val="0CE710FF"/>
    <w:rsid w:val="0CF2209B"/>
    <w:rsid w:val="0D006219"/>
    <w:rsid w:val="0D0E0FD7"/>
    <w:rsid w:val="0D2B1565"/>
    <w:rsid w:val="0D3821D4"/>
    <w:rsid w:val="0D4D2875"/>
    <w:rsid w:val="0D524CB5"/>
    <w:rsid w:val="0D543D89"/>
    <w:rsid w:val="0D5C50EC"/>
    <w:rsid w:val="0D875E78"/>
    <w:rsid w:val="0D8C6D97"/>
    <w:rsid w:val="0DA17279"/>
    <w:rsid w:val="0DA2657A"/>
    <w:rsid w:val="0DD81AF6"/>
    <w:rsid w:val="0DDB4403"/>
    <w:rsid w:val="0DE44558"/>
    <w:rsid w:val="0DE668C5"/>
    <w:rsid w:val="0DE67D80"/>
    <w:rsid w:val="0E02133D"/>
    <w:rsid w:val="0E1A5215"/>
    <w:rsid w:val="0E213C8E"/>
    <w:rsid w:val="0E3731AE"/>
    <w:rsid w:val="0E391BB8"/>
    <w:rsid w:val="0E3A1051"/>
    <w:rsid w:val="0E3E027A"/>
    <w:rsid w:val="0E400B31"/>
    <w:rsid w:val="0E5C04C9"/>
    <w:rsid w:val="0E63502E"/>
    <w:rsid w:val="0E79191A"/>
    <w:rsid w:val="0E7B7C27"/>
    <w:rsid w:val="0E800C2B"/>
    <w:rsid w:val="0E886C4C"/>
    <w:rsid w:val="0E960409"/>
    <w:rsid w:val="0EA5190A"/>
    <w:rsid w:val="0EA56134"/>
    <w:rsid w:val="0EB85904"/>
    <w:rsid w:val="0EBA7DEB"/>
    <w:rsid w:val="0EBB07C4"/>
    <w:rsid w:val="0EC005F6"/>
    <w:rsid w:val="0EC96C61"/>
    <w:rsid w:val="0ECF5A7E"/>
    <w:rsid w:val="0ED22E73"/>
    <w:rsid w:val="0EF63AE3"/>
    <w:rsid w:val="0EF71429"/>
    <w:rsid w:val="0F0D1A3F"/>
    <w:rsid w:val="0F19416F"/>
    <w:rsid w:val="0F1955FD"/>
    <w:rsid w:val="0F21134C"/>
    <w:rsid w:val="0F29376F"/>
    <w:rsid w:val="0F2E2221"/>
    <w:rsid w:val="0F35596E"/>
    <w:rsid w:val="0F3B4AFE"/>
    <w:rsid w:val="0F495B99"/>
    <w:rsid w:val="0F5E7EBB"/>
    <w:rsid w:val="0F7E6BC1"/>
    <w:rsid w:val="0F7F4FD6"/>
    <w:rsid w:val="0F7F5083"/>
    <w:rsid w:val="0F903345"/>
    <w:rsid w:val="0F9B1B7D"/>
    <w:rsid w:val="0F9F75CA"/>
    <w:rsid w:val="0FA36EDB"/>
    <w:rsid w:val="0FB307F5"/>
    <w:rsid w:val="0FBE10D2"/>
    <w:rsid w:val="0FBF486C"/>
    <w:rsid w:val="0FC76AE7"/>
    <w:rsid w:val="0FE5120F"/>
    <w:rsid w:val="0FE626CB"/>
    <w:rsid w:val="0FFC3348"/>
    <w:rsid w:val="100438CB"/>
    <w:rsid w:val="10134F83"/>
    <w:rsid w:val="101A0D84"/>
    <w:rsid w:val="10253157"/>
    <w:rsid w:val="102E561F"/>
    <w:rsid w:val="10307CCD"/>
    <w:rsid w:val="103C66CC"/>
    <w:rsid w:val="104606C8"/>
    <w:rsid w:val="10495581"/>
    <w:rsid w:val="106003FA"/>
    <w:rsid w:val="106A7B44"/>
    <w:rsid w:val="10741555"/>
    <w:rsid w:val="10805BFF"/>
    <w:rsid w:val="109412DF"/>
    <w:rsid w:val="109A5308"/>
    <w:rsid w:val="109D1F64"/>
    <w:rsid w:val="109E65AD"/>
    <w:rsid w:val="10AC43E6"/>
    <w:rsid w:val="10B40EE0"/>
    <w:rsid w:val="10CC2879"/>
    <w:rsid w:val="10DF66C1"/>
    <w:rsid w:val="1103015F"/>
    <w:rsid w:val="110B24AF"/>
    <w:rsid w:val="110F5FA5"/>
    <w:rsid w:val="11196D22"/>
    <w:rsid w:val="11323DE1"/>
    <w:rsid w:val="11341804"/>
    <w:rsid w:val="11643B00"/>
    <w:rsid w:val="1165530F"/>
    <w:rsid w:val="116A6932"/>
    <w:rsid w:val="1174278E"/>
    <w:rsid w:val="117C6128"/>
    <w:rsid w:val="11853313"/>
    <w:rsid w:val="11854283"/>
    <w:rsid w:val="118F1D08"/>
    <w:rsid w:val="11B461AA"/>
    <w:rsid w:val="11BD7D78"/>
    <w:rsid w:val="11D300FA"/>
    <w:rsid w:val="11E64C32"/>
    <w:rsid w:val="11EF787A"/>
    <w:rsid w:val="11FB2499"/>
    <w:rsid w:val="11FD2884"/>
    <w:rsid w:val="121068E3"/>
    <w:rsid w:val="12182BF9"/>
    <w:rsid w:val="122B2577"/>
    <w:rsid w:val="122E5D12"/>
    <w:rsid w:val="12386EBB"/>
    <w:rsid w:val="12457A4A"/>
    <w:rsid w:val="124F209E"/>
    <w:rsid w:val="126D67E5"/>
    <w:rsid w:val="12740AF4"/>
    <w:rsid w:val="12751517"/>
    <w:rsid w:val="127911C4"/>
    <w:rsid w:val="1283246A"/>
    <w:rsid w:val="12D17249"/>
    <w:rsid w:val="12DC2D43"/>
    <w:rsid w:val="12F4323C"/>
    <w:rsid w:val="130772B9"/>
    <w:rsid w:val="130A3EDB"/>
    <w:rsid w:val="130D4D1D"/>
    <w:rsid w:val="131B5E62"/>
    <w:rsid w:val="131D3D92"/>
    <w:rsid w:val="13215766"/>
    <w:rsid w:val="132F2ABB"/>
    <w:rsid w:val="133E56D9"/>
    <w:rsid w:val="134241BF"/>
    <w:rsid w:val="134437D6"/>
    <w:rsid w:val="134877EC"/>
    <w:rsid w:val="1354269D"/>
    <w:rsid w:val="135F6305"/>
    <w:rsid w:val="13650B87"/>
    <w:rsid w:val="13693039"/>
    <w:rsid w:val="136C42FC"/>
    <w:rsid w:val="136D532A"/>
    <w:rsid w:val="137C0775"/>
    <w:rsid w:val="13811B9A"/>
    <w:rsid w:val="138570FD"/>
    <w:rsid w:val="139B1A14"/>
    <w:rsid w:val="13A20DA8"/>
    <w:rsid w:val="13CF1B9B"/>
    <w:rsid w:val="13D60695"/>
    <w:rsid w:val="13D653C0"/>
    <w:rsid w:val="13E418A2"/>
    <w:rsid w:val="13EF019C"/>
    <w:rsid w:val="13F95F6A"/>
    <w:rsid w:val="13FF3F04"/>
    <w:rsid w:val="141105A8"/>
    <w:rsid w:val="14113526"/>
    <w:rsid w:val="14131B64"/>
    <w:rsid w:val="14252269"/>
    <w:rsid w:val="142823FE"/>
    <w:rsid w:val="142F7DB4"/>
    <w:rsid w:val="14397286"/>
    <w:rsid w:val="145B00E6"/>
    <w:rsid w:val="14621B46"/>
    <w:rsid w:val="146C0918"/>
    <w:rsid w:val="146E2A91"/>
    <w:rsid w:val="147523DF"/>
    <w:rsid w:val="14786A0F"/>
    <w:rsid w:val="147B2FFB"/>
    <w:rsid w:val="148110E8"/>
    <w:rsid w:val="14841EAE"/>
    <w:rsid w:val="149C2BEE"/>
    <w:rsid w:val="14A93F84"/>
    <w:rsid w:val="14AC6A98"/>
    <w:rsid w:val="14AD53C9"/>
    <w:rsid w:val="14B650F1"/>
    <w:rsid w:val="14B87503"/>
    <w:rsid w:val="14BD5E18"/>
    <w:rsid w:val="14BE23C2"/>
    <w:rsid w:val="14BE7E3A"/>
    <w:rsid w:val="14C66257"/>
    <w:rsid w:val="14D4216D"/>
    <w:rsid w:val="14D90702"/>
    <w:rsid w:val="14EA1FB4"/>
    <w:rsid w:val="150C5A3E"/>
    <w:rsid w:val="151630E1"/>
    <w:rsid w:val="151E374A"/>
    <w:rsid w:val="1523167B"/>
    <w:rsid w:val="1529254D"/>
    <w:rsid w:val="152A6AD4"/>
    <w:rsid w:val="15460C4B"/>
    <w:rsid w:val="158A5A36"/>
    <w:rsid w:val="15970B39"/>
    <w:rsid w:val="159A5202"/>
    <w:rsid w:val="15AE2D06"/>
    <w:rsid w:val="15B634A8"/>
    <w:rsid w:val="15B701D6"/>
    <w:rsid w:val="15B711C7"/>
    <w:rsid w:val="15B93DA8"/>
    <w:rsid w:val="15C20DC7"/>
    <w:rsid w:val="15CB2205"/>
    <w:rsid w:val="15CE6888"/>
    <w:rsid w:val="15D14CB6"/>
    <w:rsid w:val="15D357E5"/>
    <w:rsid w:val="15DE493C"/>
    <w:rsid w:val="15E65F2A"/>
    <w:rsid w:val="15F1639B"/>
    <w:rsid w:val="16096815"/>
    <w:rsid w:val="16111ADB"/>
    <w:rsid w:val="161863E8"/>
    <w:rsid w:val="162815F8"/>
    <w:rsid w:val="16361659"/>
    <w:rsid w:val="163A3168"/>
    <w:rsid w:val="164317DF"/>
    <w:rsid w:val="167A499E"/>
    <w:rsid w:val="1683251B"/>
    <w:rsid w:val="168A398D"/>
    <w:rsid w:val="168C34AD"/>
    <w:rsid w:val="168D2F41"/>
    <w:rsid w:val="169E0523"/>
    <w:rsid w:val="16AC7E63"/>
    <w:rsid w:val="16B7701D"/>
    <w:rsid w:val="16C63EF8"/>
    <w:rsid w:val="16CD3A70"/>
    <w:rsid w:val="16EC788F"/>
    <w:rsid w:val="17180B21"/>
    <w:rsid w:val="17222144"/>
    <w:rsid w:val="172A5475"/>
    <w:rsid w:val="17345DF9"/>
    <w:rsid w:val="174E6FEE"/>
    <w:rsid w:val="176830C6"/>
    <w:rsid w:val="176B00AD"/>
    <w:rsid w:val="17863F39"/>
    <w:rsid w:val="178927E6"/>
    <w:rsid w:val="17892B25"/>
    <w:rsid w:val="179364A3"/>
    <w:rsid w:val="17955D70"/>
    <w:rsid w:val="17AE0224"/>
    <w:rsid w:val="17B00FAA"/>
    <w:rsid w:val="17B35849"/>
    <w:rsid w:val="17B72A8C"/>
    <w:rsid w:val="17BE2DFA"/>
    <w:rsid w:val="17BE32FD"/>
    <w:rsid w:val="17BE46D6"/>
    <w:rsid w:val="17DA4784"/>
    <w:rsid w:val="17F1659A"/>
    <w:rsid w:val="17FC1B7D"/>
    <w:rsid w:val="180B2B29"/>
    <w:rsid w:val="18107B1E"/>
    <w:rsid w:val="181A3BF3"/>
    <w:rsid w:val="18222695"/>
    <w:rsid w:val="18227F2E"/>
    <w:rsid w:val="184754A4"/>
    <w:rsid w:val="184C3BCB"/>
    <w:rsid w:val="184C5F60"/>
    <w:rsid w:val="186A5730"/>
    <w:rsid w:val="186E331F"/>
    <w:rsid w:val="18757972"/>
    <w:rsid w:val="188F29E7"/>
    <w:rsid w:val="189D7C02"/>
    <w:rsid w:val="18B740BE"/>
    <w:rsid w:val="18C75C7D"/>
    <w:rsid w:val="18CC5739"/>
    <w:rsid w:val="18D37C42"/>
    <w:rsid w:val="18D471A8"/>
    <w:rsid w:val="18FD59BC"/>
    <w:rsid w:val="19070F76"/>
    <w:rsid w:val="19087431"/>
    <w:rsid w:val="190D270D"/>
    <w:rsid w:val="193C31A3"/>
    <w:rsid w:val="196E2452"/>
    <w:rsid w:val="197207CB"/>
    <w:rsid w:val="19885ADC"/>
    <w:rsid w:val="198E7EEB"/>
    <w:rsid w:val="1993600E"/>
    <w:rsid w:val="19A23AF8"/>
    <w:rsid w:val="19A419EE"/>
    <w:rsid w:val="19B4439F"/>
    <w:rsid w:val="19B67F95"/>
    <w:rsid w:val="19C80275"/>
    <w:rsid w:val="19CC7FA3"/>
    <w:rsid w:val="19CD24DE"/>
    <w:rsid w:val="19D363E3"/>
    <w:rsid w:val="19DC7BED"/>
    <w:rsid w:val="19FD6097"/>
    <w:rsid w:val="1A02240E"/>
    <w:rsid w:val="1A051C08"/>
    <w:rsid w:val="1A0E3677"/>
    <w:rsid w:val="1A18117F"/>
    <w:rsid w:val="1A181C87"/>
    <w:rsid w:val="1A2C4EE7"/>
    <w:rsid w:val="1A3D36D0"/>
    <w:rsid w:val="1A421A7E"/>
    <w:rsid w:val="1A6D0850"/>
    <w:rsid w:val="1A6E1990"/>
    <w:rsid w:val="1A6F78F1"/>
    <w:rsid w:val="1A7B01C6"/>
    <w:rsid w:val="1AA572ED"/>
    <w:rsid w:val="1AA777D9"/>
    <w:rsid w:val="1AC04DBE"/>
    <w:rsid w:val="1AD86616"/>
    <w:rsid w:val="1AF64B0B"/>
    <w:rsid w:val="1B032D18"/>
    <w:rsid w:val="1B0A077D"/>
    <w:rsid w:val="1B0A1D94"/>
    <w:rsid w:val="1B194FC7"/>
    <w:rsid w:val="1B2E396E"/>
    <w:rsid w:val="1B430B6D"/>
    <w:rsid w:val="1B473104"/>
    <w:rsid w:val="1B4B6350"/>
    <w:rsid w:val="1B5626E3"/>
    <w:rsid w:val="1B762931"/>
    <w:rsid w:val="1B850F6B"/>
    <w:rsid w:val="1BA1265D"/>
    <w:rsid w:val="1BBA0A4A"/>
    <w:rsid w:val="1BCB1F73"/>
    <w:rsid w:val="1BD84FDB"/>
    <w:rsid w:val="1BD92288"/>
    <w:rsid w:val="1BE51BA7"/>
    <w:rsid w:val="1BF33B6F"/>
    <w:rsid w:val="1C024945"/>
    <w:rsid w:val="1C136F0C"/>
    <w:rsid w:val="1C3F3DB1"/>
    <w:rsid w:val="1C4D1082"/>
    <w:rsid w:val="1C530AD2"/>
    <w:rsid w:val="1C57389C"/>
    <w:rsid w:val="1C5754EC"/>
    <w:rsid w:val="1C5E260E"/>
    <w:rsid w:val="1C68566F"/>
    <w:rsid w:val="1C6B5D06"/>
    <w:rsid w:val="1C937B53"/>
    <w:rsid w:val="1C9C63EC"/>
    <w:rsid w:val="1CA25AB5"/>
    <w:rsid w:val="1CA960C0"/>
    <w:rsid w:val="1CCA6123"/>
    <w:rsid w:val="1CDE1758"/>
    <w:rsid w:val="1D021FE4"/>
    <w:rsid w:val="1D1E68FE"/>
    <w:rsid w:val="1D2A6DC1"/>
    <w:rsid w:val="1D382A84"/>
    <w:rsid w:val="1D3A15F5"/>
    <w:rsid w:val="1D3D6253"/>
    <w:rsid w:val="1D43054B"/>
    <w:rsid w:val="1D440A50"/>
    <w:rsid w:val="1D56626A"/>
    <w:rsid w:val="1D753F43"/>
    <w:rsid w:val="1D815A55"/>
    <w:rsid w:val="1D8F4CA1"/>
    <w:rsid w:val="1D935671"/>
    <w:rsid w:val="1DB132AC"/>
    <w:rsid w:val="1DC06399"/>
    <w:rsid w:val="1DC65E23"/>
    <w:rsid w:val="1DCB043D"/>
    <w:rsid w:val="1DD61402"/>
    <w:rsid w:val="1DF50DE8"/>
    <w:rsid w:val="1DFE4AC7"/>
    <w:rsid w:val="1E02767A"/>
    <w:rsid w:val="1E046128"/>
    <w:rsid w:val="1E11335E"/>
    <w:rsid w:val="1E1C393D"/>
    <w:rsid w:val="1E2F17BF"/>
    <w:rsid w:val="1E347997"/>
    <w:rsid w:val="1E466A6B"/>
    <w:rsid w:val="1E511DF5"/>
    <w:rsid w:val="1E596773"/>
    <w:rsid w:val="1E5D1FA8"/>
    <w:rsid w:val="1E6875AB"/>
    <w:rsid w:val="1E7329C1"/>
    <w:rsid w:val="1E747FDA"/>
    <w:rsid w:val="1E872DBB"/>
    <w:rsid w:val="1E8B7347"/>
    <w:rsid w:val="1E8D1193"/>
    <w:rsid w:val="1E8F575E"/>
    <w:rsid w:val="1E9B4507"/>
    <w:rsid w:val="1EA801BB"/>
    <w:rsid w:val="1EB75600"/>
    <w:rsid w:val="1EBA40F1"/>
    <w:rsid w:val="1ECE6DDD"/>
    <w:rsid w:val="1ED019FE"/>
    <w:rsid w:val="1EEA2303"/>
    <w:rsid w:val="1F0C2F6E"/>
    <w:rsid w:val="1F1056A5"/>
    <w:rsid w:val="1F121F9A"/>
    <w:rsid w:val="1F1C44C0"/>
    <w:rsid w:val="1F262FDC"/>
    <w:rsid w:val="1F2D345E"/>
    <w:rsid w:val="1F2D3EA3"/>
    <w:rsid w:val="1F3461D5"/>
    <w:rsid w:val="1F395D6D"/>
    <w:rsid w:val="1F3C1835"/>
    <w:rsid w:val="1F472C4D"/>
    <w:rsid w:val="1F52755E"/>
    <w:rsid w:val="1F5F5598"/>
    <w:rsid w:val="1F623BDD"/>
    <w:rsid w:val="1F782DC9"/>
    <w:rsid w:val="1F7D198B"/>
    <w:rsid w:val="1F812B19"/>
    <w:rsid w:val="1F884645"/>
    <w:rsid w:val="1F8E623E"/>
    <w:rsid w:val="1FAF5243"/>
    <w:rsid w:val="1FB7372A"/>
    <w:rsid w:val="1FCD11FE"/>
    <w:rsid w:val="1FD23459"/>
    <w:rsid w:val="1FD47B4A"/>
    <w:rsid w:val="1FD83E83"/>
    <w:rsid w:val="1FD917C1"/>
    <w:rsid w:val="1FDB3072"/>
    <w:rsid w:val="1FDD6B5C"/>
    <w:rsid w:val="1FF00163"/>
    <w:rsid w:val="200A1616"/>
    <w:rsid w:val="200D0926"/>
    <w:rsid w:val="201C262E"/>
    <w:rsid w:val="203A53D6"/>
    <w:rsid w:val="203C4057"/>
    <w:rsid w:val="204A3D59"/>
    <w:rsid w:val="20501C3D"/>
    <w:rsid w:val="205468C5"/>
    <w:rsid w:val="205C33DC"/>
    <w:rsid w:val="205D4B02"/>
    <w:rsid w:val="206A7C31"/>
    <w:rsid w:val="20715348"/>
    <w:rsid w:val="208A2871"/>
    <w:rsid w:val="20A13272"/>
    <w:rsid w:val="20A633E3"/>
    <w:rsid w:val="20A90FE5"/>
    <w:rsid w:val="20B4711F"/>
    <w:rsid w:val="20C27DF7"/>
    <w:rsid w:val="20D22767"/>
    <w:rsid w:val="20E33238"/>
    <w:rsid w:val="20FF4A4A"/>
    <w:rsid w:val="21137612"/>
    <w:rsid w:val="212059A3"/>
    <w:rsid w:val="212E7995"/>
    <w:rsid w:val="213F128B"/>
    <w:rsid w:val="214B62A0"/>
    <w:rsid w:val="214C1034"/>
    <w:rsid w:val="21507235"/>
    <w:rsid w:val="215D131D"/>
    <w:rsid w:val="21667CB3"/>
    <w:rsid w:val="21677D8E"/>
    <w:rsid w:val="216B5757"/>
    <w:rsid w:val="21805C3B"/>
    <w:rsid w:val="21930B47"/>
    <w:rsid w:val="219A1EE5"/>
    <w:rsid w:val="219B7A67"/>
    <w:rsid w:val="219F507A"/>
    <w:rsid w:val="21A13DFD"/>
    <w:rsid w:val="21AD6723"/>
    <w:rsid w:val="21B35830"/>
    <w:rsid w:val="21B4697D"/>
    <w:rsid w:val="21B976CF"/>
    <w:rsid w:val="21BE7B95"/>
    <w:rsid w:val="21C15422"/>
    <w:rsid w:val="21CB1136"/>
    <w:rsid w:val="21EB3AD3"/>
    <w:rsid w:val="21FC09D5"/>
    <w:rsid w:val="220408BB"/>
    <w:rsid w:val="22170F0F"/>
    <w:rsid w:val="2217200F"/>
    <w:rsid w:val="221A7822"/>
    <w:rsid w:val="22215595"/>
    <w:rsid w:val="2226264D"/>
    <w:rsid w:val="2232211A"/>
    <w:rsid w:val="2236723A"/>
    <w:rsid w:val="224374D3"/>
    <w:rsid w:val="225F3683"/>
    <w:rsid w:val="22673EC2"/>
    <w:rsid w:val="22712752"/>
    <w:rsid w:val="22737BC6"/>
    <w:rsid w:val="227F79B6"/>
    <w:rsid w:val="228428E4"/>
    <w:rsid w:val="22921BC8"/>
    <w:rsid w:val="22C1412B"/>
    <w:rsid w:val="22C257D7"/>
    <w:rsid w:val="22E15C24"/>
    <w:rsid w:val="22E84D3D"/>
    <w:rsid w:val="22EC4AA1"/>
    <w:rsid w:val="230D26C0"/>
    <w:rsid w:val="23206C6B"/>
    <w:rsid w:val="23232E87"/>
    <w:rsid w:val="232C658A"/>
    <w:rsid w:val="234D3B4A"/>
    <w:rsid w:val="237E701E"/>
    <w:rsid w:val="238542A1"/>
    <w:rsid w:val="239A3CA8"/>
    <w:rsid w:val="23B22382"/>
    <w:rsid w:val="23BE44FD"/>
    <w:rsid w:val="23CE6E5A"/>
    <w:rsid w:val="23E25807"/>
    <w:rsid w:val="23E437D5"/>
    <w:rsid w:val="24086C11"/>
    <w:rsid w:val="2411293C"/>
    <w:rsid w:val="241852DF"/>
    <w:rsid w:val="241A3A21"/>
    <w:rsid w:val="241F3CDF"/>
    <w:rsid w:val="24233462"/>
    <w:rsid w:val="24363F1B"/>
    <w:rsid w:val="24391CE1"/>
    <w:rsid w:val="244035B8"/>
    <w:rsid w:val="24481433"/>
    <w:rsid w:val="245116AB"/>
    <w:rsid w:val="24584DB2"/>
    <w:rsid w:val="245E41F0"/>
    <w:rsid w:val="24606CB0"/>
    <w:rsid w:val="24664AE7"/>
    <w:rsid w:val="2467651A"/>
    <w:rsid w:val="24687E49"/>
    <w:rsid w:val="246C64C0"/>
    <w:rsid w:val="247B0496"/>
    <w:rsid w:val="24847511"/>
    <w:rsid w:val="248B0A0A"/>
    <w:rsid w:val="249875C6"/>
    <w:rsid w:val="249A5C74"/>
    <w:rsid w:val="24B06A9F"/>
    <w:rsid w:val="24CA06A9"/>
    <w:rsid w:val="24D82CBC"/>
    <w:rsid w:val="24ED4424"/>
    <w:rsid w:val="24F37F9C"/>
    <w:rsid w:val="24FB6DCE"/>
    <w:rsid w:val="24FD356D"/>
    <w:rsid w:val="2502405C"/>
    <w:rsid w:val="25067DE0"/>
    <w:rsid w:val="2513162C"/>
    <w:rsid w:val="25192080"/>
    <w:rsid w:val="253446B7"/>
    <w:rsid w:val="254076CF"/>
    <w:rsid w:val="2557537C"/>
    <w:rsid w:val="255C471B"/>
    <w:rsid w:val="25616BBF"/>
    <w:rsid w:val="256531D7"/>
    <w:rsid w:val="2570278E"/>
    <w:rsid w:val="257236CB"/>
    <w:rsid w:val="2590399C"/>
    <w:rsid w:val="25971A0B"/>
    <w:rsid w:val="25A33251"/>
    <w:rsid w:val="25B1191C"/>
    <w:rsid w:val="25B51EC6"/>
    <w:rsid w:val="25B75C84"/>
    <w:rsid w:val="25EE2C4A"/>
    <w:rsid w:val="260E7644"/>
    <w:rsid w:val="26163834"/>
    <w:rsid w:val="262A4328"/>
    <w:rsid w:val="26337FD8"/>
    <w:rsid w:val="263A2B19"/>
    <w:rsid w:val="2646233B"/>
    <w:rsid w:val="266C19D0"/>
    <w:rsid w:val="267363CF"/>
    <w:rsid w:val="267F4761"/>
    <w:rsid w:val="26851A46"/>
    <w:rsid w:val="26867B82"/>
    <w:rsid w:val="269413BF"/>
    <w:rsid w:val="26A518AD"/>
    <w:rsid w:val="26AA79BC"/>
    <w:rsid w:val="26AD2A34"/>
    <w:rsid w:val="26B95B1B"/>
    <w:rsid w:val="26BE25F2"/>
    <w:rsid w:val="26BF27F7"/>
    <w:rsid w:val="26C47091"/>
    <w:rsid w:val="26E518DC"/>
    <w:rsid w:val="26E958F5"/>
    <w:rsid w:val="26EC2FFC"/>
    <w:rsid w:val="26F1109E"/>
    <w:rsid w:val="26FF5E74"/>
    <w:rsid w:val="27097CDA"/>
    <w:rsid w:val="271D431B"/>
    <w:rsid w:val="272345DF"/>
    <w:rsid w:val="272A1D34"/>
    <w:rsid w:val="27516288"/>
    <w:rsid w:val="275925AA"/>
    <w:rsid w:val="275A11E3"/>
    <w:rsid w:val="276B2707"/>
    <w:rsid w:val="277103C0"/>
    <w:rsid w:val="2771694F"/>
    <w:rsid w:val="278358FA"/>
    <w:rsid w:val="27947957"/>
    <w:rsid w:val="27A119B1"/>
    <w:rsid w:val="27A97CF8"/>
    <w:rsid w:val="27AF09BC"/>
    <w:rsid w:val="27B56173"/>
    <w:rsid w:val="27C10B43"/>
    <w:rsid w:val="27C13E9C"/>
    <w:rsid w:val="27C71FA3"/>
    <w:rsid w:val="27DD56F4"/>
    <w:rsid w:val="27F36F1C"/>
    <w:rsid w:val="280846C0"/>
    <w:rsid w:val="28136431"/>
    <w:rsid w:val="281E4910"/>
    <w:rsid w:val="28224410"/>
    <w:rsid w:val="283B7A7D"/>
    <w:rsid w:val="284649FA"/>
    <w:rsid w:val="28465B74"/>
    <w:rsid w:val="284773A8"/>
    <w:rsid w:val="285647FF"/>
    <w:rsid w:val="28684F0D"/>
    <w:rsid w:val="287620FF"/>
    <w:rsid w:val="28854813"/>
    <w:rsid w:val="28A63EDD"/>
    <w:rsid w:val="28BC231A"/>
    <w:rsid w:val="28BE7CAE"/>
    <w:rsid w:val="28C87B17"/>
    <w:rsid w:val="28C9475C"/>
    <w:rsid w:val="28D930C3"/>
    <w:rsid w:val="28F572B9"/>
    <w:rsid w:val="290019C4"/>
    <w:rsid w:val="29020E5D"/>
    <w:rsid w:val="292566CE"/>
    <w:rsid w:val="29282E07"/>
    <w:rsid w:val="2934098E"/>
    <w:rsid w:val="29417386"/>
    <w:rsid w:val="29440ED4"/>
    <w:rsid w:val="295655B0"/>
    <w:rsid w:val="29616389"/>
    <w:rsid w:val="29626662"/>
    <w:rsid w:val="297D495B"/>
    <w:rsid w:val="29813078"/>
    <w:rsid w:val="298535C9"/>
    <w:rsid w:val="29981401"/>
    <w:rsid w:val="29A70130"/>
    <w:rsid w:val="29A7529F"/>
    <w:rsid w:val="29A81736"/>
    <w:rsid w:val="29B47699"/>
    <w:rsid w:val="29B747A7"/>
    <w:rsid w:val="29C01243"/>
    <w:rsid w:val="29C677B2"/>
    <w:rsid w:val="29D55795"/>
    <w:rsid w:val="29DF0385"/>
    <w:rsid w:val="29E2405B"/>
    <w:rsid w:val="29F10A52"/>
    <w:rsid w:val="29F60B87"/>
    <w:rsid w:val="29FB7DF6"/>
    <w:rsid w:val="29FF6627"/>
    <w:rsid w:val="2A165BA7"/>
    <w:rsid w:val="2A4F2EDA"/>
    <w:rsid w:val="2A7942C6"/>
    <w:rsid w:val="2A8D4B42"/>
    <w:rsid w:val="2A986BD8"/>
    <w:rsid w:val="2AA3003E"/>
    <w:rsid w:val="2AA334A5"/>
    <w:rsid w:val="2AA63B9E"/>
    <w:rsid w:val="2AAC784A"/>
    <w:rsid w:val="2AB53267"/>
    <w:rsid w:val="2AD34E57"/>
    <w:rsid w:val="2AD823A4"/>
    <w:rsid w:val="2AD831CD"/>
    <w:rsid w:val="2ADB048C"/>
    <w:rsid w:val="2AE420E8"/>
    <w:rsid w:val="2AEC0E79"/>
    <w:rsid w:val="2AF624A3"/>
    <w:rsid w:val="2AF72DE5"/>
    <w:rsid w:val="2B2F4C39"/>
    <w:rsid w:val="2B481C78"/>
    <w:rsid w:val="2B4D2BE7"/>
    <w:rsid w:val="2B55368F"/>
    <w:rsid w:val="2B6B5CDD"/>
    <w:rsid w:val="2B7E0112"/>
    <w:rsid w:val="2B7F3DD1"/>
    <w:rsid w:val="2B801F41"/>
    <w:rsid w:val="2B8F3CCD"/>
    <w:rsid w:val="2BA5613D"/>
    <w:rsid w:val="2BAC0D09"/>
    <w:rsid w:val="2BB335A3"/>
    <w:rsid w:val="2BC96B7D"/>
    <w:rsid w:val="2BE402D4"/>
    <w:rsid w:val="2BF248FA"/>
    <w:rsid w:val="2BFB0CD3"/>
    <w:rsid w:val="2C074661"/>
    <w:rsid w:val="2C1A74D9"/>
    <w:rsid w:val="2C212484"/>
    <w:rsid w:val="2C2A4700"/>
    <w:rsid w:val="2C2E7855"/>
    <w:rsid w:val="2C322341"/>
    <w:rsid w:val="2C350FE0"/>
    <w:rsid w:val="2C3F6D3F"/>
    <w:rsid w:val="2C5A2F4D"/>
    <w:rsid w:val="2C5A742F"/>
    <w:rsid w:val="2C5C3CE1"/>
    <w:rsid w:val="2C645852"/>
    <w:rsid w:val="2C6D35A9"/>
    <w:rsid w:val="2C772D27"/>
    <w:rsid w:val="2C881E2E"/>
    <w:rsid w:val="2C9B67E9"/>
    <w:rsid w:val="2C9E74D8"/>
    <w:rsid w:val="2CA34BEA"/>
    <w:rsid w:val="2CBB7D02"/>
    <w:rsid w:val="2CE12B4F"/>
    <w:rsid w:val="2CF20FA6"/>
    <w:rsid w:val="2D026C53"/>
    <w:rsid w:val="2D0C21CF"/>
    <w:rsid w:val="2D0E45C2"/>
    <w:rsid w:val="2D1139B9"/>
    <w:rsid w:val="2D1A3B6A"/>
    <w:rsid w:val="2D1F454A"/>
    <w:rsid w:val="2D2150D6"/>
    <w:rsid w:val="2D3439D6"/>
    <w:rsid w:val="2D3D32F5"/>
    <w:rsid w:val="2D3F3A8B"/>
    <w:rsid w:val="2D454E76"/>
    <w:rsid w:val="2D615BE4"/>
    <w:rsid w:val="2D636AF5"/>
    <w:rsid w:val="2D7044B4"/>
    <w:rsid w:val="2D8F4AB8"/>
    <w:rsid w:val="2DA21EA1"/>
    <w:rsid w:val="2DAD69B2"/>
    <w:rsid w:val="2DBE749E"/>
    <w:rsid w:val="2DBF3B1B"/>
    <w:rsid w:val="2DBF7571"/>
    <w:rsid w:val="2DD22F0F"/>
    <w:rsid w:val="2DE8396B"/>
    <w:rsid w:val="2DF94953"/>
    <w:rsid w:val="2E081989"/>
    <w:rsid w:val="2E1A329A"/>
    <w:rsid w:val="2E1C7ABC"/>
    <w:rsid w:val="2E247DC4"/>
    <w:rsid w:val="2E283AD1"/>
    <w:rsid w:val="2E303CCC"/>
    <w:rsid w:val="2E510179"/>
    <w:rsid w:val="2E603BE3"/>
    <w:rsid w:val="2E636EC6"/>
    <w:rsid w:val="2E654728"/>
    <w:rsid w:val="2E670FC3"/>
    <w:rsid w:val="2E7C5A84"/>
    <w:rsid w:val="2E7E5A29"/>
    <w:rsid w:val="2E8B1CCB"/>
    <w:rsid w:val="2E960529"/>
    <w:rsid w:val="2E9961DD"/>
    <w:rsid w:val="2E9A69D6"/>
    <w:rsid w:val="2E9F507C"/>
    <w:rsid w:val="2EA7115F"/>
    <w:rsid w:val="2EA84CE6"/>
    <w:rsid w:val="2EC3249E"/>
    <w:rsid w:val="2ECA512F"/>
    <w:rsid w:val="2EEA1427"/>
    <w:rsid w:val="2EEA6117"/>
    <w:rsid w:val="2EF04E5B"/>
    <w:rsid w:val="2EF62C75"/>
    <w:rsid w:val="2F1029F8"/>
    <w:rsid w:val="2F141F89"/>
    <w:rsid w:val="2F1B486A"/>
    <w:rsid w:val="2F2C337C"/>
    <w:rsid w:val="2F355C76"/>
    <w:rsid w:val="2F5C5F34"/>
    <w:rsid w:val="2F5E6496"/>
    <w:rsid w:val="2F60151D"/>
    <w:rsid w:val="2F682335"/>
    <w:rsid w:val="2F6D5A3C"/>
    <w:rsid w:val="2F741649"/>
    <w:rsid w:val="2F7D08D9"/>
    <w:rsid w:val="2F8072E9"/>
    <w:rsid w:val="2F83221C"/>
    <w:rsid w:val="2F8C4CEB"/>
    <w:rsid w:val="2F8D1381"/>
    <w:rsid w:val="2F923213"/>
    <w:rsid w:val="2F9D27DA"/>
    <w:rsid w:val="2F9E68A9"/>
    <w:rsid w:val="2FBC0D9E"/>
    <w:rsid w:val="2FC130F0"/>
    <w:rsid w:val="2FC4272B"/>
    <w:rsid w:val="2FC6093D"/>
    <w:rsid w:val="2FCC7DC0"/>
    <w:rsid w:val="2FDB4C74"/>
    <w:rsid w:val="2FDE3231"/>
    <w:rsid w:val="2FFA2F6C"/>
    <w:rsid w:val="301C77B0"/>
    <w:rsid w:val="303B284A"/>
    <w:rsid w:val="3042208A"/>
    <w:rsid w:val="30557B0B"/>
    <w:rsid w:val="30566361"/>
    <w:rsid w:val="30584C78"/>
    <w:rsid w:val="30585D46"/>
    <w:rsid w:val="307B7D4D"/>
    <w:rsid w:val="30823C67"/>
    <w:rsid w:val="308E19CD"/>
    <w:rsid w:val="309077CC"/>
    <w:rsid w:val="3093380E"/>
    <w:rsid w:val="309B309B"/>
    <w:rsid w:val="30AB331F"/>
    <w:rsid w:val="30B03672"/>
    <w:rsid w:val="30B53549"/>
    <w:rsid w:val="30CF31B4"/>
    <w:rsid w:val="30D02F40"/>
    <w:rsid w:val="30D759B3"/>
    <w:rsid w:val="30DC3EC6"/>
    <w:rsid w:val="30DC4FD1"/>
    <w:rsid w:val="30E51999"/>
    <w:rsid w:val="30EB64A6"/>
    <w:rsid w:val="310B18A2"/>
    <w:rsid w:val="312B7A0F"/>
    <w:rsid w:val="3136575C"/>
    <w:rsid w:val="31375346"/>
    <w:rsid w:val="31715155"/>
    <w:rsid w:val="31B11872"/>
    <w:rsid w:val="31B4109A"/>
    <w:rsid w:val="31B43630"/>
    <w:rsid w:val="31BF043B"/>
    <w:rsid w:val="31D137B0"/>
    <w:rsid w:val="31D7112C"/>
    <w:rsid w:val="31DB2EC0"/>
    <w:rsid w:val="31DC6A94"/>
    <w:rsid w:val="31DF1754"/>
    <w:rsid w:val="31E114D6"/>
    <w:rsid w:val="31E1370A"/>
    <w:rsid w:val="31E54160"/>
    <w:rsid w:val="31EB0DD1"/>
    <w:rsid w:val="31EC4925"/>
    <w:rsid w:val="31EC6879"/>
    <w:rsid w:val="31F76FD8"/>
    <w:rsid w:val="31F87945"/>
    <w:rsid w:val="31F92699"/>
    <w:rsid w:val="32013EC7"/>
    <w:rsid w:val="32143237"/>
    <w:rsid w:val="321433E8"/>
    <w:rsid w:val="321845BB"/>
    <w:rsid w:val="324B1413"/>
    <w:rsid w:val="326D2DC0"/>
    <w:rsid w:val="326D73B5"/>
    <w:rsid w:val="32857EE4"/>
    <w:rsid w:val="328E5E0F"/>
    <w:rsid w:val="3294206D"/>
    <w:rsid w:val="32E828CD"/>
    <w:rsid w:val="32EA244F"/>
    <w:rsid w:val="32F54329"/>
    <w:rsid w:val="330040CA"/>
    <w:rsid w:val="3306514F"/>
    <w:rsid w:val="330C742E"/>
    <w:rsid w:val="331D64AC"/>
    <w:rsid w:val="33211CAA"/>
    <w:rsid w:val="33217855"/>
    <w:rsid w:val="3324646C"/>
    <w:rsid w:val="332529F8"/>
    <w:rsid w:val="33374CAF"/>
    <w:rsid w:val="333C0FB6"/>
    <w:rsid w:val="3341143D"/>
    <w:rsid w:val="33411C4E"/>
    <w:rsid w:val="33475D62"/>
    <w:rsid w:val="334F1B90"/>
    <w:rsid w:val="33522E93"/>
    <w:rsid w:val="335F3675"/>
    <w:rsid w:val="33611BD1"/>
    <w:rsid w:val="337F7FA5"/>
    <w:rsid w:val="33A262DB"/>
    <w:rsid w:val="33A35C47"/>
    <w:rsid w:val="33AE18C0"/>
    <w:rsid w:val="33C3641B"/>
    <w:rsid w:val="33CE69B4"/>
    <w:rsid w:val="33D41134"/>
    <w:rsid w:val="33D56F7D"/>
    <w:rsid w:val="33DC5263"/>
    <w:rsid w:val="33E05725"/>
    <w:rsid w:val="33E6499E"/>
    <w:rsid w:val="33E93F51"/>
    <w:rsid w:val="33E96FEA"/>
    <w:rsid w:val="33F874BC"/>
    <w:rsid w:val="34010657"/>
    <w:rsid w:val="34053E93"/>
    <w:rsid w:val="340628A2"/>
    <w:rsid w:val="341A0D94"/>
    <w:rsid w:val="341E2E6B"/>
    <w:rsid w:val="34255C1B"/>
    <w:rsid w:val="34273A5F"/>
    <w:rsid w:val="34293BB5"/>
    <w:rsid w:val="342F1EFD"/>
    <w:rsid w:val="34307A8C"/>
    <w:rsid w:val="344D741B"/>
    <w:rsid w:val="34541118"/>
    <w:rsid w:val="345E4EA0"/>
    <w:rsid w:val="346B624F"/>
    <w:rsid w:val="3472618B"/>
    <w:rsid w:val="347C5D33"/>
    <w:rsid w:val="34845BD4"/>
    <w:rsid w:val="34880942"/>
    <w:rsid w:val="348846EE"/>
    <w:rsid w:val="348E5837"/>
    <w:rsid w:val="348F35D5"/>
    <w:rsid w:val="349E2A62"/>
    <w:rsid w:val="34B84352"/>
    <w:rsid w:val="34BB223F"/>
    <w:rsid w:val="34BF38E1"/>
    <w:rsid w:val="34C11E54"/>
    <w:rsid w:val="34CF51BC"/>
    <w:rsid w:val="34DC319C"/>
    <w:rsid w:val="34ED7205"/>
    <w:rsid w:val="34F57B33"/>
    <w:rsid w:val="34FC6790"/>
    <w:rsid w:val="35035219"/>
    <w:rsid w:val="35117453"/>
    <w:rsid w:val="35125612"/>
    <w:rsid w:val="35221E22"/>
    <w:rsid w:val="3526134C"/>
    <w:rsid w:val="352B2109"/>
    <w:rsid w:val="353423F5"/>
    <w:rsid w:val="35393E80"/>
    <w:rsid w:val="353F577F"/>
    <w:rsid w:val="3543088E"/>
    <w:rsid w:val="354E43D9"/>
    <w:rsid w:val="35507015"/>
    <w:rsid w:val="35576A15"/>
    <w:rsid w:val="355A0659"/>
    <w:rsid w:val="355A5871"/>
    <w:rsid w:val="355D7896"/>
    <w:rsid w:val="35644555"/>
    <w:rsid w:val="35702343"/>
    <w:rsid w:val="35787178"/>
    <w:rsid w:val="35882071"/>
    <w:rsid w:val="358C6FBE"/>
    <w:rsid w:val="358E07BA"/>
    <w:rsid w:val="35A27BEF"/>
    <w:rsid w:val="35A466AF"/>
    <w:rsid w:val="35D06FED"/>
    <w:rsid w:val="35D551E8"/>
    <w:rsid w:val="35E474E4"/>
    <w:rsid w:val="35EB5EAD"/>
    <w:rsid w:val="35F83971"/>
    <w:rsid w:val="35FB54C3"/>
    <w:rsid w:val="35FB6CE9"/>
    <w:rsid w:val="360A53DE"/>
    <w:rsid w:val="3614585D"/>
    <w:rsid w:val="361E262A"/>
    <w:rsid w:val="36273B25"/>
    <w:rsid w:val="36382D3C"/>
    <w:rsid w:val="366351B7"/>
    <w:rsid w:val="36922D0E"/>
    <w:rsid w:val="369375F3"/>
    <w:rsid w:val="36A53981"/>
    <w:rsid w:val="36B25270"/>
    <w:rsid w:val="36BF0FAA"/>
    <w:rsid w:val="36D373DA"/>
    <w:rsid w:val="36DE3E09"/>
    <w:rsid w:val="36E21284"/>
    <w:rsid w:val="36E44A34"/>
    <w:rsid w:val="36EA3363"/>
    <w:rsid w:val="36EB5453"/>
    <w:rsid w:val="36EF2C23"/>
    <w:rsid w:val="36F204CB"/>
    <w:rsid w:val="36F43641"/>
    <w:rsid w:val="36FA3D32"/>
    <w:rsid w:val="371C047D"/>
    <w:rsid w:val="3722774F"/>
    <w:rsid w:val="37257FAC"/>
    <w:rsid w:val="37346DBB"/>
    <w:rsid w:val="373B447F"/>
    <w:rsid w:val="374207B5"/>
    <w:rsid w:val="374A1DEC"/>
    <w:rsid w:val="3755129C"/>
    <w:rsid w:val="37572AA4"/>
    <w:rsid w:val="3765478F"/>
    <w:rsid w:val="376C5DFE"/>
    <w:rsid w:val="379F45F4"/>
    <w:rsid w:val="37A153EB"/>
    <w:rsid w:val="37B84BF9"/>
    <w:rsid w:val="37B903A5"/>
    <w:rsid w:val="37BA37B4"/>
    <w:rsid w:val="37DA6436"/>
    <w:rsid w:val="37DB5E0B"/>
    <w:rsid w:val="37DC64F5"/>
    <w:rsid w:val="37DE031E"/>
    <w:rsid w:val="37E00C61"/>
    <w:rsid w:val="38004B42"/>
    <w:rsid w:val="380B3947"/>
    <w:rsid w:val="381B00C3"/>
    <w:rsid w:val="38301171"/>
    <w:rsid w:val="38593F86"/>
    <w:rsid w:val="385D458D"/>
    <w:rsid w:val="38674C1D"/>
    <w:rsid w:val="386A25B7"/>
    <w:rsid w:val="3871666D"/>
    <w:rsid w:val="387A39FC"/>
    <w:rsid w:val="3881242F"/>
    <w:rsid w:val="388261BF"/>
    <w:rsid w:val="389C0E94"/>
    <w:rsid w:val="38A13378"/>
    <w:rsid w:val="38A34DF9"/>
    <w:rsid w:val="38B13DDA"/>
    <w:rsid w:val="38BF3C7D"/>
    <w:rsid w:val="38C2187B"/>
    <w:rsid w:val="390202CC"/>
    <w:rsid w:val="392446FC"/>
    <w:rsid w:val="393609C7"/>
    <w:rsid w:val="394433FF"/>
    <w:rsid w:val="39476DD7"/>
    <w:rsid w:val="394C05E1"/>
    <w:rsid w:val="394D6C61"/>
    <w:rsid w:val="39641582"/>
    <w:rsid w:val="3991747D"/>
    <w:rsid w:val="39C43D3B"/>
    <w:rsid w:val="39C53E36"/>
    <w:rsid w:val="39C70836"/>
    <w:rsid w:val="39C96B13"/>
    <w:rsid w:val="39CC096D"/>
    <w:rsid w:val="39CD16C1"/>
    <w:rsid w:val="39CD3273"/>
    <w:rsid w:val="3A05404A"/>
    <w:rsid w:val="3A1006D3"/>
    <w:rsid w:val="3A1026D6"/>
    <w:rsid w:val="3A114510"/>
    <w:rsid w:val="3A167910"/>
    <w:rsid w:val="3A1C1DEF"/>
    <w:rsid w:val="3A5D6331"/>
    <w:rsid w:val="3A5E29BF"/>
    <w:rsid w:val="3A7D0B40"/>
    <w:rsid w:val="3A845A98"/>
    <w:rsid w:val="3A8657E8"/>
    <w:rsid w:val="3A8E2395"/>
    <w:rsid w:val="3AAE328E"/>
    <w:rsid w:val="3AB11556"/>
    <w:rsid w:val="3AB33BAD"/>
    <w:rsid w:val="3ABB219A"/>
    <w:rsid w:val="3AD9165F"/>
    <w:rsid w:val="3ADF0F06"/>
    <w:rsid w:val="3AE3025B"/>
    <w:rsid w:val="3AF31EC1"/>
    <w:rsid w:val="3AF5505C"/>
    <w:rsid w:val="3AFC0CFA"/>
    <w:rsid w:val="3AFE03BB"/>
    <w:rsid w:val="3B087CEB"/>
    <w:rsid w:val="3B092A0E"/>
    <w:rsid w:val="3B133A8B"/>
    <w:rsid w:val="3B197F54"/>
    <w:rsid w:val="3B252178"/>
    <w:rsid w:val="3B325246"/>
    <w:rsid w:val="3B533CAE"/>
    <w:rsid w:val="3B55413C"/>
    <w:rsid w:val="3B5F582F"/>
    <w:rsid w:val="3B6824A5"/>
    <w:rsid w:val="3B692C7E"/>
    <w:rsid w:val="3B6E6BC1"/>
    <w:rsid w:val="3B7D45C2"/>
    <w:rsid w:val="3B8659E3"/>
    <w:rsid w:val="3B87235C"/>
    <w:rsid w:val="3B98454D"/>
    <w:rsid w:val="3B9A1C49"/>
    <w:rsid w:val="3B9C3B99"/>
    <w:rsid w:val="3B9C6F2A"/>
    <w:rsid w:val="3B9D54D5"/>
    <w:rsid w:val="3B9F0FBF"/>
    <w:rsid w:val="3BAD63AD"/>
    <w:rsid w:val="3BAD682D"/>
    <w:rsid w:val="3BB93D94"/>
    <w:rsid w:val="3BC07FF1"/>
    <w:rsid w:val="3BD050FB"/>
    <w:rsid w:val="3BD056A0"/>
    <w:rsid w:val="3BD8495B"/>
    <w:rsid w:val="3BE95D13"/>
    <w:rsid w:val="3BF77745"/>
    <w:rsid w:val="3C215718"/>
    <w:rsid w:val="3C3251AC"/>
    <w:rsid w:val="3C412EBF"/>
    <w:rsid w:val="3C4332EB"/>
    <w:rsid w:val="3C6356B8"/>
    <w:rsid w:val="3C684A30"/>
    <w:rsid w:val="3C6B1BB1"/>
    <w:rsid w:val="3C7C6F73"/>
    <w:rsid w:val="3C8A053E"/>
    <w:rsid w:val="3C913ACE"/>
    <w:rsid w:val="3C9A6A10"/>
    <w:rsid w:val="3CCE5A76"/>
    <w:rsid w:val="3CED3960"/>
    <w:rsid w:val="3CF90C98"/>
    <w:rsid w:val="3D0C59B0"/>
    <w:rsid w:val="3D0E3787"/>
    <w:rsid w:val="3D250B3C"/>
    <w:rsid w:val="3D307E8A"/>
    <w:rsid w:val="3D34196A"/>
    <w:rsid w:val="3D376464"/>
    <w:rsid w:val="3D404942"/>
    <w:rsid w:val="3D4933CC"/>
    <w:rsid w:val="3D4951BA"/>
    <w:rsid w:val="3D4F2347"/>
    <w:rsid w:val="3D561B53"/>
    <w:rsid w:val="3D592478"/>
    <w:rsid w:val="3D62240D"/>
    <w:rsid w:val="3D810DB9"/>
    <w:rsid w:val="3D8275B2"/>
    <w:rsid w:val="3D862DF2"/>
    <w:rsid w:val="3DA301A1"/>
    <w:rsid w:val="3DAB6471"/>
    <w:rsid w:val="3DAF151D"/>
    <w:rsid w:val="3DB2156C"/>
    <w:rsid w:val="3DB95279"/>
    <w:rsid w:val="3DC559A7"/>
    <w:rsid w:val="3DC772CD"/>
    <w:rsid w:val="3DDC1B26"/>
    <w:rsid w:val="3DDE0975"/>
    <w:rsid w:val="3DE05674"/>
    <w:rsid w:val="3DE66F40"/>
    <w:rsid w:val="3DFA7A49"/>
    <w:rsid w:val="3E0A4BCF"/>
    <w:rsid w:val="3E2C430E"/>
    <w:rsid w:val="3E304B51"/>
    <w:rsid w:val="3E4169E8"/>
    <w:rsid w:val="3E575E6C"/>
    <w:rsid w:val="3E8008E7"/>
    <w:rsid w:val="3E851C13"/>
    <w:rsid w:val="3E913FF5"/>
    <w:rsid w:val="3EA663B5"/>
    <w:rsid w:val="3EB44A42"/>
    <w:rsid w:val="3EBD3D86"/>
    <w:rsid w:val="3EC229D9"/>
    <w:rsid w:val="3EED0186"/>
    <w:rsid w:val="3EF220F0"/>
    <w:rsid w:val="3EF95CFE"/>
    <w:rsid w:val="3F0903D3"/>
    <w:rsid w:val="3F0C2F17"/>
    <w:rsid w:val="3F130B77"/>
    <w:rsid w:val="3F1B3AB9"/>
    <w:rsid w:val="3F256724"/>
    <w:rsid w:val="3F28379C"/>
    <w:rsid w:val="3F2C503A"/>
    <w:rsid w:val="3F315E8E"/>
    <w:rsid w:val="3F3F43EE"/>
    <w:rsid w:val="3F6149B0"/>
    <w:rsid w:val="3F7D4D2B"/>
    <w:rsid w:val="3F88167B"/>
    <w:rsid w:val="3F8A283E"/>
    <w:rsid w:val="3F8D7910"/>
    <w:rsid w:val="3FA026BB"/>
    <w:rsid w:val="3FB32344"/>
    <w:rsid w:val="3FBB36BB"/>
    <w:rsid w:val="3FD10CEE"/>
    <w:rsid w:val="3FD20555"/>
    <w:rsid w:val="3FD37697"/>
    <w:rsid w:val="3FDA363B"/>
    <w:rsid w:val="3FDC6BF4"/>
    <w:rsid w:val="3FEC1430"/>
    <w:rsid w:val="40060D13"/>
    <w:rsid w:val="40281E76"/>
    <w:rsid w:val="402E424C"/>
    <w:rsid w:val="40411AA2"/>
    <w:rsid w:val="4057472E"/>
    <w:rsid w:val="4061293A"/>
    <w:rsid w:val="4063577A"/>
    <w:rsid w:val="407225AB"/>
    <w:rsid w:val="407277F8"/>
    <w:rsid w:val="407E7AAC"/>
    <w:rsid w:val="4087642C"/>
    <w:rsid w:val="408A112F"/>
    <w:rsid w:val="408D467F"/>
    <w:rsid w:val="40944238"/>
    <w:rsid w:val="409D46C3"/>
    <w:rsid w:val="40AA63C3"/>
    <w:rsid w:val="40C8074A"/>
    <w:rsid w:val="40D86794"/>
    <w:rsid w:val="40E5042C"/>
    <w:rsid w:val="40E945FB"/>
    <w:rsid w:val="40EB195E"/>
    <w:rsid w:val="40EF7C0F"/>
    <w:rsid w:val="40F17817"/>
    <w:rsid w:val="410C23C5"/>
    <w:rsid w:val="411422CB"/>
    <w:rsid w:val="41182E1B"/>
    <w:rsid w:val="411E701E"/>
    <w:rsid w:val="412427A4"/>
    <w:rsid w:val="4124503B"/>
    <w:rsid w:val="412A707D"/>
    <w:rsid w:val="412E2D3C"/>
    <w:rsid w:val="41374F08"/>
    <w:rsid w:val="41387590"/>
    <w:rsid w:val="414B571F"/>
    <w:rsid w:val="4159647F"/>
    <w:rsid w:val="415E5A8C"/>
    <w:rsid w:val="415F0D85"/>
    <w:rsid w:val="417674AA"/>
    <w:rsid w:val="417B69D7"/>
    <w:rsid w:val="419866A5"/>
    <w:rsid w:val="41E46968"/>
    <w:rsid w:val="41F46E66"/>
    <w:rsid w:val="42043DBE"/>
    <w:rsid w:val="420A71D8"/>
    <w:rsid w:val="420B1992"/>
    <w:rsid w:val="421775B2"/>
    <w:rsid w:val="423937AC"/>
    <w:rsid w:val="424D6907"/>
    <w:rsid w:val="42513225"/>
    <w:rsid w:val="426263D1"/>
    <w:rsid w:val="426A3540"/>
    <w:rsid w:val="429126F3"/>
    <w:rsid w:val="429135E3"/>
    <w:rsid w:val="42A0764C"/>
    <w:rsid w:val="42B248EA"/>
    <w:rsid w:val="42BC66F9"/>
    <w:rsid w:val="42BC7A9A"/>
    <w:rsid w:val="42D639CA"/>
    <w:rsid w:val="42D74529"/>
    <w:rsid w:val="42E75CBA"/>
    <w:rsid w:val="42F32A4B"/>
    <w:rsid w:val="42F351E2"/>
    <w:rsid w:val="42F7522D"/>
    <w:rsid w:val="42F85691"/>
    <w:rsid w:val="430B1C5D"/>
    <w:rsid w:val="43237B27"/>
    <w:rsid w:val="432F2387"/>
    <w:rsid w:val="43395E54"/>
    <w:rsid w:val="434274E1"/>
    <w:rsid w:val="43463770"/>
    <w:rsid w:val="43485154"/>
    <w:rsid w:val="43617F55"/>
    <w:rsid w:val="4368507C"/>
    <w:rsid w:val="4369132D"/>
    <w:rsid w:val="436D1DBC"/>
    <w:rsid w:val="43902BA5"/>
    <w:rsid w:val="43952669"/>
    <w:rsid w:val="43961DA2"/>
    <w:rsid w:val="43AF12C8"/>
    <w:rsid w:val="43B00283"/>
    <w:rsid w:val="43B17DB3"/>
    <w:rsid w:val="43FD2596"/>
    <w:rsid w:val="441247F9"/>
    <w:rsid w:val="44136CDF"/>
    <w:rsid w:val="4414441F"/>
    <w:rsid w:val="441A13BF"/>
    <w:rsid w:val="4431044D"/>
    <w:rsid w:val="443D58AA"/>
    <w:rsid w:val="443F2B47"/>
    <w:rsid w:val="445523A3"/>
    <w:rsid w:val="44573113"/>
    <w:rsid w:val="4458321B"/>
    <w:rsid w:val="445D1F07"/>
    <w:rsid w:val="44727628"/>
    <w:rsid w:val="44827FFC"/>
    <w:rsid w:val="448D3B3E"/>
    <w:rsid w:val="44995A5B"/>
    <w:rsid w:val="44A55E41"/>
    <w:rsid w:val="44A83B96"/>
    <w:rsid w:val="44B07A8E"/>
    <w:rsid w:val="44B1122F"/>
    <w:rsid w:val="44B23B0D"/>
    <w:rsid w:val="44BF79FE"/>
    <w:rsid w:val="44C87C04"/>
    <w:rsid w:val="44CF46A1"/>
    <w:rsid w:val="44D93181"/>
    <w:rsid w:val="44E649E8"/>
    <w:rsid w:val="44F52317"/>
    <w:rsid w:val="450273AB"/>
    <w:rsid w:val="450D7F79"/>
    <w:rsid w:val="45295FA2"/>
    <w:rsid w:val="458A1589"/>
    <w:rsid w:val="45941843"/>
    <w:rsid w:val="45B33991"/>
    <w:rsid w:val="45C5056E"/>
    <w:rsid w:val="45EA04F0"/>
    <w:rsid w:val="45EC4018"/>
    <w:rsid w:val="45F34EE7"/>
    <w:rsid w:val="45F45440"/>
    <w:rsid w:val="45F60B9E"/>
    <w:rsid w:val="45FC1BC0"/>
    <w:rsid w:val="461E4763"/>
    <w:rsid w:val="461F6298"/>
    <w:rsid w:val="46312A9D"/>
    <w:rsid w:val="46384F50"/>
    <w:rsid w:val="46396428"/>
    <w:rsid w:val="464B2562"/>
    <w:rsid w:val="464E4426"/>
    <w:rsid w:val="464E6802"/>
    <w:rsid w:val="464F631F"/>
    <w:rsid w:val="465E3B97"/>
    <w:rsid w:val="46604F53"/>
    <w:rsid w:val="46695357"/>
    <w:rsid w:val="466A2EF7"/>
    <w:rsid w:val="46822F1E"/>
    <w:rsid w:val="468D4B7B"/>
    <w:rsid w:val="469F53DA"/>
    <w:rsid w:val="46B27991"/>
    <w:rsid w:val="46B57424"/>
    <w:rsid w:val="46BB40E8"/>
    <w:rsid w:val="46BE6962"/>
    <w:rsid w:val="46C03D73"/>
    <w:rsid w:val="46C10CD8"/>
    <w:rsid w:val="46C2526D"/>
    <w:rsid w:val="46C57DEE"/>
    <w:rsid w:val="46E4575B"/>
    <w:rsid w:val="46EA2CAC"/>
    <w:rsid w:val="470C398A"/>
    <w:rsid w:val="471227C1"/>
    <w:rsid w:val="471C5451"/>
    <w:rsid w:val="47236A78"/>
    <w:rsid w:val="473B271C"/>
    <w:rsid w:val="47654B4F"/>
    <w:rsid w:val="47662861"/>
    <w:rsid w:val="476C025B"/>
    <w:rsid w:val="47903294"/>
    <w:rsid w:val="47A07B2C"/>
    <w:rsid w:val="47AA7209"/>
    <w:rsid w:val="47BE1A2B"/>
    <w:rsid w:val="47C77BAB"/>
    <w:rsid w:val="47CB045F"/>
    <w:rsid w:val="47CD5E37"/>
    <w:rsid w:val="47DB11DA"/>
    <w:rsid w:val="47E35709"/>
    <w:rsid w:val="47E35BB8"/>
    <w:rsid w:val="47E658CD"/>
    <w:rsid w:val="47EE7A5C"/>
    <w:rsid w:val="481978E3"/>
    <w:rsid w:val="48296C9F"/>
    <w:rsid w:val="482F237E"/>
    <w:rsid w:val="483B33D4"/>
    <w:rsid w:val="483F2650"/>
    <w:rsid w:val="48424517"/>
    <w:rsid w:val="48475586"/>
    <w:rsid w:val="48497D22"/>
    <w:rsid w:val="48505C99"/>
    <w:rsid w:val="48785849"/>
    <w:rsid w:val="488221B8"/>
    <w:rsid w:val="48986283"/>
    <w:rsid w:val="489C422D"/>
    <w:rsid w:val="48AA7C7F"/>
    <w:rsid w:val="48C801AE"/>
    <w:rsid w:val="48E444E4"/>
    <w:rsid w:val="48E9046C"/>
    <w:rsid w:val="48EE62EF"/>
    <w:rsid w:val="48FD1465"/>
    <w:rsid w:val="4916192F"/>
    <w:rsid w:val="4923678B"/>
    <w:rsid w:val="492767FF"/>
    <w:rsid w:val="492869B2"/>
    <w:rsid w:val="49326CB2"/>
    <w:rsid w:val="49344CE7"/>
    <w:rsid w:val="493D748A"/>
    <w:rsid w:val="49425614"/>
    <w:rsid w:val="494723B7"/>
    <w:rsid w:val="496E485D"/>
    <w:rsid w:val="49783676"/>
    <w:rsid w:val="497D7437"/>
    <w:rsid w:val="499624EA"/>
    <w:rsid w:val="49AD1247"/>
    <w:rsid w:val="49B82DB2"/>
    <w:rsid w:val="49D722E4"/>
    <w:rsid w:val="49E87262"/>
    <w:rsid w:val="49F11B2D"/>
    <w:rsid w:val="49F35C6E"/>
    <w:rsid w:val="49F94D34"/>
    <w:rsid w:val="4A1A394A"/>
    <w:rsid w:val="4A236019"/>
    <w:rsid w:val="4A312660"/>
    <w:rsid w:val="4A34142D"/>
    <w:rsid w:val="4A3E7174"/>
    <w:rsid w:val="4A4D238F"/>
    <w:rsid w:val="4A623782"/>
    <w:rsid w:val="4A812AFE"/>
    <w:rsid w:val="4A884288"/>
    <w:rsid w:val="4A8D673A"/>
    <w:rsid w:val="4A8F7C5E"/>
    <w:rsid w:val="4AA40CB7"/>
    <w:rsid w:val="4AA97751"/>
    <w:rsid w:val="4ABC3E91"/>
    <w:rsid w:val="4AC16B6B"/>
    <w:rsid w:val="4AEA258C"/>
    <w:rsid w:val="4AEC2C30"/>
    <w:rsid w:val="4B034DA6"/>
    <w:rsid w:val="4B06492F"/>
    <w:rsid w:val="4B14075B"/>
    <w:rsid w:val="4B251C0D"/>
    <w:rsid w:val="4B4932F9"/>
    <w:rsid w:val="4B4E32F6"/>
    <w:rsid w:val="4B52050C"/>
    <w:rsid w:val="4B552805"/>
    <w:rsid w:val="4B7924C5"/>
    <w:rsid w:val="4B7C0C2F"/>
    <w:rsid w:val="4BA442B6"/>
    <w:rsid w:val="4BC261D3"/>
    <w:rsid w:val="4BC63E04"/>
    <w:rsid w:val="4BC7247C"/>
    <w:rsid w:val="4BC744C8"/>
    <w:rsid w:val="4BCF2F00"/>
    <w:rsid w:val="4BD1738D"/>
    <w:rsid w:val="4BD325FD"/>
    <w:rsid w:val="4C1A3687"/>
    <w:rsid w:val="4C280946"/>
    <w:rsid w:val="4C2A0EDB"/>
    <w:rsid w:val="4C4C3D16"/>
    <w:rsid w:val="4C5543B6"/>
    <w:rsid w:val="4C5D3F1D"/>
    <w:rsid w:val="4C832846"/>
    <w:rsid w:val="4C886D2A"/>
    <w:rsid w:val="4C886EE7"/>
    <w:rsid w:val="4C90472E"/>
    <w:rsid w:val="4C99173F"/>
    <w:rsid w:val="4C9E01ED"/>
    <w:rsid w:val="4CA66073"/>
    <w:rsid w:val="4CAF51D9"/>
    <w:rsid w:val="4CBB6C77"/>
    <w:rsid w:val="4CBE1CDB"/>
    <w:rsid w:val="4CCD06D9"/>
    <w:rsid w:val="4CED1414"/>
    <w:rsid w:val="4CF469AD"/>
    <w:rsid w:val="4CFB39ED"/>
    <w:rsid w:val="4CFF6BCF"/>
    <w:rsid w:val="4D0C4266"/>
    <w:rsid w:val="4D1160A5"/>
    <w:rsid w:val="4D133FCE"/>
    <w:rsid w:val="4D1F3406"/>
    <w:rsid w:val="4D24153B"/>
    <w:rsid w:val="4D325373"/>
    <w:rsid w:val="4D402F1A"/>
    <w:rsid w:val="4D443FCA"/>
    <w:rsid w:val="4D510E24"/>
    <w:rsid w:val="4D5612FE"/>
    <w:rsid w:val="4D5E1E93"/>
    <w:rsid w:val="4D673BD1"/>
    <w:rsid w:val="4D6F0EC5"/>
    <w:rsid w:val="4D8036DD"/>
    <w:rsid w:val="4D9E76F8"/>
    <w:rsid w:val="4DC3271B"/>
    <w:rsid w:val="4DCE1D7B"/>
    <w:rsid w:val="4DD20AEC"/>
    <w:rsid w:val="4DDA44D8"/>
    <w:rsid w:val="4DDD308B"/>
    <w:rsid w:val="4DDE5F70"/>
    <w:rsid w:val="4DFB4728"/>
    <w:rsid w:val="4E061BFC"/>
    <w:rsid w:val="4E086F89"/>
    <w:rsid w:val="4E0A52D8"/>
    <w:rsid w:val="4E1169C7"/>
    <w:rsid w:val="4E1A3E17"/>
    <w:rsid w:val="4E1A73A5"/>
    <w:rsid w:val="4E253727"/>
    <w:rsid w:val="4E366B73"/>
    <w:rsid w:val="4E4E15E7"/>
    <w:rsid w:val="4E6764B9"/>
    <w:rsid w:val="4E7D3DBD"/>
    <w:rsid w:val="4EA10A56"/>
    <w:rsid w:val="4EB82BBD"/>
    <w:rsid w:val="4EC47D87"/>
    <w:rsid w:val="4EED76A4"/>
    <w:rsid w:val="4EFD1206"/>
    <w:rsid w:val="4F155246"/>
    <w:rsid w:val="4F332796"/>
    <w:rsid w:val="4F3611E2"/>
    <w:rsid w:val="4F3E6407"/>
    <w:rsid w:val="4F483E18"/>
    <w:rsid w:val="4F500BF2"/>
    <w:rsid w:val="4F6858D6"/>
    <w:rsid w:val="4F6C0553"/>
    <w:rsid w:val="4F870705"/>
    <w:rsid w:val="4F9D6A9C"/>
    <w:rsid w:val="4FA314A8"/>
    <w:rsid w:val="4FA751A3"/>
    <w:rsid w:val="4FAC4DC9"/>
    <w:rsid w:val="4FB26128"/>
    <w:rsid w:val="4FBC29C8"/>
    <w:rsid w:val="4FBE6273"/>
    <w:rsid w:val="4FC0346F"/>
    <w:rsid w:val="4FC33611"/>
    <w:rsid w:val="4FCD42C7"/>
    <w:rsid w:val="4FDA6309"/>
    <w:rsid w:val="4FDD54EE"/>
    <w:rsid w:val="501C2EFD"/>
    <w:rsid w:val="502B0ECF"/>
    <w:rsid w:val="502F3638"/>
    <w:rsid w:val="50385FDF"/>
    <w:rsid w:val="5053241F"/>
    <w:rsid w:val="505C4663"/>
    <w:rsid w:val="50614D26"/>
    <w:rsid w:val="50641432"/>
    <w:rsid w:val="506A565F"/>
    <w:rsid w:val="508E53BE"/>
    <w:rsid w:val="508E54B0"/>
    <w:rsid w:val="50916091"/>
    <w:rsid w:val="5092104C"/>
    <w:rsid w:val="509F37AF"/>
    <w:rsid w:val="50A04F05"/>
    <w:rsid w:val="50AA728D"/>
    <w:rsid w:val="50AC273E"/>
    <w:rsid w:val="50B27408"/>
    <w:rsid w:val="50B65992"/>
    <w:rsid w:val="50C154E5"/>
    <w:rsid w:val="50CC130A"/>
    <w:rsid w:val="50E0259F"/>
    <w:rsid w:val="50E542F7"/>
    <w:rsid w:val="50F420E5"/>
    <w:rsid w:val="50F636E9"/>
    <w:rsid w:val="50FE421B"/>
    <w:rsid w:val="51056B29"/>
    <w:rsid w:val="51173796"/>
    <w:rsid w:val="51247FA4"/>
    <w:rsid w:val="513D5319"/>
    <w:rsid w:val="515B5B18"/>
    <w:rsid w:val="51681844"/>
    <w:rsid w:val="51687E6D"/>
    <w:rsid w:val="516B3EA4"/>
    <w:rsid w:val="516E1C5D"/>
    <w:rsid w:val="51713455"/>
    <w:rsid w:val="517C75ED"/>
    <w:rsid w:val="51A70EA7"/>
    <w:rsid w:val="51B710B8"/>
    <w:rsid w:val="51BB56E1"/>
    <w:rsid w:val="51CF1D43"/>
    <w:rsid w:val="51D043FC"/>
    <w:rsid w:val="51D777B1"/>
    <w:rsid w:val="51E97606"/>
    <w:rsid w:val="51F36BF9"/>
    <w:rsid w:val="51F60323"/>
    <w:rsid w:val="51FF4ECC"/>
    <w:rsid w:val="52096A14"/>
    <w:rsid w:val="521038DE"/>
    <w:rsid w:val="521A43C4"/>
    <w:rsid w:val="522D5BBF"/>
    <w:rsid w:val="522F785E"/>
    <w:rsid w:val="5239243B"/>
    <w:rsid w:val="52581404"/>
    <w:rsid w:val="526C2E48"/>
    <w:rsid w:val="527E6D10"/>
    <w:rsid w:val="528F5AC0"/>
    <w:rsid w:val="52902259"/>
    <w:rsid w:val="5292409E"/>
    <w:rsid w:val="529C57CE"/>
    <w:rsid w:val="529E14E2"/>
    <w:rsid w:val="52A4638E"/>
    <w:rsid w:val="52BB3317"/>
    <w:rsid w:val="52D23566"/>
    <w:rsid w:val="52EB1CEB"/>
    <w:rsid w:val="52FA277E"/>
    <w:rsid w:val="530578A4"/>
    <w:rsid w:val="530E66F0"/>
    <w:rsid w:val="532C2942"/>
    <w:rsid w:val="532E64A2"/>
    <w:rsid w:val="53387528"/>
    <w:rsid w:val="533E7854"/>
    <w:rsid w:val="534423F5"/>
    <w:rsid w:val="53476209"/>
    <w:rsid w:val="53543E25"/>
    <w:rsid w:val="5359231C"/>
    <w:rsid w:val="535C1D07"/>
    <w:rsid w:val="53790DAE"/>
    <w:rsid w:val="537E710D"/>
    <w:rsid w:val="538B7349"/>
    <w:rsid w:val="538E0B5E"/>
    <w:rsid w:val="53910945"/>
    <w:rsid w:val="53A11B49"/>
    <w:rsid w:val="53A763F3"/>
    <w:rsid w:val="53C35AA1"/>
    <w:rsid w:val="53D05838"/>
    <w:rsid w:val="53D81EA2"/>
    <w:rsid w:val="53ED2E94"/>
    <w:rsid w:val="53F30E79"/>
    <w:rsid w:val="53FD12E2"/>
    <w:rsid w:val="54014B2A"/>
    <w:rsid w:val="5403459A"/>
    <w:rsid w:val="540531CE"/>
    <w:rsid w:val="541E155C"/>
    <w:rsid w:val="54201052"/>
    <w:rsid w:val="54311032"/>
    <w:rsid w:val="54372C28"/>
    <w:rsid w:val="543D5D03"/>
    <w:rsid w:val="546A08BA"/>
    <w:rsid w:val="546B3058"/>
    <w:rsid w:val="546E3723"/>
    <w:rsid w:val="54887B89"/>
    <w:rsid w:val="54895CE5"/>
    <w:rsid w:val="548F5F89"/>
    <w:rsid w:val="549438F8"/>
    <w:rsid w:val="54A02B6A"/>
    <w:rsid w:val="54B403E9"/>
    <w:rsid w:val="54B41BA9"/>
    <w:rsid w:val="54F57106"/>
    <w:rsid w:val="54F74891"/>
    <w:rsid w:val="550B0DDF"/>
    <w:rsid w:val="550B7E96"/>
    <w:rsid w:val="550D339F"/>
    <w:rsid w:val="552267B7"/>
    <w:rsid w:val="5527249E"/>
    <w:rsid w:val="5529664C"/>
    <w:rsid w:val="553A037E"/>
    <w:rsid w:val="55470918"/>
    <w:rsid w:val="55474DEA"/>
    <w:rsid w:val="55514672"/>
    <w:rsid w:val="555457F1"/>
    <w:rsid w:val="55554A1B"/>
    <w:rsid w:val="55595EBE"/>
    <w:rsid w:val="55637477"/>
    <w:rsid w:val="556D2258"/>
    <w:rsid w:val="557348C7"/>
    <w:rsid w:val="558B1843"/>
    <w:rsid w:val="558D6050"/>
    <w:rsid w:val="558D6DC8"/>
    <w:rsid w:val="559920EA"/>
    <w:rsid w:val="559E0EB4"/>
    <w:rsid w:val="55AE39FA"/>
    <w:rsid w:val="55B16C6F"/>
    <w:rsid w:val="55B23BA1"/>
    <w:rsid w:val="55B43DA2"/>
    <w:rsid w:val="55B908B2"/>
    <w:rsid w:val="55BB5E14"/>
    <w:rsid w:val="55E475BB"/>
    <w:rsid w:val="55F5169A"/>
    <w:rsid w:val="56086AA1"/>
    <w:rsid w:val="560C6284"/>
    <w:rsid w:val="561363A0"/>
    <w:rsid w:val="563F004A"/>
    <w:rsid w:val="565310E4"/>
    <w:rsid w:val="56626A94"/>
    <w:rsid w:val="568C0D4E"/>
    <w:rsid w:val="569131A5"/>
    <w:rsid w:val="56B30CCD"/>
    <w:rsid w:val="56C31724"/>
    <w:rsid w:val="56C551FB"/>
    <w:rsid w:val="56E97974"/>
    <w:rsid w:val="56F67278"/>
    <w:rsid w:val="570D6B94"/>
    <w:rsid w:val="5711678C"/>
    <w:rsid w:val="571F111C"/>
    <w:rsid w:val="5737525B"/>
    <w:rsid w:val="57383EFC"/>
    <w:rsid w:val="57442466"/>
    <w:rsid w:val="574559B8"/>
    <w:rsid w:val="57576AB3"/>
    <w:rsid w:val="578355C0"/>
    <w:rsid w:val="578F2152"/>
    <w:rsid w:val="57946778"/>
    <w:rsid w:val="57992914"/>
    <w:rsid w:val="57A34C60"/>
    <w:rsid w:val="57A96867"/>
    <w:rsid w:val="57D8745B"/>
    <w:rsid w:val="57F966BB"/>
    <w:rsid w:val="58030628"/>
    <w:rsid w:val="580B0894"/>
    <w:rsid w:val="5811172F"/>
    <w:rsid w:val="581D3483"/>
    <w:rsid w:val="58256B47"/>
    <w:rsid w:val="5827110C"/>
    <w:rsid w:val="582F3A4F"/>
    <w:rsid w:val="583E7CCB"/>
    <w:rsid w:val="584C4969"/>
    <w:rsid w:val="584D2D69"/>
    <w:rsid w:val="584F17EA"/>
    <w:rsid w:val="58500BB0"/>
    <w:rsid w:val="58557DAA"/>
    <w:rsid w:val="58566648"/>
    <w:rsid w:val="587139AA"/>
    <w:rsid w:val="58792848"/>
    <w:rsid w:val="589520A0"/>
    <w:rsid w:val="589A78FA"/>
    <w:rsid w:val="589C526D"/>
    <w:rsid w:val="58A007EF"/>
    <w:rsid w:val="58A027D7"/>
    <w:rsid w:val="58AE6A1F"/>
    <w:rsid w:val="58B012C3"/>
    <w:rsid w:val="58B612C2"/>
    <w:rsid w:val="58CB6193"/>
    <w:rsid w:val="58EA6F15"/>
    <w:rsid w:val="58F22516"/>
    <w:rsid w:val="59002673"/>
    <w:rsid w:val="590F5C2C"/>
    <w:rsid w:val="591051D8"/>
    <w:rsid w:val="59172B3F"/>
    <w:rsid w:val="59204A5D"/>
    <w:rsid w:val="5922717C"/>
    <w:rsid w:val="59296D2F"/>
    <w:rsid w:val="59337343"/>
    <w:rsid w:val="594615EF"/>
    <w:rsid w:val="595A1A16"/>
    <w:rsid w:val="59663DAB"/>
    <w:rsid w:val="596C2517"/>
    <w:rsid w:val="59712F88"/>
    <w:rsid w:val="59802203"/>
    <w:rsid w:val="59856D2A"/>
    <w:rsid w:val="59953F3B"/>
    <w:rsid w:val="599A397F"/>
    <w:rsid w:val="59B7284F"/>
    <w:rsid w:val="59BD645F"/>
    <w:rsid w:val="59CB550B"/>
    <w:rsid w:val="59CC7A0A"/>
    <w:rsid w:val="59CE1BB5"/>
    <w:rsid w:val="59D514A4"/>
    <w:rsid w:val="59DE38D2"/>
    <w:rsid w:val="59EC0E0C"/>
    <w:rsid w:val="59ED630B"/>
    <w:rsid w:val="59F91B4B"/>
    <w:rsid w:val="5A1323D7"/>
    <w:rsid w:val="5A2354CE"/>
    <w:rsid w:val="5A2A0DA7"/>
    <w:rsid w:val="5A317552"/>
    <w:rsid w:val="5A4579ED"/>
    <w:rsid w:val="5A4B48BF"/>
    <w:rsid w:val="5A4F3C38"/>
    <w:rsid w:val="5A6B257E"/>
    <w:rsid w:val="5A710ABE"/>
    <w:rsid w:val="5A77673F"/>
    <w:rsid w:val="5A850A17"/>
    <w:rsid w:val="5A8531B1"/>
    <w:rsid w:val="5A8B625C"/>
    <w:rsid w:val="5AAD49AA"/>
    <w:rsid w:val="5AB42007"/>
    <w:rsid w:val="5AC73997"/>
    <w:rsid w:val="5ADB5FBC"/>
    <w:rsid w:val="5AE87379"/>
    <w:rsid w:val="5B04075E"/>
    <w:rsid w:val="5B241F2D"/>
    <w:rsid w:val="5B376949"/>
    <w:rsid w:val="5B496C04"/>
    <w:rsid w:val="5B4F1C83"/>
    <w:rsid w:val="5B5266BA"/>
    <w:rsid w:val="5B5E7109"/>
    <w:rsid w:val="5B5F61EA"/>
    <w:rsid w:val="5B605AB8"/>
    <w:rsid w:val="5B6A3DF1"/>
    <w:rsid w:val="5B703CA0"/>
    <w:rsid w:val="5B73346C"/>
    <w:rsid w:val="5B754AD3"/>
    <w:rsid w:val="5B767C59"/>
    <w:rsid w:val="5B780C12"/>
    <w:rsid w:val="5B7E0F16"/>
    <w:rsid w:val="5B81278A"/>
    <w:rsid w:val="5B9F1F30"/>
    <w:rsid w:val="5BA06311"/>
    <w:rsid w:val="5BA44695"/>
    <w:rsid w:val="5BAD279D"/>
    <w:rsid w:val="5BBC2B11"/>
    <w:rsid w:val="5BBE020B"/>
    <w:rsid w:val="5BC3047B"/>
    <w:rsid w:val="5BCA3167"/>
    <w:rsid w:val="5BCA5151"/>
    <w:rsid w:val="5BD35784"/>
    <w:rsid w:val="5BD36CF8"/>
    <w:rsid w:val="5BD40612"/>
    <w:rsid w:val="5BD64EB9"/>
    <w:rsid w:val="5BE5449F"/>
    <w:rsid w:val="5BE84CD6"/>
    <w:rsid w:val="5C0160F0"/>
    <w:rsid w:val="5C125238"/>
    <w:rsid w:val="5C1E07DE"/>
    <w:rsid w:val="5C2556A4"/>
    <w:rsid w:val="5C3D783E"/>
    <w:rsid w:val="5C4049A7"/>
    <w:rsid w:val="5C4F527C"/>
    <w:rsid w:val="5C5118D8"/>
    <w:rsid w:val="5C683C26"/>
    <w:rsid w:val="5C6E723B"/>
    <w:rsid w:val="5C710BB9"/>
    <w:rsid w:val="5C8C4A90"/>
    <w:rsid w:val="5CA202CC"/>
    <w:rsid w:val="5CA96BA2"/>
    <w:rsid w:val="5CB14C78"/>
    <w:rsid w:val="5CB21351"/>
    <w:rsid w:val="5CB902DC"/>
    <w:rsid w:val="5CBC0C08"/>
    <w:rsid w:val="5CBD547F"/>
    <w:rsid w:val="5CEF106E"/>
    <w:rsid w:val="5CF0578F"/>
    <w:rsid w:val="5CF05FCA"/>
    <w:rsid w:val="5D010095"/>
    <w:rsid w:val="5D251327"/>
    <w:rsid w:val="5D2C22E1"/>
    <w:rsid w:val="5D79274A"/>
    <w:rsid w:val="5D796A49"/>
    <w:rsid w:val="5D7F0A78"/>
    <w:rsid w:val="5D7F71A4"/>
    <w:rsid w:val="5D8E1C39"/>
    <w:rsid w:val="5D9D5FEC"/>
    <w:rsid w:val="5DA2598E"/>
    <w:rsid w:val="5DAE4B6E"/>
    <w:rsid w:val="5DB87BCF"/>
    <w:rsid w:val="5DC372E5"/>
    <w:rsid w:val="5DE0214B"/>
    <w:rsid w:val="5DE16FB4"/>
    <w:rsid w:val="5DE4292E"/>
    <w:rsid w:val="5DEA67A9"/>
    <w:rsid w:val="5DEE0183"/>
    <w:rsid w:val="5E017F9F"/>
    <w:rsid w:val="5E12622C"/>
    <w:rsid w:val="5E147C7C"/>
    <w:rsid w:val="5E1A6CA1"/>
    <w:rsid w:val="5E1C5E53"/>
    <w:rsid w:val="5E2813EF"/>
    <w:rsid w:val="5E410712"/>
    <w:rsid w:val="5E515099"/>
    <w:rsid w:val="5E5D3F0F"/>
    <w:rsid w:val="5E5E3AF5"/>
    <w:rsid w:val="5E6B75D3"/>
    <w:rsid w:val="5E9A43DC"/>
    <w:rsid w:val="5EA0543D"/>
    <w:rsid w:val="5EAA1B34"/>
    <w:rsid w:val="5EB447E9"/>
    <w:rsid w:val="5ECF2E9A"/>
    <w:rsid w:val="5ED41431"/>
    <w:rsid w:val="5EEA134D"/>
    <w:rsid w:val="5EEB70A2"/>
    <w:rsid w:val="5EF1377A"/>
    <w:rsid w:val="5F066FC9"/>
    <w:rsid w:val="5F0B47F7"/>
    <w:rsid w:val="5F0E56F1"/>
    <w:rsid w:val="5F1129F4"/>
    <w:rsid w:val="5F116911"/>
    <w:rsid w:val="5F1D0642"/>
    <w:rsid w:val="5F283288"/>
    <w:rsid w:val="5F2F2BEA"/>
    <w:rsid w:val="5F3F1354"/>
    <w:rsid w:val="5F587148"/>
    <w:rsid w:val="5F654BB5"/>
    <w:rsid w:val="5F745C30"/>
    <w:rsid w:val="5F92784D"/>
    <w:rsid w:val="5F984F7C"/>
    <w:rsid w:val="5F9F5C73"/>
    <w:rsid w:val="5FA66F3D"/>
    <w:rsid w:val="5FBA3AF0"/>
    <w:rsid w:val="5FBC736D"/>
    <w:rsid w:val="5FBE4D89"/>
    <w:rsid w:val="5FC2699B"/>
    <w:rsid w:val="5FC82FB1"/>
    <w:rsid w:val="5FD411C1"/>
    <w:rsid w:val="5FDA38DE"/>
    <w:rsid w:val="5FE5048E"/>
    <w:rsid w:val="5FE92E22"/>
    <w:rsid w:val="5FFA370D"/>
    <w:rsid w:val="5FFB3C30"/>
    <w:rsid w:val="5FFB4997"/>
    <w:rsid w:val="5FFB7015"/>
    <w:rsid w:val="5FFC58D3"/>
    <w:rsid w:val="5FFD6F70"/>
    <w:rsid w:val="60163935"/>
    <w:rsid w:val="6019650D"/>
    <w:rsid w:val="60281409"/>
    <w:rsid w:val="602E40C3"/>
    <w:rsid w:val="60322333"/>
    <w:rsid w:val="60364F83"/>
    <w:rsid w:val="604C1029"/>
    <w:rsid w:val="604C4A5B"/>
    <w:rsid w:val="60577DBE"/>
    <w:rsid w:val="60632FDE"/>
    <w:rsid w:val="606D3B2B"/>
    <w:rsid w:val="60780DB7"/>
    <w:rsid w:val="60966E9A"/>
    <w:rsid w:val="60A007BE"/>
    <w:rsid w:val="60A21D5B"/>
    <w:rsid w:val="60A3280E"/>
    <w:rsid w:val="60A61E46"/>
    <w:rsid w:val="60A97F3E"/>
    <w:rsid w:val="60D46231"/>
    <w:rsid w:val="60E25C3A"/>
    <w:rsid w:val="60E60749"/>
    <w:rsid w:val="60F437FA"/>
    <w:rsid w:val="61183C45"/>
    <w:rsid w:val="6126757C"/>
    <w:rsid w:val="613E0E8A"/>
    <w:rsid w:val="615306F3"/>
    <w:rsid w:val="615C4C10"/>
    <w:rsid w:val="616F1929"/>
    <w:rsid w:val="61755B12"/>
    <w:rsid w:val="617731D3"/>
    <w:rsid w:val="61797B4D"/>
    <w:rsid w:val="617B3ADA"/>
    <w:rsid w:val="618A1345"/>
    <w:rsid w:val="61910730"/>
    <w:rsid w:val="619E70D4"/>
    <w:rsid w:val="61A065A7"/>
    <w:rsid w:val="61A222BD"/>
    <w:rsid w:val="61B87F83"/>
    <w:rsid w:val="61BD766B"/>
    <w:rsid w:val="61BE5AFA"/>
    <w:rsid w:val="61C3747E"/>
    <w:rsid w:val="61C77700"/>
    <w:rsid w:val="61CC602D"/>
    <w:rsid w:val="61E24468"/>
    <w:rsid w:val="61E373E4"/>
    <w:rsid w:val="61E60FF1"/>
    <w:rsid w:val="61ED3EE6"/>
    <w:rsid w:val="61F85CDC"/>
    <w:rsid w:val="61FC15CC"/>
    <w:rsid w:val="620476EB"/>
    <w:rsid w:val="621109BF"/>
    <w:rsid w:val="6217204A"/>
    <w:rsid w:val="62232049"/>
    <w:rsid w:val="62263A27"/>
    <w:rsid w:val="622978CE"/>
    <w:rsid w:val="624910C9"/>
    <w:rsid w:val="62502011"/>
    <w:rsid w:val="625113A4"/>
    <w:rsid w:val="62646881"/>
    <w:rsid w:val="62664F37"/>
    <w:rsid w:val="626A5EC9"/>
    <w:rsid w:val="62740ABF"/>
    <w:rsid w:val="627B1F5D"/>
    <w:rsid w:val="62882953"/>
    <w:rsid w:val="629A0C3D"/>
    <w:rsid w:val="629E1AC3"/>
    <w:rsid w:val="629E2386"/>
    <w:rsid w:val="62A01F1C"/>
    <w:rsid w:val="62B418DA"/>
    <w:rsid w:val="62C71036"/>
    <w:rsid w:val="62D07A59"/>
    <w:rsid w:val="62DE17B2"/>
    <w:rsid w:val="62E323D9"/>
    <w:rsid w:val="62EC5040"/>
    <w:rsid w:val="62FA5D05"/>
    <w:rsid w:val="6318755D"/>
    <w:rsid w:val="631D28AE"/>
    <w:rsid w:val="6330636D"/>
    <w:rsid w:val="63312FCE"/>
    <w:rsid w:val="63633340"/>
    <w:rsid w:val="6367136B"/>
    <w:rsid w:val="636F649F"/>
    <w:rsid w:val="637B5FF3"/>
    <w:rsid w:val="637C79C0"/>
    <w:rsid w:val="63884EE7"/>
    <w:rsid w:val="638B3284"/>
    <w:rsid w:val="63A17827"/>
    <w:rsid w:val="63A7223D"/>
    <w:rsid w:val="63B70E67"/>
    <w:rsid w:val="63CC6527"/>
    <w:rsid w:val="63CF20AB"/>
    <w:rsid w:val="63E66586"/>
    <w:rsid w:val="63EE7817"/>
    <w:rsid w:val="63F447BD"/>
    <w:rsid w:val="63FF2F15"/>
    <w:rsid w:val="641118D1"/>
    <w:rsid w:val="64245D37"/>
    <w:rsid w:val="64274970"/>
    <w:rsid w:val="64326D7B"/>
    <w:rsid w:val="643B7440"/>
    <w:rsid w:val="643E0816"/>
    <w:rsid w:val="6471160A"/>
    <w:rsid w:val="64784329"/>
    <w:rsid w:val="64794126"/>
    <w:rsid w:val="64896D72"/>
    <w:rsid w:val="649034AC"/>
    <w:rsid w:val="64931136"/>
    <w:rsid w:val="649F1FA5"/>
    <w:rsid w:val="64C16BDE"/>
    <w:rsid w:val="64CC15DA"/>
    <w:rsid w:val="64D27271"/>
    <w:rsid w:val="64EB5EA9"/>
    <w:rsid w:val="64F70FCA"/>
    <w:rsid w:val="64FC75B1"/>
    <w:rsid w:val="64FF5443"/>
    <w:rsid w:val="65130FF6"/>
    <w:rsid w:val="65260F17"/>
    <w:rsid w:val="652C575A"/>
    <w:rsid w:val="653A3541"/>
    <w:rsid w:val="656071F2"/>
    <w:rsid w:val="65641860"/>
    <w:rsid w:val="6579581E"/>
    <w:rsid w:val="6583590A"/>
    <w:rsid w:val="659600F7"/>
    <w:rsid w:val="65A76B8B"/>
    <w:rsid w:val="65C1500A"/>
    <w:rsid w:val="65CB7CC2"/>
    <w:rsid w:val="65D26E30"/>
    <w:rsid w:val="65F202BC"/>
    <w:rsid w:val="66056123"/>
    <w:rsid w:val="661611CF"/>
    <w:rsid w:val="662F24ED"/>
    <w:rsid w:val="662F71EC"/>
    <w:rsid w:val="663449F3"/>
    <w:rsid w:val="66380FA3"/>
    <w:rsid w:val="664A1CC2"/>
    <w:rsid w:val="6653707B"/>
    <w:rsid w:val="665671AB"/>
    <w:rsid w:val="66583C42"/>
    <w:rsid w:val="666D1A5E"/>
    <w:rsid w:val="666D6F7E"/>
    <w:rsid w:val="66761D7D"/>
    <w:rsid w:val="667B2461"/>
    <w:rsid w:val="668011B8"/>
    <w:rsid w:val="668D045A"/>
    <w:rsid w:val="66BE3B77"/>
    <w:rsid w:val="66C95D55"/>
    <w:rsid w:val="66F84B3E"/>
    <w:rsid w:val="66FD754C"/>
    <w:rsid w:val="67046B13"/>
    <w:rsid w:val="67090BD4"/>
    <w:rsid w:val="670A0643"/>
    <w:rsid w:val="67155C3E"/>
    <w:rsid w:val="671B5FED"/>
    <w:rsid w:val="67245236"/>
    <w:rsid w:val="67290629"/>
    <w:rsid w:val="672A1131"/>
    <w:rsid w:val="6739366F"/>
    <w:rsid w:val="67664DED"/>
    <w:rsid w:val="6769685F"/>
    <w:rsid w:val="67852424"/>
    <w:rsid w:val="67A83F8A"/>
    <w:rsid w:val="67AD5DF6"/>
    <w:rsid w:val="67BF1A34"/>
    <w:rsid w:val="67C16A89"/>
    <w:rsid w:val="67C50A39"/>
    <w:rsid w:val="67C550D0"/>
    <w:rsid w:val="67C903A2"/>
    <w:rsid w:val="67E677A7"/>
    <w:rsid w:val="67EB35FC"/>
    <w:rsid w:val="67ED2CEE"/>
    <w:rsid w:val="67FC4A97"/>
    <w:rsid w:val="680275BF"/>
    <w:rsid w:val="6807657E"/>
    <w:rsid w:val="680A7665"/>
    <w:rsid w:val="680F19C4"/>
    <w:rsid w:val="68141023"/>
    <w:rsid w:val="68153B10"/>
    <w:rsid w:val="681969C5"/>
    <w:rsid w:val="681A3244"/>
    <w:rsid w:val="681A6291"/>
    <w:rsid w:val="681C083C"/>
    <w:rsid w:val="68304EBC"/>
    <w:rsid w:val="6844129E"/>
    <w:rsid w:val="68525239"/>
    <w:rsid w:val="685A7B68"/>
    <w:rsid w:val="686A1A92"/>
    <w:rsid w:val="686C1220"/>
    <w:rsid w:val="686F0FEC"/>
    <w:rsid w:val="6873624B"/>
    <w:rsid w:val="688268F8"/>
    <w:rsid w:val="688403D5"/>
    <w:rsid w:val="68962750"/>
    <w:rsid w:val="68A137CC"/>
    <w:rsid w:val="68B4377A"/>
    <w:rsid w:val="68B54BCB"/>
    <w:rsid w:val="68BC0DA4"/>
    <w:rsid w:val="68C9586E"/>
    <w:rsid w:val="68DC5D5C"/>
    <w:rsid w:val="68E45A7B"/>
    <w:rsid w:val="68E77B43"/>
    <w:rsid w:val="68FC09F9"/>
    <w:rsid w:val="68FC4998"/>
    <w:rsid w:val="69276015"/>
    <w:rsid w:val="6936706A"/>
    <w:rsid w:val="69377572"/>
    <w:rsid w:val="69464F41"/>
    <w:rsid w:val="69552530"/>
    <w:rsid w:val="69591EAB"/>
    <w:rsid w:val="695C299B"/>
    <w:rsid w:val="69611819"/>
    <w:rsid w:val="6971648F"/>
    <w:rsid w:val="697719EB"/>
    <w:rsid w:val="69781359"/>
    <w:rsid w:val="697A531F"/>
    <w:rsid w:val="69895FB8"/>
    <w:rsid w:val="698D6850"/>
    <w:rsid w:val="698F5D6F"/>
    <w:rsid w:val="699A2D9D"/>
    <w:rsid w:val="69C11FAC"/>
    <w:rsid w:val="69C51BD1"/>
    <w:rsid w:val="69FF2ED1"/>
    <w:rsid w:val="6A002D52"/>
    <w:rsid w:val="6A1B6504"/>
    <w:rsid w:val="6A2101F2"/>
    <w:rsid w:val="6A237EBE"/>
    <w:rsid w:val="6A2E1FE6"/>
    <w:rsid w:val="6A44713A"/>
    <w:rsid w:val="6A4F51BE"/>
    <w:rsid w:val="6A525D2D"/>
    <w:rsid w:val="6A5A042B"/>
    <w:rsid w:val="6A5C4569"/>
    <w:rsid w:val="6A6F4BA2"/>
    <w:rsid w:val="6A7870B2"/>
    <w:rsid w:val="6A9B48E2"/>
    <w:rsid w:val="6AAC6FC3"/>
    <w:rsid w:val="6AB470F9"/>
    <w:rsid w:val="6ABF280C"/>
    <w:rsid w:val="6AC27DAD"/>
    <w:rsid w:val="6AD84AE3"/>
    <w:rsid w:val="6AE11356"/>
    <w:rsid w:val="6B075836"/>
    <w:rsid w:val="6B0E7517"/>
    <w:rsid w:val="6B1A4B45"/>
    <w:rsid w:val="6B382CC9"/>
    <w:rsid w:val="6B3D15AD"/>
    <w:rsid w:val="6B482776"/>
    <w:rsid w:val="6B516429"/>
    <w:rsid w:val="6B540207"/>
    <w:rsid w:val="6B70417F"/>
    <w:rsid w:val="6B727C5D"/>
    <w:rsid w:val="6B7544D5"/>
    <w:rsid w:val="6B755FA3"/>
    <w:rsid w:val="6B8F36FA"/>
    <w:rsid w:val="6B9F2FAF"/>
    <w:rsid w:val="6BA71933"/>
    <w:rsid w:val="6BB57A37"/>
    <w:rsid w:val="6BB760C2"/>
    <w:rsid w:val="6BC80E26"/>
    <w:rsid w:val="6BCE7144"/>
    <w:rsid w:val="6BD5555C"/>
    <w:rsid w:val="6BE06E77"/>
    <w:rsid w:val="6BE16A98"/>
    <w:rsid w:val="6BE461FF"/>
    <w:rsid w:val="6BE7659F"/>
    <w:rsid w:val="6BEC5201"/>
    <w:rsid w:val="6C081BD4"/>
    <w:rsid w:val="6C1B6DB8"/>
    <w:rsid w:val="6C227E0F"/>
    <w:rsid w:val="6C2B4F6B"/>
    <w:rsid w:val="6C3C58AC"/>
    <w:rsid w:val="6C46524A"/>
    <w:rsid w:val="6C50062F"/>
    <w:rsid w:val="6C5173D5"/>
    <w:rsid w:val="6C52547E"/>
    <w:rsid w:val="6C5F0105"/>
    <w:rsid w:val="6C63442E"/>
    <w:rsid w:val="6C664318"/>
    <w:rsid w:val="6C6700B0"/>
    <w:rsid w:val="6C726364"/>
    <w:rsid w:val="6C9A6E13"/>
    <w:rsid w:val="6CA30D28"/>
    <w:rsid w:val="6CAF1F39"/>
    <w:rsid w:val="6CBB11ED"/>
    <w:rsid w:val="6CBD2B21"/>
    <w:rsid w:val="6CC26F0F"/>
    <w:rsid w:val="6CC51E34"/>
    <w:rsid w:val="6CCB719A"/>
    <w:rsid w:val="6CF013F4"/>
    <w:rsid w:val="6D1C6E49"/>
    <w:rsid w:val="6D300B0C"/>
    <w:rsid w:val="6D3208AC"/>
    <w:rsid w:val="6D323055"/>
    <w:rsid w:val="6D4C78C3"/>
    <w:rsid w:val="6D50360F"/>
    <w:rsid w:val="6D597BE3"/>
    <w:rsid w:val="6D6462A7"/>
    <w:rsid w:val="6D770762"/>
    <w:rsid w:val="6D8D49B2"/>
    <w:rsid w:val="6DA33553"/>
    <w:rsid w:val="6DA8588C"/>
    <w:rsid w:val="6DAD519D"/>
    <w:rsid w:val="6DAD6CC7"/>
    <w:rsid w:val="6DB26D11"/>
    <w:rsid w:val="6DBB527B"/>
    <w:rsid w:val="6DCC1421"/>
    <w:rsid w:val="6DD218DC"/>
    <w:rsid w:val="6DD3371B"/>
    <w:rsid w:val="6DF240EF"/>
    <w:rsid w:val="6DFA6B30"/>
    <w:rsid w:val="6DFD39E4"/>
    <w:rsid w:val="6DFE08E6"/>
    <w:rsid w:val="6E1666F0"/>
    <w:rsid w:val="6E1A4235"/>
    <w:rsid w:val="6E2E4B2B"/>
    <w:rsid w:val="6E3D1E89"/>
    <w:rsid w:val="6E3E5A0B"/>
    <w:rsid w:val="6E4202FE"/>
    <w:rsid w:val="6E473FF7"/>
    <w:rsid w:val="6E590783"/>
    <w:rsid w:val="6E645059"/>
    <w:rsid w:val="6E6675FF"/>
    <w:rsid w:val="6E6F0125"/>
    <w:rsid w:val="6E7228F6"/>
    <w:rsid w:val="6E751D56"/>
    <w:rsid w:val="6E760F9B"/>
    <w:rsid w:val="6E816E4C"/>
    <w:rsid w:val="6E853F62"/>
    <w:rsid w:val="6E8741EA"/>
    <w:rsid w:val="6E94461D"/>
    <w:rsid w:val="6ED36FAF"/>
    <w:rsid w:val="6ED51575"/>
    <w:rsid w:val="6EE53CDC"/>
    <w:rsid w:val="6EEA6DAF"/>
    <w:rsid w:val="6F07046B"/>
    <w:rsid w:val="6F145E40"/>
    <w:rsid w:val="6F1A0A84"/>
    <w:rsid w:val="6F266352"/>
    <w:rsid w:val="6F3749BB"/>
    <w:rsid w:val="6F376EE8"/>
    <w:rsid w:val="6F4B521C"/>
    <w:rsid w:val="6F50122B"/>
    <w:rsid w:val="6F5F6082"/>
    <w:rsid w:val="6F6F4081"/>
    <w:rsid w:val="6F723DFA"/>
    <w:rsid w:val="6F751FE2"/>
    <w:rsid w:val="6F824FC3"/>
    <w:rsid w:val="6F893842"/>
    <w:rsid w:val="6F8C4708"/>
    <w:rsid w:val="6F93289B"/>
    <w:rsid w:val="6F9B1A81"/>
    <w:rsid w:val="6F9B3650"/>
    <w:rsid w:val="6FA4508D"/>
    <w:rsid w:val="6FC33CC6"/>
    <w:rsid w:val="6FC66D21"/>
    <w:rsid w:val="6FC80D95"/>
    <w:rsid w:val="6FCC539E"/>
    <w:rsid w:val="6FCE4ECE"/>
    <w:rsid w:val="6FDB527C"/>
    <w:rsid w:val="6FDD2595"/>
    <w:rsid w:val="6FE15578"/>
    <w:rsid w:val="6FED02F8"/>
    <w:rsid w:val="6FEF4E17"/>
    <w:rsid w:val="6FF45601"/>
    <w:rsid w:val="6FFA73AC"/>
    <w:rsid w:val="700C076B"/>
    <w:rsid w:val="701E2B41"/>
    <w:rsid w:val="70266EB3"/>
    <w:rsid w:val="70382D55"/>
    <w:rsid w:val="703A26A4"/>
    <w:rsid w:val="70417712"/>
    <w:rsid w:val="70477CC3"/>
    <w:rsid w:val="704F3AE7"/>
    <w:rsid w:val="705855FD"/>
    <w:rsid w:val="70650EA7"/>
    <w:rsid w:val="706657A9"/>
    <w:rsid w:val="706D28EC"/>
    <w:rsid w:val="706F5A1E"/>
    <w:rsid w:val="7073470A"/>
    <w:rsid w:val="70754A57"/>
    <w:rsid w:val="708D2D83"/>
    <w:rsid w:val="708D52D4"/>
    <w:rsid w:val="709C78BD"/>
    <w:rsid w:val="70A05029"/>
    <w:rsid w:val="70A42396"/>
    <w:rsid w:val="70B17782"/>
    <w:rsid w:val="70B74B57"/>
    <w:rsid w:val="70BD3FD6"/>
    <w:rsid w:val="70C01920"/>
    <w:rsid w:val="70CE70C6"/>
    <w:rsid w:val="70E95D92"/>
    <w:rsid w:val="71041AD1"/>
    <w:rsid w:val="71283AC4"/>
    <w:rsid w:val="713A071D"/>
    <w:rsid w:val="714308D6"/>
    <w:rsid w:val="71433B5F"/>
    <w:rsid w:val="71585EE2"/>
    <w:rsid w:val="71596ADF"/>
    <w:rsid w:val="716C5C1F"/>
    <w:rsid w:val="716E3B81"/>
    <w:rsid w:val="717D181D"/>
    <w:rsid w:val="717E11AE"/>
    <w:rsid w:val="717E4D1B"/>
    <w:rsid w:val="71883C72"/>
    <w:rsid w:val="71B04BCA"/>
    <w:rsid w:val="71CA6453"/>
    <w:rsid w:val="71D85670"/>
    <w:rsid w:val="71D87649"/>
    <w:rsid w:val="72046BC3"/>
    <w:rsid w:val="720737ED"/>
    <w:rsid w:val="72092497"/>
    <w:rsid w:val="720B45CC"/>
    <w:rsid w:val="72202C32"/>
    <w:rsid w:val="722E670E"/>
    <w:rsid w:val="72306732"/>
    <w:rsid w:val="723B48A9"/>
    <w:rsid w:val="723E3E48"/>
    <w:rsid w:val="72566AB0"/>
    <w:rsid w:val="72635D58"/>
    <w:rsid w:val="72720859"/>
    <w:rsid w:val="72826129"/>
    <w:rsid w:val="728A7D19"/>
    <w:rsid w:val="72A61FC2"/>
    <w:rsid w:val="72A65EA5"/>
    <w:rsid w:val="72C8404D"/>
    <w:rsid w:val="72CD0904"/>
    <w:rsid w:val="72D03469"/>
    <w:rsid w:val="730A7664"/>
    <w:rsid w:val="73185B5F"/>
    <w:rsid w:val="732E500B"/>
    <w:rsid w:val="73370851"/>
    <w:rsid w:val="73532FB1"/>
    <w:rsid w:val="73580B54"/>
    <w:rsid w:val="736F5D0A"/>
    <w:rsid w:val="73735E5D"/>
    <w:rsid w:val="7375554C"/>
    <w:rsid w:val="7394479C"/>
    <w:rsid w:val="739B76E9"/>
    <w:rsid w:val="73B15C0E"/>
    <w:rsid w:val="73C240D9"/>
    <w:rsid w:val="73C91303"/>
    <w:rsid w:val="73D01033"/>
    <w:rsid w:val="73D223D1"/>
    <w:rsid w:val="73D26B4B"/>
    <w:rsid w:val="73D55572"/>
    <w:rsid w:val="73E223D4"/>
    <w:rsid w:val="73E22A66"/>
    <w:rsid w:val="73ED3019"/>
    <w:rsid w:val="73F02D48"/>
    <w:rsid w:val="73F75922"/>
    <w:rsid w:val="73FC2BDD"/>
    <w:rsid w:val="74217806"/>
    <w:rsid w:val="742A4BF8"/>
    <w:rsid w:val="74323265"/>
    <w:rsid w:val="74392FEA"/>
    <w:rsid w:val="745865E9"/>
    <w:rsid w:val="745F6C07"/>
    <w:rsid w:val="74736AD6"/>
    <w:rsid w:val="749B158D"/>
    <w:rsid w:val="74D073BB"/>
    <w:rsid w:val="74DF22FD"/>
    <w:rsid w:val="74EF7C5E"/>
    <w:rsid w:val="74F652D7"/>
    <w:rsid w:val="75023013"/>
    <w:rsid w:val="750E3763"/>
    <w:rsid w:val="75210FFA"/>
    <w:rsid w:val="7522427F"/>
    <w:rsid w:val="75454108"/>
    <w:rsid w:val="754C6FB7"/>
    <w:rsid w:val="754D14C6"/>
    <w:rsid w:val="754D60E0"/>
    <w:rsid w:val="757D6D38"/>
    <w:rsid w:val="758A7BF1"/>
    <w:rsid w:val="75AC0867"/>
    <w:rsid w:val="75AC5B41"/>
    <w:rsid w:val="75C55345"/>
    <w:rsid w:val="75CE4DD8"/>
    <w:rsid w:val="75D02983"/>
    <w:rsid w:val="75DC7E7D"/>
    <w:rsid w:val="75DE08B5"/>
    <w:rsid w:val="75E64AD2"/>
    <w:rsid w:val="75ED1CEE"/>
    <w:rsid w:val="75F810ED"/>
    <w:rsid w:val="7604322D"/>
    <w:rsid w:val="760B78E3"/>
    <w:rsid w:val="76177BE7"/>
    <w:rsid w:val="76196B07"/>
    <w:rsid w:val="76272B32"/>
    <w:rsid w:val="763231B7"/>
    <w:rsid w:val="76404097"/>
    <w:rsid w:val="76430A22"/>
    <w:rsid w:val="76483E07"/>
    <w:rsid w:val="766235B2"/>
    <w:rsid w:val="76645B42"/>
    <w:rsid w:val="76664C5E"/>
    <w:rsid w:val="768D3B1A"/>
    <w:rsid w:val="76991C05"/>
    <w:rsid w:val="769B32FF"/>
    <w:rsid w:val="76B84480"/>
    <w:rsid w:val="76CC3A3F"/>
    <w:rsid w:val="76CE5695"/>
    <w:rsid w:val="76D56CA6"/>
    <w:rsid w:val="76D93DFA"/>
    <w:rsid w:val="76DB7D76"/>
    <w:rsid w:val="76DD12A8"/>
    <w:rsid w:val="76EB3224"/>
    <w:rsid w:val="76FF4EE4"/>
    <w:rsid w:val="772B6A42"/>
    <w:rsid w:val="772B7524"/>
    <w:rsid w:val="773539EF"/>
    <w:rsid w:val="773E0833"/>
    <w:rsid w:val="773F3AAD"/>
    <w:rsid w:val="7756551A"/>
    <w:rsid w:val="77584325"/>
    <w:rsid w:val="77723B22"/>
    <w:rsid w:val="777240C0"/>
    <w:rsid w:val="777B3F3B"/>
    <w:rsid w:val="7781782D"/>
    <w:rsid w:val="77A01BFD"/>
    <w:rsid w:val="77BE1DE9"/>
    <w:rsid w:val="77C167E0"/>
    <w:rsid w:val="77D9226C"/>
    <w:rsid w:val="77DB37EE"/>
    <w:rsid w:val="77DE690E"/>
    <w:rsid w:val="78030755"/>
    <w:rsid w:val="780D2EEC"/>
    <w:rsid w:val="781D68AE"/>
    <w:rsid w:val="78220ACA"/>
    <w:rsid w:val="78255547"/>
    <w:rsid w:val="783370C5"/>
    <w:rsid w:val="7836115B"/>
    <w:rsid w:val="78421CF1"/>
    <w:rsid w:val="78486C68"/>
    <w:rsid w:val="784E2C4F"/>
    <w:rsid w:val="78541914"/>
    <w:rsid w:val="78623CBD"/>
    <w:rsid w:val="78640D97"/>
    <w:rsid w:val="78783D65"/>
    <w:rsid w:val="787B7F51"/>
    <w:rsid w:val="787F1B8C"/>
    <w:rsid w:val="78826AE0"/>
    <w:rsid w:val="789968FE"/>
    <w:rsid w:val="78A16FAA"/>
    <w:rsid w:val="78AB3F70"/>
    <w:rsid w:val="78B20565"/>
    <w:rsid w:val="78B22728"/>
    <w:rsid w:val="78B60358"/>
    <w:rsid w:val="78C11B25"/>
    <w:rsid w:val="78C94466"/>
    <w:rsid w:val="78E375C6"/>
    <w:rsid w:val="78EA71E7"/>
    <w:rsid w:val="790063DB"/>
    <w:rsid w:val="790102B1"/>
    <w:rsid w:val="79053A76"/>
    <w:rsid w:val="790B1F2C"/>
    <w:rsid w:val="790E6EE5"/>
    <w:rsid w:val="7911132E"/>
    <w:rsid w:val="791E1055"/>
    <w:rsid w:val="79255026"/>
    <w:rsid w:val="792664BD"/>
    <w:rsid w:val="792D17CB"/>
    <w:rsid w:val="79374843"/>
    <w:rsid w:val="793D757A"/>
    <w:rsid w:val="79430440"/>
    <w:rsid w:val="794805C0"/>
    <w:rsid w:val="794D008A"/>
    <w:rsid w:val="79712148"/>
    <w:rsid w:val="799362B5"/>
    <w:rsid w:val="79A761DD"/>
    <w:rsid w:val="79AD5C69"/>
    <w:rsid w:val="79BF3D3F"/>
    <w:rsid w:val="79C93E05"/>
    <w:rsid w:val="79CE74A0"/>
    <w:rsid w:val="79D037EE"/>
    <w:rsid w:val="79D27341"/>
    <w:rsid w:val="79D85098"/>
    <w:rsid w:val="79E2649F"/>
    <w:rsid w:val="79E77964"/>
    <w:rsid w:val="79E82355"/>
    <w:rsid w:val="7A0B592D"/>
    <w:rsid w:val="7A2219EE"/>
    <w:rsid w:val="7A234450"/>
    <w:rsid w:val="7A263F04"/>
    <w:rsid w:val="7A284DF9"/>
    <w:rsid w:val="7A301CF6"/>
    <w:rsid w:val="7A310C3D"/>
    <w:rsid w:val="7A413453"/>
    <w:rsid w:val="7A53254E"/>
    <w:rsid w:val="7A5D111F"/>
    <w:rsid w:val="7A643911"/>
    <w:rsid w:val="7A6B7AF9"/>
    <w:rsid w:val="7A6C3353"/>
    <w:rsid w:val="7A6D5D4B"/>
    <w:rsid w:val="7A7F10AB"/>
    <w:rsid w:val="7A882C9D"/>
    <w:rsid w:val="7ADA347C"/>
    <w:rsid w:val="7ADD0E53"/>
    <w:rsid w:val="7AE2776E"/>
    <w:rsid w:val="7AEB4809"/>
    <w:rsid w:val="7B110597"/>
    <w:rsid w:val="7B187944"/>
    <w:rsid w:val="7B2551A9"/>
    <w:rsid w:val="7B2663E7"/>
    <w:rsid w:val="7B300D0C"/>
    <w:rsid w:val="7B32125C"/>
    <w:rsid w:val="7B394671"/>
    <w:rsid w:val="7B462E83"/>
    <w:rsid w:val="7B4A5ECC"/>
    <w:rsid w:val="7B51553E"/>
    <w:rsid w:val="7B844966"/>
    <w:rsid w:val="7B8B58E3"/>
    <w:rsid w:val="7B9923F8"/>
    <w:rsid w:val="7BA221C2"/>
    <w:rsid w:val="7BC370C5"/>
    <w:rsid w:val="7BC66603"/>
    <w:rsid w:val="7BD51E4E"/>
    <w:rsid w:val="7BE96B0E"/>
    <w:rsid w:val="7BEC245C"/>
    <w:rsid w:val="7BEC75D6"/>
    <w:rsid w:val="7BEE2954"/>
    <w:rsid w:val="7BF357C2"/>
    <w:rsid w:val="7BFD1C65"/>
    <w:rsid w:val="7C113E66"/>
    <w:rsid w:val="7C143234"/>
    <w:rsid w:val="7C1814F5"/>
    <w:rsid w:val="7C1E4C7F"/>
    <w:rsid w:val="7C2A085B"/>
    <w:rsid w:val="7C3336F7"/>
    <w:rsid w:val="7C3D4F03"/>
    <w:rsid w:val="7C3F5998"/>
    <w:rsid w:val="7C5442AC"/>
    <w:rsid w:val="7C562B90"/>
    <w:rsid w:val="7C563013"/>
    <w:rsid w:val="7C73679F"/>
    <w:rsid w:val="7C955B4E"/>
    <w:rsid w:val="7CB6358A"/>
    <w:rsid w:val="7CDE45A2"/>
    <w:rsid w:val="7CE37CAB"/>
    <w:rsid w:val="7CEA172C"/>
    <w:rsid w:val="7CF13C25"/>
    <w:rsid w:val="7CF8309C"/>
    <w:rsid w:val="7CFE2376"/>
    <w:rsid w:val="7D052468"/>
    <w:rsid w:val="7D0A2654"/>
    <w:rsid w:val="7D1970BF"/>
    <w:rsid w:val="7D28467E"/>
    <w:rsid w:val="7D3C09BC"/>
    <w:rsid w:val="7D3F2427"/>
    <w:rsid w:val="7D4B6022"/>
    <w:rsid w:val="7D5008E2"/>
    <w:rsid w:val="7D5738AF"/>
    <w:rsid w:val="7D591D8D"/>
    <w:rsid w:val="7D5B79FE"/>
    <w:rsid w:val="7D69501F"/>
    <w:rsid w:val="7D7B6E38"/>
    <w:rsid w:val="7D7F00F0"/>
    <w:rsid w:val="7D816279"/>
    <w:rsid w:val="7D8F5E1F"/>
    <w:rsid w:val="7D950D2D"/>
    <w:rsid w:val="7D9615AA"/>
    <w:rsid w:val="7D9660DD"/>
    <w:rsid w:val="7D98486B"/>
    <w:rsid w:val="7DA40A9B"/>
    <w:rsid w:val="7DB33E2B"/>
    <w:rsid w:val="7DCD40B0"/>
    <w:rsid w:val="7DDD0A38"/>
    <w:rsid w:val="7DE91091"/>
    <w:rsid w:val="7DEB3774"/>
    <w:rsid w:val="7E201DF0"/>
    <w:rsid w:val="7E38522B"/>
    <w:rsid w:val="7E4B072B"/>
    <w:rsid w:val="7E4E68F0"/>
    <w:rsid w:val="7E5D2EAB"/>
    <w:rsid w:val="7E6D1531"/>
    <w:rsid w:val="7E70171F"/>
    <w:rsid w:val="7E8564BB"/>
    <w:rsid w:val="7E94728C"/>
    <w:rsid w:val="7EA53A15"/>
    <w:rsid w:val="7ED63C07"/>
    <w:rsid w:val="7EEC3A75"/>
    <w:rsid w:val="7EF55F70"/>
    <w:rsid w:val="7F08159B"/>
    <w:rsid w:val="7F100B69"/>
    <w:rsid w:val="7F1C3814"/>
    <w:rsid w:val="7F396127"/>
    <w:rsid w:val="7F3D43FB"/>
    <w:rsid w:val="7F3F7B58"/>
    <w:rsid w:val="7F635683"/>
    <w:rsid w:val="7F6E360E"/>
    <w:rsid w:val="7F741856"/>
    <w:rsid w:val="7F767490"/>
    <w:rsid w:val="7F7F26BF"/>
    <w:rsid w:val="7F8333BC"/>
    <w:rsid w:val="7F900684"/>
    <w:rsid w:val="7F901A55"/>
    <w:rsid w:val="7F92666C"/>
    <w:rsid w:val="7FA42F4C"/>
    <w:rsid w:val="7FA961F0"/>
    <w:rsid w:val="7FB639CF"/>
    <w:rsid w:val="7FB66775"/>
    <w:rsid w:val="7FBA2FB3"/>
    <w:rsid w:val="7FCC4E2F"/>
    <w:rsid w:val="7FE341A4"/>
    <w:rsid w:val="7FF00BB9"/>
    <w:rsid w:val="7FF356F2"/>
    <w:rsid w:val="7FF6738A"/>
    <w:rsid w:val="7FFF0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spacing w:line="360" w:lineRule="auto"/>
      <w:ind w:left="-147" w:leftChars="-70" w:firstLine="1199" w:firstLineChars="597"/>
      <w:outlineLvl w:val="0"/>
    </w:pPr>
    <w:rPr>
      <w:b/>
      <w:bCs/>
      <w:sz w:val="20"/>
    </w:rPr>
  </w:style>
  <w:style w:type="paragraph" w:styleId="5">
    <w:name w:val="heading 2"/>
    <w:basedOn w:val="1"/>
    <w:next w:val="1"/>
    <w:link w:val="37"/>
    <w:semiHidden/>
    <w:unhideWhenUsed/>
    <w:qFormat/>
    <w:uiPriority w:val="0"/>
    <w:pPr>
      <w:keepNext/>
      <w:keepLines/>
      <w:spacing w:before="10" w:after="10"/>
      <w:jc w:val="left"/>
      <w:outlineLvl w:val="1"/>
    </w:pPr>
    <w:rPr>
      <w:rFonts w:cs="宋体"/>
      <w:b/>
      <w:bCs/>
      <w:sz w:val="32"/>
      <w:szCs w:val="32"/>
    </w:rPr>
  </w:style>
  <w:style w:type="paragraph" w:styleId="6">
    <w:name w:val="heading 4"/>
    <w:basedOn w:val="1"/>
    <w:next w:val="1"/>
    <w:qFormat/>
    <w:uiPriority w:val="0"/>
    <w:pPr>
      <w:keepNext/>
      <w:keepLines/>
      <w:numPr>
        <w:ilvl w:val="3"/>
        <w:numId w:val="1"/>
      </w:numPr>
      <w:tabs>
        <w:tab w:val="left" w:pos="0"/>
      </w:tabs>
      <w:spacing w:line="520" w:lineRule="atLeast"/>
      <w:outlineLvl w:val="3"/>
    </w:pPr>
    <w:rPr>
      <w:rFonts w:hAnsi="宋体"/>
      <w:b/>
      <w:bCs/>
      <w:color w:val="00000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qFormat/>
    <w:uiPriority w:val="0"/>
    <w:pPr>
      <w:ind w:firstLine="420"/>
    </w:pPr>
    <w:rPr>
      <w:sz w:val="28"/>
      <w:szCs w:val="20"/>
    </w:rPr>
  </w:style>
  <w:style w:type="paragraph" w:styleId="8">
    <w:name w:val="annotation text"/>
    <w:basedOn w:val="1"/>
    <w:link w:val="67"/>
    <w:qFormat/>
    <w:uiPriority w:val="0"/>
    <w:pPr>
      <w:jc w:val="left"/>
    </w:pPr>
  </w:style>
  <w:style w:type="paragraph" w:styleId="9">
    <w:name w:val="Body Text"/>
    <w:basedOn w:val="1"/>
    <w:qFormat/>
    <w:uiPriority w:val="0"/>
    <w:pPr>
      <w:widowControl/>
      <w:snapToGrid w:val="0"/>
      <w:spacing w:before="60" w:after="160" w:line="259" w:lineRule="auto"/>
      <w:ind w:right="113"/>
    </w:pPr>
    <w:rPr>
      <w:kern w:val="0"/>
      <w:sz w:val="18"/>
      <w:szCs w:val="20"/>
    </w:rPr>
  </w:style>
  <w:style w:type="paragraph" w:styleId="10">
    <w:name w:val="Block Text"/>
    <w:basedOn w:val="1"/>
    <w:qFormat/>
    <w:uiPriority w:val="0"/>
    <w:pPr>
      <w:snapToGrid w:val="0"/>
      <w:spacing w:line="420" w:lineRule="exact"/>
      <w:ind w:left="101" w:leftChars="48" w:right="149" w:rightChars="71" w:firstLine="426" w:firstLineChars="203"/>
    </w:pPr>
  </w:style>
  <w:style w:type="paragraph" w:styleId="11">
    <w:name w:val="toc 3"/>
    <w:basedOn w:val="1"/>
    <w:next w:val="1"/>
    <w:semiHidden/>
    <w:qFormat/>
    <w:uiPriority w:val="39"/>
    <w:pPr>
      <w:ind w:left="420"/>
      <w:jc w:val="left"/>
    </w:pPr>
    <w:rPr>
      <w:rFonts w:ascii="Calibri" w:hAnsi="Calibri"/>
      <w:i/>
      <w:iCs/>
      <w:sz w:val="20"/>
      <w:szCs w:val="20"/>
    </w:rPr>
  </w:style>
  <w:style w:type="paragraph" w:styleId="12">
    <w:name w:val="Plain Text"/>
    <w:basedOn w:val="1"/>
    <w:next w:val="1"/>
    <w:qFormat/>
    <w:uiPriority w:val="0"/>
    <w:pPr>
      <w:spacing w:line="420" w:lineRule="exact"/>
      <w:ind w:firstLine="200" w:firstLineChars="200"/>
    </w:pPr>
    <w:rPr>
      <w:rFonts w:ascii="宋体" w:hAnsi="Courier New" w:cs="Courier New"/>
      <w:szCs w:val="21"/>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Body Text Indent 3"/>
    <w:basedOn w:val="1"/>
    <w:qFormat/>
    <w:uiPriority w:val="0"/>
    <w:pPr>
      <w:spacing w:line="380" w:lineRule="exact"/>
      <w:ind w:left="44" w:firstLine="435" w:firstLineChars="207"/>
    </w:pPr>
    <w:rPr>
      <w:szCs w:val="21"/>
    </w:rPr>
  </w:style>
  <w:style w:type="paragraph" w:styleId="16">
    <w:name w:val="table of figures"/>
    <w:basedOn w:val="1"/>
    <w:next w:val="1"/>
    <w:qFormat/>
    <w:uiPriority w:val="0"/>
    <w:pPr>
      <w:spacing w:line="500" w:lineRule="atLeast"/>
      <w:jc w:val="center"/>
    </w:pPr>
    <w:rPr>
      <w:rFonts w:hint="eastAsia" w:ascii="仿宋_GB2312" w:eastAsia="仿宋_GB2312"/>
      <w:sz w:val="28"/>
    </w:rPr>
  </w:style>
  <w:style w:type="paragraph" w:styleId="17">
    <w:name w:val="Body Text 2"/>
    <w:basedOn w:val="1"/>
    <w:qFormat/>
    <w:uiPriority w:val="0"/>
    <w:pPr>
      <w:spacing w:after="120" w:line="480" w:lineRule="auto"/>
    </w:pPr>
  </w:style>
  <w:style w:type="paragraph" w:styleId="18">
    <w:name w:val="Normal (Web)"/>
    <w:basedOn w:val="1"/>
    <w:qFormat/>
    <w:uiPriority w:val="0"/>
    <w:pPr>
      <w:widowControl/>
      <w:spacing w:before="100" w:beforeAutospacing="1" w:after="100" w:afterAutospacing="1"/>
      <w:jc w:val="left"/>
    </w:pPr>
    <w:rPr>
      <w:rFonts w:ascii="宋体" w:hAnsi="宋体"/>
      <w:kern w:val="0"/>
      <w:sz w:val="24"/>
    </w:rPr>
  </w:style>
  <w:style w:type="paragraph" w:styleId="19">
    <w:name w:val="annotation subject"/>
    <w:basedOn w:val="8"/>
    <w:next w:val="8"/>
    <w:link w:val="68"/>
    <w:qFormat/>
    <w:uiPriority w:val="0"/>
    <w:rPr>
      <w:b/>
      <w:bCs/>
    </w:rPr>
  </w:style>
  <w:style w:type="paragraph" w:styleId="20">
    <w:name w:val="Body Text First Indent"/>
    <w:basedOn w:val="1"/>
    <w:next w:val="16"/>
    <w:qFormat/>
    <w:uiPriority w:val="0"/>
    <w:pPr>
      <w:spacing w:line="300" w:lineRule="exact"/>
      <w:jc w:val="center"/>
      <w:textAlignment w:val="baseline"/>
    </w:pPr>
    <w:rPr>
      <w:spacing w:val="28"/>
      <w:kern w:val="0"/>
      <w:szCs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800080"/>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Variable"/>
    <w:basedOn w:val="23"/>
    <w:qFormat/>
    <w:uiPriority w:val="0"/>
  </w:style>
  <w:style w:type="character" w:styleId="30">
    <w:name w:val="Hyperlink"/>
    <w:basedOn w:val="23"/>
    <w:qFormat/>
    <w:uiPriority w:val="0"/>
    <w:rPr>
      <w:color w:val="0000FF"/>
      <w:u w:val="none"/>
    </w:rPr>
  </w:style>
  <w:style w:type="character" w:styleId="31">
    <w:name w:val="HTML Code"/>
    <w:basedOn w:val="23"/>
    <w:qFormat/>
    <w:uiPriority w:val="0"/>
    <w:rPr>
      <w:rFonts w:hint="eastAsia" w:ascii="Arial" w:hAnsi="Arial" w:cs="Arial"/>
      <w:sz w:val="20"/>
    </w:rPr>
  </w:style>
  <w:style w:type="character" w:styleId="32">
    <w:name w:val="annotation reference"/>
    <w:basedOn w:val="23"/>
    <w:qFormat/>
    <w:uiPriority w:val="0"/>
    <w:rPr>
      <w:sz w:val="21"/>
      <w:szCs w:val="21"/>
    </w:rPr>
  </w:style>
  <w:style w:type="character" w:styleId="33">
    <w:name w:val="HTML Cite"/>
    <w:basedOn w:val="23"/>
    <w:qFormat/>
    <w:uiPriority w:val="0"/>
  </w:style>
  <w:style w:type="character" w:styleId="34">
    <w:name w:val="HTML Keyboard"/>
    <w:basedOn w:val="23"/>
    <w:qFormat/>
    <w:uiPriority w:val="0"/>
    <w:rPr>
      <w:rFonts w:hint="default" w:ascii="Arial" w:hAnsi="Arial" w:cs="Arial"/>
      <w:sz w:val="20"/>
    </w:rPr>
  </w:style>
  <w:style w:type="character" w:styleId="35">
    <w:name w:val="HTML Sample"/>
    <w:basedOn w:val="23"/>
    <w:qFormat/>
    <w:uiPriority w:val="0"/>
    <w:rPr>
      <w:rFonts w:hint="default" w:ascii="Arial" w:hAnsi="Arial" w:cs="Arial"/>
    </w:rPr>
  </w:style>
  <w:style w:type="paragraph" w:customStyle="1" w:styleId="36">
    <w:name w:val="Char Char Char Char Char Char Char Char Char Char"/>
    <w:basedOn w:val="1"/>
    <w:qFormat/>
    <w:uiPriority w:val="0"/>
    <w:pPr>
      <w:tabs>
        <w:tab w:val="left" w:pos="1080"/>
      </w:tabs>
      <w:spacing w:line="360" w:lineRule="auto"/>
    </w:pPr>
  </w:style>
  <w:style w:type="character" w:customStyle="1" w:styleId="37">
    <w:name w:val="标题 2 字符"/>
    <w:basedOn w:val="23"/>
    <w:link w:val="5"/>
    <w:semiHidden/>
    <w:qFormat/>
    <w:uiPriority w:val="9"/>
    <w:rPr>
      <w:rFonts w:ascii="Times New Roman" w:hAnsi="Times New Roman" w:eastAsia="宋体" w:cs="宋体"/>
      <w:b/>
      <w:bCs/>
      <w:kern w:val="2"/>
      <w:sz w:val="32"/>
      <w:szCs w:val="32"/>
    </w:rPr>
  </w:style>
  <w:style w:type="paragraph" w:customStyle="1" w:styleId="38">
    <w:name w:val="6表内文字 居中"/>
    <w:basedOn w:val="1"/>
    <w:qFormat/>
    <w:uiPriority w:val="0"/>
    <w:pPr>
      <w:adjustRightInd w:val="0"/>
      <w:jc w:val="center"/>
      <w:textAlignment w:val="baseline"/>
    </w:pPr>
    <w:rPr>
      <w:snapToGrid w:val="0"/>
      <w:kern w:val="0"/>
    </w:rPr>
  </w:style>
  <w:style w:type="paragraph" w:customStyle="1" w:styleId="39">
    <w:name w:val="报告正文"/>
    <w:basedOn w:val="1"/>
    <w:qFormat/>
    <w:uiPriority w:val="0"/>
    <w:pPr>
      <w:autoSpaceDE w:val="0"/>
      <w:autoSpaceDN w:val="0"/>
      <w:adjustRightInd w:val="0"/>
      <w:spacing w:line="560" w:lineRule="atLeast"/>
      <w:ind w:firstLine="200" w:firstLineChars="200"/>
      <w:textAlignment w:val="baseline"/>
    </w:pPr>
    <w:rPr>
      <w:rFonts w:ascii="宋体"/>
      <w:kern w:val="0"/>
      <w:sz w:val="24"/>
      <w:szCs w:val="20"/>
    </w:rPr>
  </w:style>
  <w:style w:type="paragraph" w:customStyle="1" w:styleId="40">
    <w:name w:val="表体"/>
    <w:basedOn w:val="1"/>
    <w:qFormat/>
    <w:uiPriority w:val="0"/>
    <w:pPr>
      <w:widowControl/>
      <w:snapToGrid w:val="0"/>
      <w:spacing w:line="240" w:lineRule="atLeast"/>
      <w:jc w:val="center"/>
    </w:pPr>
    <w:rPr>
      <w:rFonts w:ascii="Calibri" w:hAnsi="Calibri" w:eastAsia="仿宋_GB2312"/>
      <w:kern w:val="0"/>
      <w:sz w:val="24"/>
      <w:szCs w:val="20"/>
    </w:rPr>
  </w:style>
  <w:style w:type="paragraph" w:customStyle="1" w:styleId="41">
    <w:name w:val="Other|1"/>
    <w:basedOn w:val="1"/>
    <w:qFormat/>
    <w:uiPriority w:val="0"/>
    <w:rPr>
      <w:rFonts w:ascii="MingLiU" w:eastAsia="MingLiU" w:cs="MingLiU"/>
      <w:sz w:val="18"/>
      <w:szCs w:val="18"/>
      <w:lang w:val="zh-TW" w:eastAsia="zh-TW" w:bidi="zh-TW"/>
    </w:rPr>
  </w:style>
  <w:style w:type="paragraph" w:customStyle="1" w:styleId="42">
    <w:name w:val="正文新 Char"/>
    <w:basedOn w:val="1"/>
    <w:qFormat/>
    <w:uiPriority w:val="0"/>
    <w:pPr>
      <w:spacing w:line="360" w:lineRule="auto"/>
      <w:ind w:firstLine="480" w:firstLineChars="200"/>
    </w:pPr>
    <w:rPr>
      <w:rFonts w:cs="宋体"/>
      <w:sz w:val="24"/>
    </w:rPr>
  </w:style>
  <w:style w:type="paragraph" w:customStyle="1" w:styleId="43">
    <w:name w:val="1正文"/>
    <w:basedOn w:val="1"/>
    <w:qFormat/>
    <w:uiPriority w:val="0"/>
    <w:pPr>
      <w:spacing w:line="360" w:lineRule="auto"/>
      <w:ind w:firstLine="200" w:firstLineChars="200"/>
    </w:pPr>
    <w:rPr>
      <w:rFonts w:cs="宋体"/>
      <w:sz w:val="24"/>
    </w:rPr>
  </w:style>
  <w:style w:type="paragraph" w:customStyle="1" w:styleId="44">
    <w:name w:val="样式 标题 4 + 段前: 5 磅 段后: 3 磅 行距: 固定值 26 磅"/>
    <w:basedOn w:val="6"/>
    <w:qFormat/>
    <w:uiPriority w:val="0"/>
    <w:pPr>
      <w:spacing w:line="500" w:lineRule="exact"/>
    </w:pPr>
    <w:rPr>
      <w:rFonts w:ascii="楷体_GB2312" w:eastAsia="楷体_GB2312"/>
      <w:bCs w:val="0"/>
      <w:szCs w:val="20"/>
    </w:rPr>
  </w:style>
  <w:style w:type="paragraph" w:customStyle="1" w:styleId="45">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6">
    <w:name w:val="Table caption|1"/>
    <w:basedOn w:val="1"/>
    <w:qFormat/>
    <w:uiPriority w:val="0"/>
    <w:pPr>
      <w:jc w:val="center"/>
    </w:pPr>
    <w:rPr>
      <w:rFonts w:ascii="MingLiU" w:hAnsi="MingLiU" w:eastAsia="MingLiU" w:cs="MingLiU"/>
      <w:sz w:val="20"/>
      <w:szCs w:val="20"/>
      <w:lang w:val="zh-TW" w:eastAsia="zh-TW" w:bidi="zh-TW"/>
    </w:rPr>
  </w:style>
  <w:style w:type="paragraph" w:customStyle="1" w:styleId="47">
    <w:name w:val="Default"/>
    <w:next w:val="12"/>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8">
    <w:name w:val="裴正文"/>
    <w:basedOn w:val="1"/>
    <w:qFormat/>
    <w:uiPriority w:val="0"/>
    <w:pPr>
      <w:adjustRightInd w:val="0"/>
      <w:snapToGrid w:val="0"/>
      <w:spacing w:line="500" w:lineRule="exact"/>
    </w:pPr>
    <w:rPr>
      <w:sz w:val="24"/>
      <w:szCs w:val="20"/>
    </w:rPr>
  </w:style>
  <w:style w:type="paragraph" w:customStyle="1" w:styleId="49">
    <w:name w:val="样式 表格"/>
    <w:basedOn w:val="1"/>
    <w:semiHidden/>
    <w:qFormat/>
    <w:uiPriority w:val="0"/>
    <w:pPr>
      <w:jc w:val="center"/>
    </w:pPr>
  </w:style>
  <w:style w:type="paragraph" w:customStyle="1" w:styleId="50">
    <w:name w:val="表格文字"/>
    <w:basedOn w:val="9"/>
    <w:next w:val="1"/>
    <w:qFormat/>
    <w:uiPriority w:val="0"/>
    <w:pPr>
      <w:tabs>
        <w:tab w:val="center" w:pos="1053"/>
      </w:tabs>
      <w:spacing w:line="360" w:lineRule="exact"/>
      <w:jc w:val="center"/>
    </w:pPr>
    <w:rPr>
      <w:rFonts w:ascii="宋体" w:hAnsi="宋体"/>
      <w:kern w:val="21"/>
      <w:sz w:val="21"/>
      <w:szCs w:val="21"/>
    </w:rPr>
  </w:style>
  <w:style w:type="paragraph" w:customStyle="1" w:styleId="51">
    <w:name w:val="表头常用"/>
    <w:basedOn w:val="1"/>
    <w:qFormat/>
    <w:uiPriority w:val="0"/>
    <w:pPr>
      <w:widowControl/>
      <w:spacing w:line="500" w:lineRule="exact"/>
      <w:jc w:val="center"/>
    </w:pPr>
    <w:rPr>
      <w:rFonts w:eastAsia="黑体"/>
      <w:szCs w:val="21"/>
    </w:rPr>
  </w:style>
  <w:style w:type="paragraph" w:customStyle="1" w:styleId="52">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53">
    <w:name w:val="first-of-type1"/>
    <w:basedOn w:val="23"/>
    <w:qFormat/>
    <w:uiPriority w:val="0"/>
  </w:style>
  <w:style w:type="character" w:customStyle="1" w:styleId="54">
    <w:name w:val="nth-of-type(2)"/>
    <w:basedOn w:val="23"/>
    <w:qFormat/>
    <w:uiPriority w:val="0"/>
  </w:style>
  <w:style w:type="character" w:customStyle="1" w:styleId="55">
    <w:name w:val="样式 小四"/>
    <w:basedOn w:val="23"/>
    <w:qFormat/>
    <w:uiPriority w:val="0"/>
    <w:rPr>
      <w:spacing w:val="4"/>
      <w:sz w:val="24"/>
    </w:rPr>
  </w:style>
  <w:style w:type="paragraph" w:customStyle="1" w:styleId="5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7">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8">
    <w:name w:val="span"/>
    <w:basedOn w:val="23"/>
    <w:qFormat/>
    <w:uiPriority w:val="0"/>
    <w:rPr>
      <w:shd w:val="clear" w:color="auto" w:fill="E31939"/>
    </w:rPr>
  </w:style>
  <w:style w:type="paragraph" w:customStyle="1" w:styleId="59">
    <w:name w:val="_Style 48"/>
    <w:basedOn w:val="1"/>
    <w:next w:val="1"/>
    <w:qFormat/>
    <w:uiPriority w:val="0"/>
    <w:pPr>
      <w:pBdr>
        <w:bottom w:val="single" w:color="auto" w:sz="6" w:space="1"/>
      </w:pBdr>
      <w:jc w:val="center"/>
    </w:pPr>
    <w:rPr>
      <w:rFonts w:ascii="Arial"/>
      <w:vanish/>
      <w:sz w:val="16"/>
    </w:rPr>
  </w:style>
  <w:style w:type="paragraph" w:customStyle="1" w:styleId="60">
    <w:name w:val="_Style 49"/>
    <w:basedOn w:val="1"/>
    <w:next w:val="1"/>
    <w:qFormat/>
    <w:uiPriority w:val="0"/>
    <w:pPr>
      <w:pBdr>
        <w:top w:val="single" w:color="auto" w:sz="6" w:space="1"/>
      </w:pBdr>
      <w:jc w:val="center"/>
    </w:pPr>
    <w:rPr>
      <w:rFonts w:ascii="Arial"/>
      <w:vanish/>
      <w:sz w:val="16"/>
    </w:rPr>
  </w:style>
  <w:style w:type="paragraph" w:customStyle="1" w:styleId="61">
    <w:name w:val="Table Paragraph"/>
    <w:basedOn w:val="1"/>
    <w:qFormat/>
    <w:uiPriority w:val="0"/>
    <w:pPr>
      <w:jc w:val="left"/>
    </w:pPr>
    <w:rPr>
      <w:rFonts w:ascii="Calibri" w:hAnsi="Calibri"/>
      <w:kern w:val="0"/>
      <w:sz w:val="22"/>
      <w:szCs w:val="22"/>
    </w:rPr>
  </w:style>
  <w:style w:type="paragraph" w:customStyle="1" w:styleId="62">
    <w:name w:val="表头"/>
    <w:basedOn w:val="1"/>
    <w:qFormat/>
    <w:uiPriority w:val="0"/>
    <w:pPr>
      <w:adjustRightInd w:val="0"/>
      <w:snapToGrid w:val="0"/>
      <w:spacing w:before="120" w:beforeLines="50"/>
      <w:jc w:val="center"/>
    </w:pPr>
    <w:rPr>
      <w:rFonts w:eastAsia="黑体"/>
      <w:color w:val="000000"/>
      <w:sz w:val="28"/>
      <w:szCs w:val="21"/>
    </w:rPr>
  </w:style>
  <w:style w:type="paragraph" w:customStyle="1" w:styleId="63">
    <w:name w:val="孟电陵川正文"/>
    <w:basedOn w:val="1"/>
    <w:qFormat/>
    <w:uiPriority w:val="0"/>
    <w:pPr>
      <w:adjustRightInd w:val="0"/>
      <w:snapToGrid w:val="0"/>
      <w:spacing w:before="25" w:beforeLines="25" w:line="440" w:lineRule="exact"/>
      <w:ind w:firstLine="200" w:firstLineChars="200"/>
    </w:pPr>
    <w:rPr>
      <w:color w:val="000000"/>
      <w:sz w:val="24"/>
    </w:rPr>
  </w:style>
  <w:style w:type="paragraph" w:customStyle="1" w:styleId="64">
    <w:name w:val="图表标题"/>
    <w:basedOn w:val="16"/>
    <w:next w:val="1"/>
    <w:qFormat/>
    <w:uiPriority w:val="0"/>
    <w:pPr>
      <w:snapToGrid w:val="0"/>
      <w:spacing w:before="30" w:beforeLines="30" w:after="30" w:afterLines="30" w:line="400" w:lineRule="exact"/>
    </w:pPr>
    <w:rPr>
      <w:rFonts w:ascii="Times New Roman" w:eastAsia="宋体"/>
      <w:sz w:val="24"/>
    </w:rPr>
  </w:style>
  <w:style w:type="paragraph" w:customStyle="1" w:styleId="65">
    <w:name w:val="健牛正文"/>
    <w:basedOn w:val="1"/>
    <w:qFormat/>
    <w:uiPriority w:val="0"/>
    <w:pPr>
      <w:spacing w:line="480" w:lineRule="exact"/>
      <w:ind w:firstLine="560" w:firstLineChars="200"/>
    </w:pPr>
    <w:rPr>
      <w:sz w:val="28"/>
      <w:szCs w:val="28"/>
    </w:rPr>
  </w:style>
  <w:style w:type="paragraph" w:customStyle="1" w:styleId="66">
    <w:name w:val="表格文字L16"/>
    <w:basedOn w:val="1"/>
    <w:qFormat/>
    <w:uiPriority w:val="0"/>
    <w:pPr>
      <w:adjustRightInd w:val="0"/>
      <w:snapToGrid w:val="0"/>
      <w:spacing w:line="320" w:lineRule="exact"/>
      <w:jc w:val="center"/>
    </w:pPr>
    <w:rPr>
      <w:rFonts w:eastAsia="Times New Roman"/>
      <w:color w:val="000000"/>
      <w:kern w:val="32"/>
      <w:szCs w:val="20"/>
    </w:rPr>
  </w:style>
  <w:style w:type="character" w:customStyle="1" w:styleId="67">
    <w:name w:val="批注文字 字符"/>
    <w:basedOn w:val="23"/>
    <w:link w:val="8"/>
    <w:qFormat/>
    <w:uiPriority w:val="0"/>
    <w:rPr>
      <w:kern w:val="2"/>
      <w:sz w:val="21"/>
      <w:szCs w:val="24"/>
    </w:rPr>
  </w:style>
  <w:style w:type="character" w:customStyle="1" w:styleId="68">
    <w:name w:val="批注主题 字符"/>
    <w:basedOn w:val="67"/>
    <w:link w:val="19"/>
    <w:qFormat/>
    <w:uiPriority w:val="0"/>
    <w:rPr>
      <w:b/>
      <w:bCs/>
      <w:kern w:val="2"/>
      <w:sz w:val="21"/>
      <w:szCs w:val="24"/>
    </w:rPr>
  </w:style>
  <w:style w:type="paragraph" w:styleId="69">
    <w:name w:val="List Paragraph"/>
    <w:basedOn w:val="1"/>
    <w:qFormat/>
    <w:uiPriority w:val="99"/>
    <w:pPr>
      <w:ind w:firstLine="420" w:firstLineChars="200"/>
    </w:pPr>
  </w:style>
  <w:style w:type="paragraph" w:customStyle="1" w:styleId="70">
    <w:name w:val="0正文"/>
    <w:basedOn w:val="3"/>
    <w:qFormat/>
    <w:uiPriority w:val="39"/>
    <w:pPr>
      <w:spacing w:after="0" w:line="300" w:lineRule="auto"/>
      <w:ind w:left="0" w:leftChars="0" w:firstLine="480"/>
      <w:jc w:val="both"/>
    </w:pPr>
    <w:rPr>
      <w:rFonts w:eastAsia="宋体" w:cs="宋体"/>
      <w:kern w:val="0"/>
      <w:szCs w:val="20"/>
    </w:rPr>
  </w:style>
  <w:style w:type="paragraph" w:customStyle="1" w:styleId="71">
    <w:name w:val="标准正文"/>
    <w:basedOn w:val="1"/>
    <w:qFormat/>
    <w:uiPriority w:val="39"/>
    <w:pPr>
      <w:spacing w:line="360" w:lineRule="auto"/>
      <w:ind w:firstLine="480" w:firstLineChars="200"/>
      <w:jc w:val="left"/>
    </w:pPr>
    <w:rPr>
      <w:rFonts w:ascii="Times New Roman" w:hAnsi="Times New Roman" w:eastAsia="宋体" w:cs="Times New Roman"/>
      <w:sz w:val="24"/>
    </w:rPr>
  </w:style>
  <w:style w:type="paragraph" w:customStyle="1" w:styleId="72">
    <w:name w:val="环评正文1"/>
    <w:basedOn w:val="1"/>
    <w:qFormat/>
    <w:uiPriority w:val="0"/>
    <w:pPr>
      <w:spacing w:line="440" w:lineRule="exact"/>
      <w:ind w:firstLine="555"/>
    </w:pPr>
    <w:rPr>
      <w:rFonts w:ascii="仿宋_GB2312" w:hAnsi="宋体" w:eastAsia="仿宋_GB2312"/>
      <w:sz w:val="28"/>
      <w:szCs w:val="28"/>
    </w:rPr>
  </w:style>
  <w:style w:type="character" w:customStyle="1" w:styleId="73">
    <w:name w:val="ysuecg1udlhq8bdvvdbsd"/>
    <w:basedOn w:val="23"/>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87.jpeg"/><Relationship Id="rId98" Type="http://schemas.openxmlformats.org/officeDocument/2006/relationships/image" Target="media/image86.jpeg"/><Relationship Id="rId97" Type="http://schemas.openxmlformats.org/officeDocument/2006/relationships/image" Target="media/image85.jpeg"/><Relationship Id="rId96" Type="http://schemas.openxmlformats.org/officeDocument/2006/relationships/image" Target="media/image84.jpeg"/><Relationship Id="rId95" Type="http://schemas.openxmlformats.org/officeDocument/2006/relationships/image" Target="media/image83.jpeg"/><Relationship Id="rId94" Type="http://schemas.openxmlformats.org/officeDocument/2006/relationships/image" Target="media/image82.jpeg"/><Relationship Id="rId93" Type="http://schemas.openxmlformats.org/officeDocument/2006/relationships/image" Target="media/image81.jpeg"/><Relationship Id="rId92" Type="http://schemas.openxmlformats.org/officeDocument/2006/relationships/image" Target="media/image80.jpeg"/><Relationship Id="rId91" Type="http://schemas.openxmlformats.org/officeDocument/2006/relationships/image" Target="media/image79.jpeg"/><Relationship Id="rId90" Type="http://schemas.openxmlformats.org/officeDocument/2006/relationships/image" Target="media/image78.jpeg"/><Relationship Id="rId9" Type="http://schemas.openxmlformats.org/officeDocument/2006/relationships/image" Target="media/image2.png"/><Relationship Id="rId89" Type="http://schemas.openxmlformats.org/officeDocument/2006/relationships/image" Target="media/image77.jpeg"/><Relationship Id="rId88" Type="http://schemas.openxmlformats.org/officeDocument/2006/relationships/image" Target="media/image76.jpeg"/><Relationship Id="rId87" Type="http://schemas.openxmlformats.org/officeDocument/2006/relationships/image" Target="media/image75.jpeg"/><Relationship Id="rId86" Type="http://schemas.openxmlformats.org/officeDocument/2006/relationships/image" Target="media/image74.jpeg"/><Relationship Id="rId85" Type="http://schemas.openxmlformats.org/officeDocument/2006/relationships/image" Target="media/image73.jpeg"/><Relationship Id="rId84" Type="http://schemas.openxmlformats.org/officeDocument/2006/relationships/image" Target="media/image72.jpeg"/><Relationship Id="rId83" Type="http://schemas.openxmlformats.org/officeDocument/2006/relationships/image" Target="media/image71.jpeg"/><Relationship Id="rId82" Type="http://schemas.openxmlformats.org/officeDocument/2006/relationships/image" Target="media/image70.jpeg"/><Relationship Id="rId81" Type="http://schemas.openxmlformats.org/officeDocument/2006/relationships/image" Target="media/image69.jpeg"/><Relationship Id="rId80" Type="http://schemas.openxmlformats.org/officeDocument/2006/relationships/image" Target="media/image68.jpeg"/><Relationship Id="rId8" Type="http://schemas.openxmlformats.org/officeDocument/2006/relationships/image" Target="media/image1.jpeg"/><Relationship Id="rId79" Type="http://schemas.openxmlformats.org/officeDocument/2006/relationships/image" Target="media/image67.jpeg"/><Relationship Id="rId78" Type="http://schemas.openxmlformats.org/officeDocument/2006/relationships/image" Target="media/image66.jpeg"/><Relationship Id="rId77" Type="http://schemas.openxmlformats.org/officeDocument/2006/relationships/image" Target="media/image65.jpeg"/><Relationship Id="rId76" Type="http://schemas.openxmlformats.org/officeDocument/2006/relationships/image" Target="media/image64.jpeg"/><Relationship Id="rId75" Type="http://schemas.openxmlformats.org/officeDocument/2006/relationships/image" Target="media/image63.jpeg"/><Relationship Id="rId74" Type="http://schemas.openxmlformats.org/officeDocument/2006/relationships/image" Target="media/image62.jpeg"/><Relationship Id="rId73" Type="http://schemas.openxmlformats.org/officeDocument/2006/relationships/image" Target="media/image61.jpeg"/><Relationship Id="rId72" Type="http://schemas.openxmlformats.org/officeDocument/2006/relationships/image" Target="media/image60.jpeg"/><Relationship Id="rId71" Type="http://schemas.openxmlformats.org/officeDocument/2006/relationships/image" Target="media/image59.jpeg"/><Relationship Id="rId70" Type="http://schemas.openxmlformats.org/officeDocument/2006/relationships/image" Target="media/image58.jpeg"/><Relationship Id="rId7" Type="http://schemas.openxmlformats.org/officeDocument/2006/relationships/theme" Target="theme/theme1.xml"/><Relationship Id="rId69" Type="http://schemas.openxmlformats.org/officeDocument/2006/relationships/image" Target="media/image57.jpeg"/><Relationship Id="rId68" Type="http://schemas.openxmlformats.org/officeDocument/2006/relationships/image" Target="media/image56.jpeg"/><Relationship Id="rId67" Type="http://schemas.openxmlformats.org/officeDocument/2006/relationships/image" Target="media/image55.jpe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footer" Target="footer4.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5.bin"/><Relationship Id="rId23" Type="http://schemas.openxmlformats.org/officeDocument/2006/relationships/image" Target="media/image12.wmf"/><Relationship Id="rId22" Type="http://schemas.openxmlformats.org/officeDocument/2006/relationships/oleObject" Target="embeddings/oleObject4.bin"/><Relationship Id="rId21" Type="http://schemas.openxmlformats.org/officeDocument/2006/relationships/image" Target="media/image11.png"/><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emf"/><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20.jpeg"/><Relationship Id="rId131" Type="http://schemas.openxmlformats.org/officeDocument/2006/relationships/image" Target="media/image119.jpeg"/><Relationship Id="rId130" Type="http://schemas.openxmlformats.org/officeDocument/2006/relationships/image" Target="media/image118.jpeg"/><Relationship Id="rId13" Type="http://schemas.openxmlformats.org/officeDocument/2006/relationships/oleObject" Target="embeddings/oleObject1.bin"/><Relationship Id="rId129" Type="http://schemas.openxmlformats.org/officeDocument/2006/relationships/image" Target="media/image117.jpeg"/><Relationship Id="rId128" Type="http://schemas.openxmlformats.org/officeDocument/2006/relationships/image" Target="media/image116.jpeg"/><Relationship Id="rId127" Type="http://schemas.openxmlformats.org/officeDocument/2006/relationships/image" Target="media/image115.jpeg"/><Relationship Id="rId126" Type="http://schemas.openxmlformats.org/officeDocument/2006/relationships/image" Target="media/image114.jpeg"/><Relationship Id="rId125" Type="http://schemas.openxmlformats.org/officeDocument/2006/relationships/image" Target="media/image113.jpeg"/><Relationship Id="rId124" Type="http://schemas.openxmlformats.org/officeDocument/2006/relationships/image" Target="media/image112.jpeg"/><Relationship Id="rId123" Type="http://schemas.openxmlformats.org/officeDocument/2006/relationships/image" Target="media/image111.jpeg"/><Relationship Id="rId122" Type="http://schemas.openxmlformats.org/officeDocument/2006/relationships/image" Target="media/image110.jpeg"/><Relationship Id="rId121" Type="http://schemas.openxmlformats.org/officeDocument/2006/relationships/image" Target="media/image109.jpeg"/><Relationship Id="rId120" Type="http://schemas.openxmlformats.org/officeDocument/2006/relationships/image" Target="media/image108.jpeg"/><Relationship Id="rId12" Type="http://schemas.openxmlformats.org/officeDocument/2006/relationships/image" Target="media/image5.png"/><Relationship Id="rId119" Type="http://schemas.openxmlformats.org/officeDocument/2006/relationships/image" Target="media/image107.jpeg"/><Relationship Id="rId118" Type="http://schemas.openxmlformats.org/officeDocument/2006/relationships/image" Target="media/image106.jpeg"/><Relationship Id="rId117" Type="http://schemas.openxmlformats.org/officeDocument/2006/relationships/image" Target="media/image105.jpeg"/><Relationship Id="rId116" Type="http://schemas.openxmlformats.org/officeDocument/2006/relationships/image" Target="media/image104.jpeg"/><Relationship Id="rId115" Type="http://schemas.openxmlformats.org/officeDocument/2006/relationships/image" Target="media/image103.jpeg"/><Relationship Id="rId114" Type="http://schemas.openxmlformats.org/officeDocument/2006/relationships/image" Target="media/image102.jpeg"/><Relationship Id="rId113" Type="http://schemas.openxmlformats.org/officeDocument/2006/relationships/image" Target="media/image101.jpeg"/><Relationship Id="rId112" Type="http://schemas.openxmlformats.org/officeDocument/2006/relationships/image" Target="media/image100.jpeg"/><Relationship Id="rId111" Type="http://schemas.openxmlformats.org/officeDocument/2006/relationships/image" Target="media/image99.jpeg"/><Relationship Id="rId110" Type="http://schemas.openxmlformats.org/officeDocument/2006/relationships/image" Target="media/image98.jpeg"/><Relationship Id="rId11" Type="http://schemas.openxmlformats.org/officeDocument/2006/relationships/image" Target="media/image4.png"/><Relationship Id="rId109" Type="http://schemas.openxmlformats.org/officeDocument/2006/relationships/image" Target="media/image97.jpeg"/><Relationship Id="rId108" Type="http://schemas.openxmlformats.org/officeDocument/2006/relationships/image" Target="media/image96.jpeg"/><Relationship Id="rId107" Type="http://schemas.openxmlformats.org/officeDocument/2006/relationships/image" Target="media/image95.jpeg"/><Relationship Id="rId106" Type="http://schemas.openxmlformats.org/officeDocument/2006/relationships/image" Target="media/image94.jpeg"/><Relationship Id="rId105" Type="http://schemas.openxmlformats.org/officeDocument/2006/relationships/image" Target="media/image93.jpeg"/><Relationship Id="rId104" Type="http://schemas.openxmlformats.org/officeDocument/2006/relationships/image" Target="media/image92.jpeg"/><Relationship Id="rId103" Type="http://schemas.openxmlformats.org/officeDocument/2006/relationships/image" Target="media/image91.jpeg"/><Relationship Id="rId102" Type="http://schemas.openxmlformats.org/officeDocument/2006/relationships/image" Target="media/image90.jpeg"/><Relationship Id="rId101" Type="http://schemas.openxmlformats.org/officeDocument/2006/relationships/image" Target="media/image89.jpeg"/><Relationship Id="rId100" Type="http://schemas.openxmlformats.org/officeDocument/2006/relationships/image" Target="media/image88.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6651</Words>
  <Characters>37917</Characters>
  <Lines>315</Lines>
  <Paragraphs>88</Paragraphs>
  <TotalTime>0</TotalTime>
  <ScaleCrop>false</ScaleCrop>
  <LinksUpToDate>false</LinksUpToDate>
  <CharactersWithSpaces>44480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2021-05-01T07:33:00Z</dcterms:created>
  <dc:creator>Gino</dc:creator>
  <cp:lastModifiedBy>Administrator</cp:lastModifiedBy>
  <cp:lastPrinted>2021-08-17T07:13:00Z</cp:lastPrinted>
  <dcterms:modified xsi:type="dcterms:W3CDTF">2021-12-16T08:54:41Z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C5A0970FC74F4A7594F2021B435AFA40</vt:lpwstr>
  </property>
</Properties>
</file>